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6938764" w14:textId="77777777" w:rsidR="00C541A2" w:rsidRPr="00692790" w:rsidRDefault="00C541A2" w:rsidP="00C541A2">
      <w:pPr>
        <w:pStyle w:val="Heading4"/>
        <w:spacing w:line="480" w:lineRule="auto"/>
        <w:rPr>
          <w:rFonts w:ascii="Times New Roman" w:hAnsi="Times New Roman" w:cs="Times New Roman"/>
          <w:b/>
          <w:bCs/>
          <w:i w:val="0"/>
          <w:iCs w:val="0"/>
          <w:color w:val="000000" w:themeColor="text1"/>
        </w:rPr>
      </w:pPr>
      <w:r w:rsidRPr="00692790">
        <w:rPr>
          <w:rFonts w:ascii="Times New Roman" w:hAnsi="Times New Roman" w:cs="Times New Roman"/>
          <w:b/>
          <w:bCs/>
          <w:i w:val="0"/>
          <w:iCs w:val="0"/>
          <w:color w:val="000000" w:themeColor="text1"/>
        </w:rPr>
        <w:t>SUPPLEMENTARY FIGURES</w:t>
      </w:r>
    </w:p>
    <w:p w14:paraId="34BDCA8A" w14:textId="25AFEAE2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drawing>
          <wp:inline distT="0" distB="0" distL="0" distR="0" wp14:anchorId="68D2B0B9" wp14:editId="7B879C5D">
            <wp:extent cx="5943600" cy="7090410"/>
            <wp:effectExtent l="0" t="0" r="0" b="0"/>
            <wp:docPr id="15738103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810341" name="Picture 157381034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69C47" w14:textId="09D513D0" w:rsidR="00692790" w:rsidRPr="00692790" w:rsidRDefault="00C541A2" w:rsidP="00C541A2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Supplementary Figure 1: Communication pattern benchmarking of CellAgentChat with other state-of-the-art methods.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Pearson’s Correlation of each methods communication network compared to the ensemble communication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network of all methods for the: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</w:t>
      </w:r>
      <w:r w:rsidR="00910835"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SCC dataset. </w:t>
      </w:r>
      <w:r w:rsidR="00910835"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PDAC dataset. </w:t>
      </w:r>
      <w:r w:rsidR="00910835"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SeqFISH+ mouse cortex dataset. </w:t>
      </w:r>
      <w:r w:rsidR="00910835"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D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Xenium breast cancer dataset. </w:t>
      </w:r>
      <w:r w:rsidR="00910835"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E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E12.5 developing mouse Stereo-seq dataset. </w:t>
      </w:r>
      <w:r w:rsidR="00910835"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F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E14.5 developing mouse Stereo-seq dataset. </w:t>
      </w:r>
      <w:r w:rsidR="00910835"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G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E16.5 developing mouse Stereo-seq dataset.</w:t>
      </w:r>
      <w:r w:rsidR="00692790"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br w:type="page"/>
      </w:r>
    </w:p>
    <w:p w14:paraId="06163E3E" w14:textId="58FFEC80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6D20CDA1" wp14:editId="11E0E272">
            <wp:extent cx="5943600" cy="4457700"/>
            <wp:effectExtent l="0" t="0" r="0" b="0"/>
            <wp:docPr id="6795072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507274" name="Picture 67950727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2C387" w14:textId="6E74853C" w:rsidR="00C541A2" w:rsidRPr="00692790" w:rsidRDefault="00C541A2" w:rsidP="00465098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Supplementary Figure 2: Benchmarking of CellAgentChat against other state-of-the-art methods with non-spatial data.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Heatmaps display the communication network between each cell type inferred by four methods for the SCC dataset.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B,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Heatmaps display the communication network between each cell type inferred by four methods for the Xenium breast cancer dataset.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Heatmaps display the communication network between each cell type inferred by all five methods for the PDAC dataset.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D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Heatmaps display the communication network between each cell type inferred by all five methods for the SeqFISH+ mouse somatosensory cortex dataset.</w:t>
      </w:r>
    </w:p>
    <w:p w14:paraId="5733D46E" w14:textId="647B3A51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66793434" wp14:editId="097A1BE5">
            <wp:extent cx="5943600" cy="4457700"/>
            <wp:effectExtent l="0" t="0" r="0" b="0"/>
            <wp:docPr id="40474980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749809" name="Picture 40474980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B7F83" w14:textId="5C6C8A2E" w:rsidR="00C541A2" w:rsidRPr="00692790" w:rsidRDefault="00C541A2" w:rsidP="00465098">
      <w:pPr>
        <w:spacing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Supplementary Figure 3: Benchmarking of CellAgentChat against other state-of-the-art methods with non-spatial data.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Heatmaps display the communication network between each cell type inferred by four methods for the E12.5 mouse developing hippocampus dataset.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Heatmaps display the communication network between each cell type inferred by four methods for the E14.5 mouse developing hippocampus dataset.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Heatmaps display the communication network between each cell type inferred by four methods for the E16.5 mouse developing hippocampus dataset.</w:t>
      </w:r>
    </w:p>
    <w:p w14:paraId="0797C0F9" w14:textId="08975517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30A80230" wp14:editId="5FDF5930">
            <wp:extent cx="5943600" cy="4457700"/>
            <wp:effectExtent l="0" t="0" r="0" b="0"/>
            <wp:docPr id="14923474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347410" name="Picture 149234741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EE832" w14:textId="46C0564E" w:rsidR="00C541A2" w:rsidRPr="00692790" w:rsidRDefault="00C541A2" w:rsidP="00692790">
      <w:pPr>
        <w:spacing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Supplementary Figure 4: Benchmarking of CellAgentChat against other state-of-the-art methods with spatial data.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Heatmaps display the communication network between each cell type inferred by f</w:t>
      </w:r>
      <w:r w:rsidR="003F1643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ive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methods for the SCC dataset.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Heatmaps display the communication network between each cell type inferred by f</w:t>
      </w:r>
      <w:r w:rsidR="003F1643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ive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methods for the Xenium breast cancer dataset.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Heatmaps display the communication network between each cell type inferred by all five methods for the PDAC dataset.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D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Heatmaps display the communication network between each cell type inferred by all five methods for the SeqFISH+ mouse somatosensory cortex dataset.</w:t>
      </w:r>
    </w:p>
    <w:p w14:paraId="437E83FB" w14:textId="46E5EECC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7E06D402" wp14:editId="66AC37A1">
            <wp:extent cx="5943600" cy="4457700"/>
            <wp:effectExtent l="0" t="0" r="0" b="0"/>
            <wp:docPr id="4588510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851011" name="Picture 45885101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1378E" w14:textId="3A2D1676" w:rsidR="00C541A2" w:rsidRPr="00692790" w:rsidRDefault="00C541A2" w:rsidP="00C541A2">
      <w:pPr>
        <w:spacing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Supplementary Figure 5: Benchmarking of CellAgentChat against other state-of-the-art methods with spatial data.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Heatmaps display the communication network between each cell type inferred by f</w:t>
      </w:r>
      <w:r w:rsidR="003F1643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ive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methods for the E12.5 mouse developing hippocampus dataset.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Heatmaps display the communication network between each cell type inferred by f</w:t>
      </w:r>
      <w:r w:rsidR="003F1643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ive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methods for the E14.5 mouse developing hippocampus dataset.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Heatmaps display the communication network between each cell type inferred by f</w:t>
      </w:r>
      <w:r w:rsidR="003F1643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ive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methods for the E16.5 mouse developing hippocampus dataset.</w:t>
      </w:r>
    </w:p>
    <w:p w14:paraId="2FFCF7C9" w14:textId="18164483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294F1CEC" wp14:editId="459F7D5C">
            <wp:extent cx="5943600" cy="7707630"/>
            <wp:effectExtent l="0" t="0" r="0" b="1270"/>
            <wp:docPr id="104236594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365942" name="Picture 104236594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0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30D0E" w14:textId="3F9B58AF" w:rsidR="00C541A2" w:rsidRPr="00692790" w:rsidRDefault="00C541A2" w:rsidP="00692790">
      <w:pPr>
        <w:spacing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lastRenderedPageBreak/>
        <w:t xml:space="preserve">Supplementary Figure 6: Benchmarking of CellAgentChat against other state-of-the-art methods, assessing the spatially informed nature of computed interactions.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Pearson’s correlation between the inferred interaction network and the inverse cell-distance matrix for the: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</w:t>
      </w:r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SCC dataset. </w:t>
      </w:r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PDAC dataset. </w:t>
      </w:r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SeqFISH+ mouse cortex dataset. </w:t>
      </w:r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D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Xenium breast cancer dataset. </w:t>
      </w:r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E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E12.5 developing mouse Stereo-seq dataset. </w:t>
      </w:r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F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E14.5 developing mouse Stereo-seq dataset. </w:t>
      </w:r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G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E16.5 developing mouse Stereo-seq dataset.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</w:t>
      </w:r>
      <w:r w:rsidR="00692790"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br w:type="page"/>
      </w:r>
    </w:p>
    <w:p w14:paraId="4165BE94" w14:textId="18F061C9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58E41CC2" wp14:editId="2155F6B2">
            <wp:extent cx="5943600" cy="6471920"/>
            <wp:effectExtent l="0" t="0" r="0" b="5080"/>
            <wp:docPr id="60026776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267764" name="Picture 60026776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7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7A9A0" w14:textId="348C4DA1" w:rsidR="00C541A2" w:rsidRPr="00692790" w:rsidRDefault="00C541A2" w:rsidP="00465098">
      <w:pPr>
        <w:spacing w:line="480" w:lineRule="auto"/>
        <w:jc w:val="both"/>
        <w:rPr>
          <w:rFonts w:ascii="Times New Roman" w:eastAsia="Times New Roman" w:hAnsi="Times New Roman" w:cs="Times New Roman"/>
          <w:color w:val="000000" w:themeColor="text1"/>
          <w:kern w:val="0"/>
          <w:sz w:val="20"/>
          <w:szCs w:val="20"/>
          <w:lang w:val="en-US"/>
          <w14:ligatures w14:val="none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Supplementary Figure 7: Pathway enrichment 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0"/>
          <w:szCs w:val="20"/>
          <w:lang w:val="en-US"/>
          <w14:ligatures w14:val="none"/>
        </w:rPr>
        <w:t xml:space="preserve">benchmarking of CellAgentChat with existing state-of-the-art methods.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0"/>
          <w:szCs w:val="20"/>
          <w:lang w:val="en-US"/>
          <w14:ligatures w14:val="none"/>
        </w:rPr>
        <w:t>A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0"/>
          <w:szCs w:val="20"/>
          <w:lang w:val="en-US"/>
          <w14:ligatures w14:val="none"/>
        </w:rPr>
        <w:t xml:space="preserve">,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Reactome pathway analysis conducted on receptors derived from the top 100 inferred ligand-receptor pairs identified by each method across datasets, without using spatial data.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Heatmaps display the -log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  <w:vertAlign w:val="subscript"/>
        </w:rPr>
        <w:t>10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adjusted P-values of CellAgentChat compared to each method across datasets with non-spatial (left) and spatial (right) data. </w:t>
      </w:r>
    </w:p>
    <w:p w14:paraId="230AEE98" w14:textId="6F0B4652" w:rsidR="00C541A2" w:rsidRPr="00692790" w:rsidRDefault="0014287F" w:rsidP="00C541A2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1E959A06" wp14:editId="3C3B5C59">
            <wp:extent cx="5943600" cy="5501640"/>
            <wp:effectExtent l="0" t="0" r="0" b="0"/>
            <wp:docPr id="158134879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348791" name="Picture 158134879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0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41A2"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Supplementary Figure 8: Benchmarking of CellAgentChat against other state-of-the-art methods, assessing the similarity of inferred ligand-receptor pairs in scRNA-seq data.  </w:t>
      </w:r>
      <w:r w:rsidR="00C541A2"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UpSet plots show the overlap in the top 100 LR pairs inferred by each method for the:</w:t>
      </w:r>
      <w:r w:rsidR="00C541A2"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</w:t>
      </w:r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="00C541A2"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C541A2"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SCC dataset. </w:t>
      </w:r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="00C541A2"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C541A2"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PDAC dataset. </w:t>
      </w:r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="00C541A2"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C541A2"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SeqFISH+ mouse cortex dataset. </w:t>
      </w:r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D</w:t>
      </w:r>
      <w:r w:rsidR="00C541A2"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C541A2"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Xenium breast cancer dataset. </w:t>
      </w:r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E</w:t>
      </w:r>
      <w:r w:rsidR="00C541A2"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C541A2"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E12.5 developing mouse Stereo-seq dataset. </w:t>
      </w:r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F</w:t>
      </w:r>
      <w:r w:rsidR="00C541A2"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C541A2"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E14.5 developing mouse Stereo-seq dataset. </w:t>
      </w:r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G</w:t>
      </w:r>
      <w:r w:rsidR="00C541A2"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C541A2"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E16.5 developing mouse Stereo-seq dataset.</w:t>
      </w:r>
    </w:p>
    <w:p w14:paraId="756FFDE1" w14:textId="3B8053C2" w:rsidR="00C541A2" w:rsidRPr="00692790" w:rsidRDefault="0014287F" w:rsidP="00C541A2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451A0168" wp14:editId="324B03B9">
            <wp:extent cx="5943600" cy="7165340"/>
            <wp:effectExtent l="0" t="0" r="0" b="0"/>
            <wp:docPr id="126984377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843771" name="Picture 126984377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6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78BEA" w14:textId="1D009E57" w:rsidR="00465098" w:rsidRPr="00692790" w:rsidRDefault="00C541A2" w:rsidP="00C541A2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Supplementary Figure 9: Benchmarking of CellAgentChat against other state-of-the-art methods, assessing the similarity of inferred ligand-receptor pairs in spatial transcriptomics data. 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UpSet plots show the overlap in the top 100 LR pairs inferred by each method for the: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</w:t>
      </w:r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SCC dataset. </w:t>
      </w:r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PDAC dataset. </w:t>
      </w:r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SeqFISH+ mouse cortex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 xml:space="preserve">dataset. </w:t>
      </w:r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D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Xenium breast cancer dataset. </w:t>
      </w:r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E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E12.5 developing mouse Stereo-seq dataset. </w:t>
      </w:r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F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E14.5 developing mouse Stereo-seq dataset. </w:t>
      </w:r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G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E16.5 developing mouse Stereo-seq dataset.</w:t>
      </w:r>
    </w:p>
    <w:p w14:paraId="0EA2BF64" w14:textId="43700C44" w:rsidR="00C541A2" w:rsidRPr="00692790" w:rsidRDefault="0014287F" w:rsidP="00C541A2">
      <w:pPr>
        <w:spacing w:line="480" w:lineRule="auto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 wp14:anchorId="3C936B7D" wp14:editId="37475967">
            <wp:extent cx="5943600" cy="7691755"/>
            <wp:effectExtent l="0" t="0" r="0" b="4445"/>
            <wp:docPr id="201004175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041756" name="Picture 201004175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3CDEC" w14:textId="62B2F234" w:rsidR="00465098" w:rsidRPr="00692790" w:rsidRDefault="00C541A2" w:rsidP="00465098">
      <w:pPr>
        <w:spacing w:line="480" w:lineRule="auto"/>
        <w:jc w:val="both"/>
        <w:rPr>
          <w:rFonts w:ascii="Times New Roman" w:eastAsia="Times New Roman" w:hAnsi="Times New Roman" w:cs="Times New Roman"/>
          <w:color w:val="000000" w:themeColor="text1"/>
          <w:sz w:val="12"/>
          <w:szCs w:val="12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lastRenderedPageBreak/>
        <w:t>Supplementary Figure 10: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0"/>
          <w:szCs w:val="20"/>
          <w:lang w:val="en-US"/>
          <w14:ligatures w14:val="none"/>
        </w:rPr>
        <w:t xml:space="preserve"> </w:t>
      </w:r>
      <w:r w:rsidRPr="00692790">
        <w:rPr>
          <w:rFonts w:ascii="Times New Roman" w:eastAsia="Times New Roman" w:hAnsi="Times New Roman" w:cs="Times New Roman"/>
          <w:b/>
          <w:color w:val="000000" w:themeColor="text1"/>
          <w:kern w:val="0"/>
          <w:sz w:val="20"/>
          <w:szCs w:val="20"/>
          <w:lang w:val="en-US"/>
          <w14:ligatures w14:val="none"/>
        </w:rPr>
        <w:t xml:space="preserve">Analysis of </w:t>
      </w:r>
      <w:r w:rsidRPr="00692790"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</w:rPr>
        <w:t>cell communications in developing mouse hippocampus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.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(</w:t>
      </w:r>
      <w:r w:rsidR="00692790"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</w:rPr>
        <w:t>A</w:t>
      </w:r>
      <w:r w:rsidRPr="00692790"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</w:rPr>
        <w:t xml:space="preserve">, </w:t>
      </w:r>
      <w:r w:rsidR="00692790"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</w:rPr>
        <w:t>B</w:t>
      </w:r>
      <w:r w:rsidRPr="00692790"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</w:rPr>
        <w:t>)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Heatmaps display the communication network inferred by CellAgentChat at E14.5 and E16.5, respectively. (</w:t>
      </w:r>
      <w:r w:rsidR="00692790"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</w:rPr>
        <w:t>C</w:t>
      </w:r>
      <w:r w:rsidRPr="00692790"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</w:rPr>
        <w:t xml:space="preserve">, </w:t>
      </w:r>
      <w:r w:rsidR="00692790"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</w:rPr>
        <w:t>D</w:t>
      </w:r>
      <w:r w:rsidRPr="00692790"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</w:rPr>
        <w:t>)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Dot plots illustrate the top 25 LR pairs between cell types inferred by CellAgentChat at E14.5 and E16.5, respectively.</w:t>
      </w:r>
    </w:p>
    <w:p w14:paraId="5E9A44BA" w14:textId="2E192B02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1693CAAA" wp14:editId="58CF262B">
            <wp:extent cx="5943600" cy="7691755"/>
            <wp:effectExtent l="0" t="0" r="0" b="4445"/>
            <wp:docPr id="127491788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917887" name="Picture 127491788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F42BE" w14:textId="08DE3493" w:rsidR="00C541A2" w:rsidRPr="00692790" w:rsidRDefault="00C541A2" w:rsidP="00C541A2">
      <w:pPr>
        <w:spacing w:line="48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lastRenderedPageBreak/>
        <w:t>Supplementary Figure 11: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0"/>
          <w:szCs w:val="20"/>
          <w:lang w:val="en-US"/>
          <w14:ligatures w14:val="none"/>
        </w:rPr>
        <w:t xml:space="preserve"> Analysis of 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Cell Communications in developing mouse hippocampus using non-spatial data.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(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E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,)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Heatmaps display the communication network inferred by CellAgentChat at E12.5, E14.5 and E16.5, respectively. (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D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F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,)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Dot plots illustrate the top 25 LR pairs between cell types inferred by CellAgentChat at E12.5, E14.5 and E16.5, respectively. </w:t>
      </w:r>
      <w:r w:rsidR="00692790"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br w:type="page"/>
      </w:r>
    </w:p>
    <w:p w14:paraId="6C3B209B" w14:textId="192BFBA9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476237D1" wp14:editId="25BBA63B">
            <wp:extent cx="5943600" cy="5351145"/>
            <wp:effectExtent l="0" t="0" r="0" b="0"/>
            <wp:docPr id="23657193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571938" name="Picture 23657193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5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D9BAB" w14:textId="66AA634C" w:rsidR="00C541A2" w:rsidRPr="00692790" w:rsidRDefault="00C541A2" w:rsidP="00C541A2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Supplementary Figure 12: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kern w:val="0"/>
          <w:sz w:val="20"/>
          <w:szCs w:val="20"/>
          <w:lang w:val="en-US"/>
          <w14:ligatures w14:val="none"/>
        </w:rPr>
        <w:t xml:space="preserve"> 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CellAgentChat can capture similar interactions across different technical samples.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(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,)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Heatmaps display the communication network inferred by CellAgentChat in the developing mouse hippocampus at E16.5 across three different 2D spatial slices.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D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Pairwise Pearson’s Correlation comparison of the communication pattern between each of the three slices. </w:t>
      </w:r>
    </w:p>
    <w:p w14:paraId="59E9A837" w14:textId="729A9D7B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3098774A" wp14:editId="2ECDD34E">
            <wp:extent cx="5943600" cy="6906895"/>
            <wp:effectExtent l="0" t="0" r="0" b="0"/>
            <wp:docPr id="164294333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943339" name="Picture 164294333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0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72F8D" w14:textId="539258FC" w:rsidR="00C541A2" w:rsidRPr="00692790" w:rsidRDefault="00C541A2" w:rsidP="00C541A2">
      <w:pPr>
        <w:spacing w:line="48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Supplementary Figure 13: Inferred interactions by CellAgentChat on Human breast cancer and pancreatic ductal adenocarcinoma datasets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UMAP visualization of scRNA-seq data of Xenium human breast cancer dataset.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UMAP visualization of scRNA-seq data of PDAC dataset. (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E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,)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Heatmaps display the communication network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lastRenderedPageBreak/>
        <w:t>inferred by CellAgentChat in breast cancer and PDAC, respectively. (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D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F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,)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Dot plots illustrate the top 25 LR pairs between cell types inferred by CellAgentChat in breast cancer and PDAC, respectively.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br w:type="page"/>
      </w:r>
    </w:p>
    <w:p w14:paraId="071831CE" w14:textId="0ACDD175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14E9204A" wp14:editId="262A29D0">
            <wp:extent cx="5943600" cy="6800850"/>
            <wp:effectExtent l="0" t="0" r="0" b="6350"/>
            <wp:docPr id="166682915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829150" name="Picture 1666829150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206DE" w14:textId="4D7BA928" w:rsidR="00C541A2" w:rsidRPr="00692790" w:rsidRDefault="00C541A2" w:rsidP="00C541A2">
      <w:pPr>
        <w:spacing w:line="48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Supplementary Figure 14: Inferred interactions by CellAgentChat on Mouse Somatosensory cortex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UMAP visualization of scRNA-seq data of SeqFISH+ mouse somatosensory cortex dataset. (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B,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)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Heatmaps display the communication network inferred by CellAgentChat with spatial data. (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,)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Dot plots illustrate the top 25 LR pairs between cell types inferred by CellAgentChat with spatial data</w:t>
      </w:r>
      <w:r w:rsid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.</w:t>
      </w:r>
      <w:r w:rsidR="00692790"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692790"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br w:type="page"/>
      </w:r>
    </w:p>
    <w:p w14:paraId="410372A2" w14:textId="0D3A71F0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1631B2DF" wp14:editId="22AC94F2">
            <wp:extent cx="5943600" cy="7649845"/>
            <wp:effectExtent l="0" t="0" r="0" b="0"/>
            <wp:docPr id="13008492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84925" name="Picture 13008492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4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184D9" w14:textId="25E0B17A" w:rsidR="00C541A2" w:rsidRPr="00692790" w:rsidRDefault="00C541A2" w:rsidP="00C541A2">
      <w:pPr>
        <w:spacing w:line="48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lastRenderedPageBreak/>
        <w:t xml:space="preserve">Supplementary Figure 15: 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Identification of key downstream genes related to breast cancer after in silico blockage of top receptors. </w:t>
      </w:r>
      <w:proofErr w:type="gramStart"/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proofErr w:type="gramEnd"/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Matrix plot shows the expression across cell types of the receptors involved in the top 25 </w:t>
      </w:r>
      <w:r w:rsidR="00A71A43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LR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pairs inferred by CellAgentChat.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Significance of receptor association with breast cancer as represented by -log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  <w:vertAlign w:val="subscript"/>
        </w:rPr>
        <w:t>10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adjusted P-values (FDR corrected</w:t>
      </w:r>
      <w:r w:rsidRPr="00692790">
        <w:rPr>
          <w:rFonts w:ascii="Times New Roman" w:eastAsia="Times New Roman" w:hAnsi="Times New Roman" w:cs="Times New Roman"/>
          <w:color w:val="000000" w:themeColor="text1"/>
          <w:kern w:val="0"/>
          <w:sz w:val="20"/>
          <w:szCs w:val="20"/>
          <w:lang w:val="en-US"/>
          <w14:ligatures w14:val="none"/>
        </w:rPr>
        <w:t>-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Benjamini–Hochberg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). Results are using the dense MLP without incorporating TF-prior LR-TF, TF-gene network information. (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D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E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,)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Matrix plots display the mean change in expression of each target gene for each cell type for,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PECAM1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SDC4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and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CXCR4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respectively (left). Identification of the top 10 downstream genes (target genes) with the highest percent change in absolute expression upon blocking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PECAM1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SDC4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and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CXCR4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respectively (middle). A red highlight indicates genes associated with breast cancer. Survival analysis displaying the probability of survival of high vs. low receptor expression groups for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PECAM1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SDC4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and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CXCR4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respectively (right). </w:t>
      </w:r>
    </w:p>
    <w:p w14:paraId="1E624410" w14:textId="79F668CF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7D1FD065" wp14:editId="325F887C">
            <wp:extent cx="5943600" cy="7200900"/>
            <wp:effectExtent l="0" t="0" r="0" b="0"/>
            <wp:docPr id="188903997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039977" name="Picture 188903997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1C93E" w14:textId="2C744F2A" w:rsidR="00C541A2" w:rsidRPr="0014287F" w:rsidRDefault="00C541A2" w:rsidP="0014287F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Supplementary Figure 16: CellAgentChat’s Animation depicts the cell receiving score (CRS) across individual cells for each candidate receptor.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After receptor blocking, all interactions involving these cell types will be completely blocked (go to zero), causing a shift in the interaction profile of the cells.</w:t>
      </w:r>
    </w:p>
    <w:p w14:paraId="6F52216B" w14:textId="02A81C60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06552F2C" wp14:editId="30FDEDC3">
            <wp:extent cx="5943600" cy="5910580"/>
            <wp:effectExtent l="0" t="0" r="0" b="0"/>
            <wp:docPr id="159685216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852169" name="Picture 159685216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1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E11F4" w14:textId="0D830D14" w:rsidR="00C541A2" w:rsidRPr="00692790" w:rsidRDefault="00C541A2" w:rsidP="00465098">
      <w:pPr>
        <w:spacing w:line="48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Supplementary Figure 17: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 Identification of key downstream genes related to breast cancer after in silico blockage of top receptors.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(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,)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Matrix plots display the mean change in expression of each target gene for each cell type for,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AVPR1A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CD80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and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CD93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respectively (left). Identification of the top 10 downstream genes (target genes) with the highest percent change in absolute expression upon blocking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AVPR1A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CD80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and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CD93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respectively (middle). A red highlight indicates genes associated with breast cancer. Survival analysis displaying the probability of survival of high vs. low receptor expression groups for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AVPR1A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CD80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and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CD93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respectively (right). </w:t>
      </w:r>
    </w:p>
    <w:p w14:paraId="5573AB30" w14:textId="79F5A66A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5FFE35A7" wp14:editId="7EF723D6">
            <wp:extent cx="5943600" cy="7451725"/>
            <wp:effectExtent l="0" t="0" r="0" b="3175"/>
            <wp:docPr id="66085041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850416" name="Picture 66085041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F35BD" w14:textId="130CEDCB" w:rsidR="00C541A2" w:rsidRPr="00692790" w:rsidRDefault="00C541A2" w:rsidP="00465098">
      <w:pPr>
        <w:spacing w:line="48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Supplementary Figure 18: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 Identification of key downstream genes related to PDAC after in silico blockage of top receptors.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</w:t>
      </w:r>
      <w:proofErr w:type="gramStart"/>
      <w:r w:rsid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proofErr w:type="gramEnd"/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Significance of receptor association with pancreatic ductal adenocarcinoma (PDAC) as represented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lastRenderedPageBreak/>
        <w:t>by -log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  <w:vertAlign w:val="subscript"/>
        </w:rPr>
        <w:t>10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adjusted P-values (binomial test; FDR corrected</w:t>
      </w:r>
      <w:r w:rsidRPr="00692790">
        <w:rPr>
          <w:rFonts w:ascii="Times New Roman" w:eastAsia="Times New Roman" w:hAnsi="Times New Roman" w:cs="Times New Roman"/>
          <w:color w:val="000000" w:themeColor="text1"/>
          <w:kern w:val="0"/>
          <w:sz w:val="20"/>
          <w:szCs w:val="20"/>
          <w:lang w:val="en-US"/>
          <w14:ligatures w14:val="none"/>
        </w:rPr>
        <w:t>-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Benjamini–Hochberg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).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NOTCH3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PLAUR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 xml:space="preserve">ITGA11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and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CD74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, highlighted in red, have significant -log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  <w:vertAlign w:val="subscript"/>
        </w:rPr>
        <w:t>10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adjusted P-values.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gramStart"/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The</w:t>
      </w:r>
      <w:proofErr w:type="gramEnd"/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cell receiving score (CRS) for all interactions involving the receptors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NOTCH3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PLAUR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ITGA11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and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CD74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determined using CellAgentChat’s animation platform. The size of the cell in the animation indicates the CRS. (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E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G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I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,)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Matrix plots display the mean change in expression of each target gene for each cell type for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NOTCH3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PLAUR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ITGA11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and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CD74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respectively. A red highlight indicates downstream genes associated with PDAC. 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(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D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F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H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J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,)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Survival analysis displaying the probability of survival of high vs. low receptor expression groups for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NOTCH3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PLAUR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ITGA11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and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CD74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respectively. </w:t>
      </w:r>
    </w:p>
    <w:p w14:paraId="091D6F73" w14:textId="06CE7AA1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3A433793" wp14:editId="54C89113">
            <wp:extent cx="5943600" cy="6570980"/>
            <wp:effectExtent l="0" t="0" r="0" b="0"/>
            <wp:docPr id="204440147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401471" name="Picture 204440147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7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41FCB" w14:textId="3F32E439" w:rsidR="00C541A2" w:rsidRPr="00692790" w:rsidRDefault="00C541A2" w:rsidP="00C541A2">
      <w:pPr>
        <w:spacing w:line="48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Supplementary Figure 19: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 Identification of key downstream genes related to PDAC after in silico blockage of top receptors. </w:t>
      </w:r>
      <w:proofErr w:type="gramStart"/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proofErr w:type="gramEnd"/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Matrix plot shows the expression across cell types of the receptors involved in the top 25 ligand-receptor pairs inferred by CellAgentChat.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Significance of receptor association with PDAC, as represented by -log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  <w:vertAlign w:val="subscript"/>
        </w:rPr>
        <w:t>10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adjusted P-values (FDR corrected</w:t>
      </w:r>
      <w:r w:rsidRPr="00692790">
        <w:rPr>
          <w:rFonts w:ascii="Times New Roman" w:eastAsia="Times New Roman" w:hAnsi="Times New Roman" w:cs="Times New Roman"/>
          <w:color w:val="000000" w:themeColor="text1"/>
          <w:kern w:val="0"/>
          <w:sz w:val="20"/>
          <w:szCs w:val="20"/>
          <w:lang w:val="en-US"/>
          <w14:ligatures w14:val="none"/>
        </w:rPr>
        <w:t>-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Benjamini–Hochberg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). Results are using the dense MLP without incorporating TF-prior LR-TF, TF-gene network information. </w:t>
      </w:r>
      <w:r w:rsid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Identification of the top 25 downstream genes (target genes) with the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lastRenderedPageBreak/>
        <w:t xml:space="preserve">highest percent change in absolute expression upon blocking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NOTCH3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PLAUR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ITGA11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and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CD74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, respectively. A red highlight indicates downstream genes associated with PDAC.</w:t>
      </w:r>
      <w:r w:rsidR="00692790"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br w:type="page"/>
      </w:r>
    </w:p>
    <w:p w14:paraId="04BF13CC" w14:textId="57B84ECD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54B3FDF7" wp14:editId="7E45CFC2">
            <wp:extent cx="5943600" cy="5855335"/>
            <wp:effectExtent l="0" t="0" r="0" b="0"/>
            <wp:docPr id="12901174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11742" name="Picture 129011742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5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C87A8" w14:textId="709D67B6" w:rsidR="00465098" w:rsidRPr="00692790" w:rsidRDefault="00C541A2" w:rsidP="00465098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Supplementary Figure 20: Comparison of CellAgentChat in silico receptor blocking with scGen.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A,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Enrichment for the breast cancer gene set of the significantly perturbed genes based on the </w:t>
      </w:r>
      <w:proofErr w:type="gramStart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in</w:t>
      </w:r>
      <w:r w:rsidR="00F63C29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silico</w:t>
      </w:r>
      <w:proofErr w:type="gramEnd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perturbation of the selected 13 receptors using CellAgentChat and scGen. The enrichment is represented as the -log10 adjusted P-values (binomial test; FDR corrected- Benjamini–Hochberg).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EGFR, PDCD1, PECAM1, SDC4, CXCR4, AVPR1A, CTLA4, CD80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and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CD93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highlighted in red, have significant -log10 adjusted P-values for the breast cancer gene set enrichment using CellAgentChat but not scGen.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Boxplot showing the absolute breast cancer gene scores for downstream target gene predictions following receptor perturbations in breast cancer, generated using CellAgentChat and scGen.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P-values calculated using Wilcoxon one-sided test.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Enrichment for the PDAC gene set of the significantly perturbed genes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 xml:space="preserve">based on the </w:t>
      </w:r>
      <w:proofErr w:type="gramStart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in</w:t>
      </w:r>
      <w:r w:rsidR="00F63C29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silico</w:t>
      </w:r>
      <w:proofErr w:type="gramEnd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perturbation of the selected 16 receptors using CellAgentChat and scGen. The enrichment is represented as the -log10 adjusted P-values (binomial test; FDR corrected-Benjamini–Hochberg).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NOTCH3, PLAUR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and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CD74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highlighted in red, have significant -log10 adjusted P-values for the PDAC gene set enrichment using CellAgentChat.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D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Boxplot showing the absolute breast cancer gene scores for downstream target gene predictions following receptor perturbations in PDAC, generated using CellAgentChat and scGen.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P-values calculated using Wilcoxon one-sided test. 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e,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Survival analysis displaying the probability of survival of high vs. low receptor expression groups for receptors found significant by scGen but not CellAgentChat,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SDC1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TNFRSF10A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and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ITGA5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respectively. </w:t>
      </w:r>
      <w:r w:rsidR="00692790"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br w:type="page"/>
      </w:r>
    </w:p>
    <w:p w14:paraId="0DBC38E9" w14:textId="5F65FB02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665B6AD8" wp14:editId="5D616DDF">
            <wp:extent cx="5943600" cy="5407660"/>
            <wp:effectExtent l="0" t="0" r="0" b="2540"/>
            <wp:docPr id="178336980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369802" name="Picture 1783369802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0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FF8AC" w14:textId="27BBE541" w:rsidR="00C541A2" w:rsidRPr="00692790" w:rsidRDefault="00C541A2" w:rsidP="00C541A2">
      <w:pPr>
        <w:pStyle w:val="p1"/>
        <w:spacing w:line="480" w:lineRule="auto"/>
        <w:rPr>
          <w:color w:val="000000" w:themeColor="text1"/>
        </w:rPr>
      </w:pPr>
      <w:r w:rsidRPr="00692790">
        <w:rPr>
          <w:rFonts w:ascii="Times New Roman" w:hAnsi="Times New Roman"/>
          <w:b/>
          <w:bCs/>
          <w:color w:val="000000" w:themeColor="text1"/>
        </w:rPr>
        <w:t xml:space="preserve">Supplementary Figure 21: Inferred interactions by CellAgentChat in Tumor and Healthy Regions of the Pancreas in a PDAC Patient. </w:t>
      </w:r>
      <w:r w:rsidR="00DE1D3D">
        <w:rPr>
          <w:rFonts w:ascii="Times New Roman" w:hAnsi="Times New Roman"/>
          <w:b/>
          <w:bCs/>
          <w:color w:val="000000" w:themeColor="text1"/>
        </w:rPr>
        <w:t>A</w:t>
      </w:r>
      <w:r w:rsidRPr="00692790">
        <w:rPr>
          <w:rFonts w:ascii="Times New Roman" w:hAnsi="Times New Roman"/>
          <w:b/>
          <w:bCs/>
          <w:color w:val="000000" w:themeColor="text1"/>
        </w:rPr>
        <w:t>,</w:t>
      </w:r>
      <w:r w:rsidRPr="00692790">
        <w:rPr>
          <w:rFonts w:ascii="Times New Roman" w:hAnsi="Times New Roman"/>
          <w:color w:val="000000" w:themeColor="text1"/>
        </w:rPr>
        <w:t xml:space="preserve"> </w:t>
      </w:r>
      <w:r w:rsidRPr="00692790">
        <w:rPr>
          <w:rFonts w:ascii="Times New Roman" w:hAnsi="Times New Roman"/>
          <w:color w:val="000000" w:themeColor="text1"/>
          <w:lang w:val="en-US"/>
        </w:rPr>
        <w:t xml:space="preserve">Heatmap displays the communication network inferred by CellAgentChat in the tumor region of PDAC. </w:t>
      </w:r>
      <w:r w:rsidR="00DE1D3D">
        <w:rPr>
          <w:rFonts w:ascii="Times New Roman" w:hAnsi="Times New Roman"/>
          <w:b/>
          <w:bCs/>
          <w:color w:val="000000" w:themeColor="text1"/>
          <w:lang w:val="en-US"/>
        </w:rPr>
        <w:t>B</w:t>
      </w:r>
      <w:r w:rsidRPr="00692790">
        <w:rPr>
          <w:rFonts w:ascii="Times New Roman" w:hAnsi="Times New Roman"/>
          <w:color w:val="000000" w:themeColor="text1"/>
          <w:lang w:val="en-US"/>
        </w:rPr>
        <w:t xml:space="preserve">, Dot plot illustrates the top 25 LR pairs between cell types inferred by CellAgentChat in the tumor region of PDAC. </w:t>
      </w:r>
      <w:r w:rsidR="00DE1D3D">
        <w:rPr>
          <w:rFonts w:ascii="Times New Roman" w:hAnsi="Times New Roman"/>
          <w:b/>
          <w:bCs/>
          <w:color w:val="000000" w:themeColor="text1"/>
        </w:rPr>
        <w:t>C</w:t>
      </w:r>
      <w:r w:rsidRPr="00692790">
        <w:rPr>
          <w:rFonts w:ascii="Times New Roman" w:hAnsi="Times New Roman"/>
          <w:b/>
          <w:bCs/>
          <w:color w:val="000000" w:themeColor="text1"/>
        </w:rPr>
        <w:t>,</w:t>
      </w:r>
      <w:r w:rsidRPr="00692790">
        <w:rPr>
          <w:rFonts w:ascii="Times New Roman" w:hAnsi="Times New Roman"/>
          <w:color w:val="000000" w:themeColor="text1"/>
        </w:rPr>
        <w:t xml:space="preserve"> </w:t>
      </w:r>
      <w:r w:rsidRPr="00692790">
        <w:rPr>
          <w:rFonts w:ascii="Times New Roman" w:hAnsi="Times New Roman"/>
          <w:color w:val="000000" w:themeColor="text1"/>
          <w:lang w:val="en-US"/>
        </w:rPr>
        <w:t xml:space="preserve">Heatmap displays the communication network inferred by CellAgentChat in the healthy region of PDAC. </w:t>
      </w:r>
      <w:r w:rsidR="00DE1D3D">
        <w:rPr>
          <w:rFonts w:ascii="Times New Roman" w:hAnsi="Times New Roman"/>
          <w:b/>
          <w:bCs/>
          <w:color w:val="000000" w:themeColor="text1"/>
          <w:lang w:val="en-US"/>
        </w:rPr>
        <w:t>D</w:t>
      </w:r>
      <w:r w:rsidRPr="00692790">
        <w:rPr>
          <w:rFonts w:ascii="Times New Roman" w:hAnsi="Times New Roman"/>
          <w:color w:val="000000" w:themeColor="text1"/>
          <w:lang w:val="en-US"/>
        </w:rPr>
        <w:t>, Dot plot illustrates the top 25 LR pairs between cell types inferred by CellAgentChat in the healthy region of PDAC.</w:t>
      </w:r>
    </w:p>
    <w:p w14:paraId="1353908A" w14:textId="4B6A6640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4BE194BE" wp14:editId="5F82731D">
            <wp:extent cx="5943600" cy="7385685"/>
            <wp:effectExtent l="0" t="0" r="0" b="5715"/>
            <wp:docPr id="163632534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325343" name="Picture 1636325343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8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87686" w14:textId="514D372A" w:rsidR="00C541A2" w:rsidRPr="00692790" w:rsidRDefault="00C541A2" w:rsidP="00C541A2">
      <w:pPr>
        <w:spacing w:line="48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Supplementary Figure 22: 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Identification of key downstream genes related to PDAC after in silico blockage of top receptors in tumor and healthy regions of the pancreas.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Enrichment for the PDAC gene set of the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 xml:space="preserve">significantly perturbed genes based on the </w:t>
      </w:r>
      <w:proofErr w:type="gramStart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in</w:t>
      </w:r>
      <w:r w:rsidR="00CE0D0F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silico</w:t>
      </w:r>
      <w:proofErr w:type="gramEnd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perturbation of the selected 11 receptors in the tumor region. The enrichment is represented as the -log10 adjusted P-values (binomial test; FDR corrected-Benjamini–Hochberg).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LRP1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CAV1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and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CD93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highlighted in red, have significant -log10 adjusted P-values for the PDAC gene set enrichment.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Enrichment for the PDAC gene set of the significantly perturbed genes based on the </w:t>
      </w:r>
      <w:proofErr w:type="gramStart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in</w:t>
      </w:r>
      <w:r w:rsidR="00CE0D0F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silico</w:t>
      </w:r>
      <w:proofErr w:type="gramEnd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perturbation of the selected 15 receptors in the healthy pancreas region. The enrichment is represented as the -log10 adjusted P-values (binomial test; FDR corrected-Benjamini–Hochberg). No receptors have significant -log10 adjusted P-values for the PDAC gene set enrichment. 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(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E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G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,)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bookmarkStart w:id="0" w:name="OLE_LINK2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Matrix plots display the mean change in expression of each target gene for each cell type for,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LRP1</w:t>
      </w:r>
      <w:bookmarkEnd w:id="0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CAV1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and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CD93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respectively. A red highlight indicates genes associated with PDAC. 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(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D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F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H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,)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Survival analysis displaying the probability of survival of high vs. low receptor expression groups for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LRP1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CAV1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and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CD93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, respectively.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br w:type="page"/>
      </w:r>
    </w:p>
    <w:p w14:paraId="6C87C686" w14:textId="03699648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04B6F3B2" wp14:editId="0343805A">
            <wp:extent cx="5943600" cy="4942205"/>
            <wp:effectExtent l="0" t="0" r="0" b="0"/>
            <wp:docPr id="205781100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811001" name="Picture 205781100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4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211FA" w14:textId="010477D7" w:rsidR="00C541A2" w:rsidRPr="00692790" w:rsidRDefault="00C541A2" w:rsidP="00692790">
      <w:pPr>
        <w:spacing w:line="48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Supplementary Figure 23: I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dentification of key downstream genes related to PDAC after in silico blockage of top receptors in the tumor region of pancreas.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Identification of the top 25 downstream genes (target genes) with the highest percent change in absolute expression upon blocking </w:t>
      </w:r>
      <w:r w:rsidR="00DE1D3D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LRP1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</w:t>
      </w:r>
      <w:r w:rsidR="00DE1D3D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CD93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, and </w:t>
      </w:r>
      <w:r w:rsidR="00DE1D3D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692790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CAV1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, respectively. A red highlight indicates downstream genes associated with PDAC.</w:t>
      </w:r>
    </w:p>
    <w:p w14:paraId="17587CC3" w14:textId="05394900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01B230EA" wp14:editId="59CB0054">
            <wp:extent cx="5943600" cy="3169920"/>
            <wp:effectExtent l="0" t="0" r="0" b="5080"/>
            <wp:docPr id="44317944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179441" name="Picture 44317944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AF578" w14:textId="315D2D79" w:rsidR="00C541A2" w:rsidRPr="00692790" w:rsidRDefault="00C541A2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bookmarkStart w:id="1" w:name="OLE_LINK1"/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Supplementary Figure 24: 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Identification of key downstream genes related to PDAC after in silico blockage of tumor top receptors in the healthy region of the pancreas.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Enrichment for the PDAC gene set of the significantly perturbed genes based on the </w:t>
      </w:r>
      <w:proofErr w:type="gramStart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in</w:t>
      </w:r>
      <w:r w:rsidR="00CE0D0F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silico</w:t>
      </w:r>
      <w:proofErr w:type="gramEnd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perturbation of the selected 11 receptors in the tumor region applied to cells in the healthy region of the pancreas.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Identification of the top 10 downstream genes with the highest percent change in absolute expression upon blocking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LRP1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. A red highlight indicates genes associated with PDAC.</w:t>
      </w:r>
      <w:r w:rsidR="00E03DC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E03DCE" w:rsidRPr="00E03DCE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C,</w:t>
      </w:r>
      <w:r w:rsidR="00E03DCE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</w:t>
      </w:r>
      <w:r w:rsidR="00E03DCE" w:rsidRPr="00367120">
        <w:rPr>
          <w:rFonts w:ascii="Times New Roman" w:eastAsia="Times New Roman" w:hAnsi="Times New Roman" w:cs="Times New Roman"/>
          <w:color w:val="000000"/>
          <w:kern w:val="0"/>
          <w:sz w:val="20"/>
          <w:szCs w:val="20"/>
          <w14:ligatures w14:val="none"/>
        </w:rPr>
        <w:t xml:space="preserve">Matrix plots display the mean change in expression of each target gene for each cell type for, </w:t>
      </w:r>
      <w:r w:rsidR="00E03DCE" w:rsidRPr="00367120">
        <w:rPr>
          <w:rFonts w:ascii="Times New Roman" w:eastAsia="Times New Roman" w:hAnsi="Times New Roman" w:cs="Times New Roman"/>
          <w:i/>
          <w:iCs/>
          <w:color w:val="000000"/>
          <w:kern w:val="0"/>
          <w:sz w:val="20"/>
          <w:szCs w:val="20"/>
          <w14:ligatures w14:val="none"/>
        </w:rPr>
        <w:t xml:space="preserve">LRP1. </w:t>
      </w:r>
      <w:r w:rsidR="00E03DCE" w:rsidRPr="00367120">
        <w:rPr>
          <w:rFonts w:ascii="Times New Roman" w:eastAsia="Times New Roman" w:hAnsi="Times New Roman" w:cs="Times New Roman"/>
          <w:color w:val="000000"/>
          <w:kern w:val="0"/>
          <w:sz w:val="20"/>
          <w:szCs w:val="20"/>
          <w14:ligatures w14:val="none"/>
        </w:rPr>
        <w:t>A red highlight indicates genes associated with PDAC.</w:t>
      </w:r>
    </w:p>
    <w:bookmarkEnd w:id="1"/>
    <w:p w14:paraId="5C37CC3E" w14:textId="54B3EC4D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157D1F37" wp14:editId="6086D91D">
            <wp:extent cx="5943600" cy="3940175"/>
            <wp:effectExtent l="0" t="0" r="0" b="0"/>
            <wp:docPr id="1408670652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670652" name="Picture 140867065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34395" w14:textId="4191D881" w:rsidR="00C541A2" w:rsidRPr="00692790" w:rsidRDefault="00C541A2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Supplementary Figure 25: I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dentification of key downstream genes related to PDAC after in silico blockage of top receptors using a dense neural network structure. </w:t>
      </w:r>
      <w:r w:rsidR="00DE1D3D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Enrichment for the PDAC gene set of the significantly perturbed genes based on the </w:t>
      </w:r>
      <w:proofErr w:type="gramStart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in</w:t>
      </w:r>
      <w:r w:rsidR="00CE0D0F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silico</w:t>
      </w:r>
      <w:proofErr w:type="gramEnd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perturbation of the selected 11 receptors in the tumor region. The enrichment is represented as the -log10 adjusted P-values (binomial test; FDR corrected-Benjamini–Hochberg). </w:t>
      </w:r>
      <w:r w:rsidR="00DE1D3D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Enrichment for the PDAC gene set of the significantly perturbed genes based on the </w:t>
      </w:r>
      <w:proofErr w:type="gramStart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in</w:t>
      </w:r>
      <w:r w:rsidR="00F63C29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silico</w:t>
      </w:r>
      <w:proofErr w:type="gramEnd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perturbation of the selected 15 receptors in the healthy region. The enrichment is represented as the -log10 adjusted P-values (binomial test; FDR corrected-Benjamini–Hochberg). </w:t>
      </w:r>
      <w:r w:rsidR="00DE1D3D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Enrichment for the PDAC gene set of the significantly perturbed genes based on the </w:t>
      </w:r>
      <w:proofErr w:type="gramStart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in</w:t>
      </w:r>
      <w:r w:rsidR="00F63C29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silico</w:t>
      </w:r>
      <w:proofErr w:type="gramEnd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perturbation of the selected 11 receptors in the tumor region but applied to the healthy region. The enrichment is represented as the -log10 adjusted P-values (binomial test; FDR corrected-Benjamini–Hochberg).</w:t>
      </w:r>
    </w:p>
    <w:p w14:paraId="73BD8830" w14:textId="2F345F11" w:rsidR="00C541A2" w:rsidRPr="00692790" w:rsidRDefault="0014287F" w:rsidP="00C541A2">
      <w:pPr>
        <w:spacing w:line="480" w:lineRule="auto"/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2"/>
          <w:szCs w:val="22"/>
        </w:rPr>
        <w:lastRenderedPageBreak/>
        <w:drawing>
          <wp:inline distT="0" distB="0" distL="0" distR="0" wp14:anchorId="072FDF47" wp14:editId="79B32E51">
            <wp:extent cx="5943600" cy="3786505"/>
            <wp:effectExtent l="0" t="0" r="0" b="0"/>
            <wp:docPr id="208319317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193177" name="Picture 208319317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8F3F4" w14:textId="58C9F345" w:rsidR="00C541A2" w:rsidRPr="00692790" w:rsidRDefault="00C541A2" w:rsidP="00C541A2">
      <w:pPr>
        <w:spacing w:line="480" w:lineRule="auto"/>
        <w:rPr>
          <w:rFonts w:ascii="Times New Roman" w:eastAsia="Times New Roman" w:hAnsi="Times New Roman" w:cs="Times New Roman"/>
          <w:color w:val="000000" w:themeColor="text1"/>
          <w:sz w:val="22"/>
          <w:szCs w:val="22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Supplementary Figure 26: Comparison of molecular weights of ligands found by CellAgentChat in long-range and short-range modes.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Boxplot compares the molecular weights of ligands involved in the top ligand-receptor (LR) pairs identified in the short-range mode (</w:t>
      </w:r>
      <m:oMath>
        <m:r>
          <w:rPr>
            <w:rFonts w:ascii="Cambria Math" w:hAnsi="Cambria Math" w:cs="Times New Roman"/>
            <w:color w:val="000000" w:themeColor="text1"/>
            <w:sz w:val="20"/>
            <w:szCs w:val="20"/>
          </w:rPr>
          <m:t xml:space="preserve">δ </m:t>
        </m:r>
      </m:oMath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= 10) versus the long-range mode (</w:t>
      </w:r>
      <m:oMath>
        <m:r>
          <w:rPr>
            <w:rFonts w:ascii="Cambria Math" w:hAnsi="Cambria Math" w:cs="Times New Roman"/>
            <w:color w:val="000000" w:themeColor="text1"/>
            <w:sz w:val="20"/>
            <w:szCs w:val="20"/>
          </w:rPr>
          <m:t>δ</m:t>
        </m:r>
      </m:oMath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= 0.1).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P-values calculated using Wilcoxon one-sided test.   </w:t>
      </w:r>
    </w:p>
    <w:p w14:paraId="322391DC" w14:textId="065C23BA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2"/>
          <w:szCs w:val="22"/>
        </w:rPr>
        <w:lastRenderedPageBreak/>
        <w:drawing>
          <wp:inline distT="0" distB="0" distL="0" distR="0" wp14:anchorId="17D340C2" wp14:editId="483644BD">
            <wp:extent cx="5943600" cy="7055485"/>
            <wp:effectExtent l="0" t="0" r="0" b="5715"/>
            <wp:docPr id="177112599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125990" name="Picture 1771125990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5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52797" w14:textId="08417D16" w:rsidR="00C541A2" w:rsidRPr="00692790" w:rsidRDefault="00C541A2" w:rsidP="00C541A2">
      <w:pPr>
        <w:spacing w:line="48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Supplementary Figure 27: CellAgentChat Dynamic Simulations.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Overview of ABM dynamic update over time steps using the deep learning model.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, Boxplot illustrating the Pearson’s correlation between the pseudotime trajectory and the dynamic trajectory generated by the ABM for all genes (median r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2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=0.49), as well as for ligand and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>receptor genes specifically (median r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2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=0.48) for a total of </w:t>
      </w:r>
      <w:proofErr w:type="gramStart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5 time</w:t>
      </w:r>
      <w:proofErr w:type="gramEnd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steps.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Pseudotime trajectory vs. ABM dynamic trajectory of the receptor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ITGA6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for </w:t>
      </w:r>
      <w:proofErr w:type="gramStart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5 time</w:t>
      </w:r>
      <w:proofErr w:type="gramEnd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steps.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D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Pseudotime trajectory vs. ABM dynamic trajectory of the ligand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MMP1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for </w:t>
      </w:r>
      <w:proofErr w:type="gramStart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5 time</w:t>
      </w:r>
      <w:proofErr w:type="gramEnd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steps.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E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Pseudotime trajectory vs. ABM dynamic trajectory of the ligand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CALR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for </w:t>
      </w:r>
      <w:proofErr w:type="gramStart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5 time</w:t>
      </w:r>
      <w:proofErr w:type="gramEnd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steps.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F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Pseudotime trajectory vs. ABM dynamic trajectory of the receptor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CD44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for </w:t>
      </w:r>
      <w:proofErr w:type="gramStart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5 time</w:t>
      </w:r>
      <w:proofErr w:type="gramEnd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steps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.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G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Box plot of the Pearson’s Correlation of the pseudotime trajectory vs. ABM dynamic trajectory for</w:t>
      </w:r>
      <w:r w:rsidR="00D4691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up to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gramStart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>20 time</w:t>
      </w:r>
      <w:proofErr w:type="gramEnd"/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steps.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H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Average number of cells per bin in the SCC dataset for time steps 1-100. </w:t>
      </w:r>
    </w:p>
    <w:p w14:paraId="2620DDF4" w14:textId="0FB4EE1C" w:rsidR="001D1E86" w:rsidRPr="00692790" w:rsidRDefault="0014287F" w:rsidP="001D1E86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2B1F5AAD" wp14:editId="5455A335">
            <wp:extent cx="5943600" cy="7088505"/>
            <wp:effectExtent l="0" t="0" r="0" b="0"/>
            <wp:docPr id="71072087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720876" name="Picture 710720876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8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01AB2" w14:textId="24EC9950" w:rsidR="001D1E86" w:rsidRPr="00692790" w:rsidRDefault="001D1E86" w:rsidP="001D1E86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Supplementary Figure </w:t>
      </w:r>
      <w: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28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: Confirmation that receptor blocking, achieved by nullifying the receptor, does not significantly alter the resulting gene expression of cells. </w:t>
      </w:r>
      <w: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UMAP visualization of cells before and after perturbation for four receptors,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SDC4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EGFR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CD44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and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ITGB4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in the SCC dataset. UMAP projections show that the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 xml:space="preserve">cell expression does not deviate much after receptor perturbation. </w:t>
      </w:r>
      <w: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UMAP visualization of cells before and after perturbation for four receptors,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Lrp1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Vipr1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Crh1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and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Htr6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in the Stereo-seq E12.5 mouse hippocampus dataset. UMAP projections show that the cell expression does not deviate much after receptor perturbation. 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br w:type="page"/>
      </w:r>
    </w:p>
    <w:p w14:paraId="131D10DC" w14:textId="715DCE20" w:rsidR="001D1E86" w:rsidRPr="00692790" w:rsidRDefault="0014287F" w:rsidP="001D1E86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36B999BC" wp14:editId="39EF2D21">
            <wp:extent cx="5943600" cy="7220585"/>
            <wp:effectExtent l="0" t="0" r="0" b="5715"/>
            <wp:docPr id="103294649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946494" name="Picture 1032946494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2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52407" w14:textId="1437795A" w:rsidR="00C541A2" w:rsidRPr="00692790" w:rsidRDefault="001D1E86" w:rsidP="001D1E86">
      <w:pPr>
        <w:spacing w:line="48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Supplementary Figure </w:t>
      </w:r>
      <w: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29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: Confirmation that receptor blocking, achieved by permutating receptor features variables and lowering receptor expression, does not significantly alter the resulting gene expression of cells. </w:t>
      </w:r>
      <w: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UMAP visualization of cells before and after perturbation for four receptors,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SDC4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EGFR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CD44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and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ITGB4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in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 xml:space="preserve">the SCC dataset. UMAP projections show that the cell expression does not deviate much after receptor perturbation. </w:t>
      </w:r>
      <w: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UMAP visualization of cells before and after perturbation for four receptors,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Lrp1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Vipr1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Crh1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and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Htr6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in the Stereo-seq E12.5 mouse hippocampus dataset. UMAP projections show that the cell expression does not deviate much after receptor perturbation. 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br w:type="page"/>
      </w:r>
    </w:p>
    <w:p w14:paraId="2F4BA3F3" w14:textId="6ED97B4B" w:rsidR="00C541A2" w:rsidRPr="00692790" w:rsidRDefault="0014287F" w:rsidP="00C541A2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285BEAF4" wp14:editId="63CBD7AE">
            <wp:extent cx="5943600" cy="4193540"/>
            <wp:effectExtent l="0" t="0" r="0" b="0"/>
            <wp:docPr id="101715801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158019" name="Picture 1017158019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075FF" w14:textId="53AFEF8B" w:rsidR="00C541A2" w:rsidRPr="00692790" w:rsidRDefault="00C541A2" w:rsidP="001D1E86">
      <w:pPr>
        <w:spacing w:line="48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Supplementary Figure </w:t>
      </w:r>
      <w:r w:rsidR="001D1E86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30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: Receptor importance scores across receptors and datasets (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D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E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F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G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,)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Histogram of the receptor importance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0"/>
                <w:szCs w:val="20"/>
              </w:rPr>
              <m:t>I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0"/>
                <w:szCs w:val="20"/>
              </w:rPr>
              <m:t>r</m:t>
            </m:r>
          </m:sub>
        </m:sSub>
      </m:oMath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for the SCC, PDAC, SeqFISH+, Xenium, E12.5 mouse brain, E14.5 mouse brain and E16.5 mouse brain datasets, respectively.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0"/>
                <w:szCs w:val="20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0"/>
                <w:szCs w:val="20"/>
              </w:rPr>
              <m:t>I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0"/>
                <w:szCs w:val="20"/>
              </w:rPr>
              <m:t>r</m:t>
            </m:r>
          </m:sub>
        </m:sSub>
      </m:oMath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is always positive. </w:t>
      </w:r>
    </w:p>
    <w:p w14:paraId="45F885EA" w14:textId="6B0BA16E" w:rsidR="00C541A2" w:rsidRPr="00692790" w:rsidRDefault="0014287F" w:rsidP="00C541A2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83CF68B" wp14:editId="7435F252">
            <wp:extent cx="5943600" cy="6076315"/>
            <wp:effectExtent l="0" t="0" r="0" b="0"/>
            <wp:docPr id="1923462372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462372" name="Picture 1923462372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7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02C1A" w14:textId="35F7EF95" w:rsidR="00C541A2" w:rsidRPr="00692790" w:rsidRDefault="00C541A2" w:rsidP="00C541A2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Supplementary Figure 3</w:t>
      </w:r>
      <w:r w:rsidR="001D1E86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1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: Direction consistency of CellAgentChat predicted downstream gene expression when </w:t>
      </w:r>
      <w:r w:rsidRPr="00692790">
        <w:rPr>
          <w:rFonts w:ascii="Times New Roman" w:hAnsi="Times New Roman" w:cs="Times New Roman"/>
          <w:b/>
          <w:bCs/>
          <w:i/>
          <w:iCs/>
          <w:color w:val="000000" w:themeColor="text1"/>
          <w:sz w:val="20"/>
          <w:szCs w:val="20"/>
        </w:rPr>
        <w:t xml:space="preserve">EGFR 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is perturbed.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Heatmap of the change in expression direction after perturbation of top 10 Tumor markers, tumor associated stromal markers and stromal normal genes when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EGFR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is blocked. Results show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consistency in the expression direction change after perturbation within individual cell types for key marker genes.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B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,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Boxplot of the absolute gene score percent change between cell type specific marker genes and non-marker genes (random genes), before and after perturbation of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  <w:lang w:val="en-US"/>
        </w:rPr>
        <w:t>EGFR.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P-values calculated using Wilcoxon one-sided test.</w:t>
      </w:r>
    </w:p>
    <w:p w14:paraId="3078A6D5" w14:textId="2E14435F" w:rsidR="00C541A2" w:rsidRPr="00692790" w:rsidRDefault="0014287F" w:rsidP="00C541A2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5A6955AC" wp14:editId="751BF292">
            <wp:extent cx="5943600" cy="6031865"/>
            <wp:effectExtent l="0" t="0" r="0" b="635"/>
            <wp:docPr id="92746897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468977" name="Picture 927468977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3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4920B" w14:textId="613003B7" w:rsidR="00C541A2" w:rsidRPr="00692790" w:rsidRDefault="00C541A2" w:rsidP="00C541A2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Supplementary Figure 3</w:t>
      </w:r>
      <w:r w:rsidR="001D1E86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2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: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Direction consistency of CellAgentChat predicted downstream gene expression when </w:t>
      </w:r>
      <w:r w:rsidRPr="00692790">
        <w:rPr>
          <w:rFonts w:ascii="Times New Roman" w:hAnsi="Times New Roman" w:cs="Times New Roman"/>
          <w:b/>
          <w:bCs/>
          <w:i/>
          <w:iCs/>
          <w:color w:val="000000" w:themeColor="text1"/>
          <w:sz w:val="20"/>
          <w:szCs w:val="20"/>
        </w:rPr>
        <w:t>PDCD1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is perturbed.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Heatmap of the change in expression direction after perturbation of top 10 Tumor markers, tumor associated stromal markers and stromal normal genes when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PDCD1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is blocked. Results show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consistency in the expression direction change after perturbation within individual cell types for key marker genes.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B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,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Boxplot of the absolute gene score percent change between cell type specific marker genes and non-marker genes (random genes), before and after perturbation of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  <w:lang w:val="en-US"/>
        </w:rPr>
        <w:t>PDCD1.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P-values calculated using Wilcoxon one-sided test.</w:t>
      </w:r>
    </w:p>
    <w:p w14:paraId="1A59E890" w14:textId="7B2F5AF3" w:rsidR="00C541A2" w:rsidRPr="00692790" w:rsidRDefault="0014287F" w:rsidP="00C541A2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62C1040D" wp14:editId="1AAC29CB">
            <wp:extent cx="5943600" cy="5932805"/>
            <wp:effectExtent l="0" t="0" r="0" b="0"/>
            <wp:docPr id="730276563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276563" name="Picture 73027656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85356" w14:textId="508F8866" w:rsidR="001D1E86" w:rsidRDefault="00C541A2" w:rsidP="00C541A2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Supplementary Figure 3</w:t>
      </w:r>
      <w:r w:rsidR="001D1E86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3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: Direction consistency of CellAgentChat predicted downstream gene expression when </w:t>
      </w:r>
      <w:r w:rsidRPr="00692790">
        <w:rPr>
          <w:rFonts w:ascii="Times New Roman" w:hAnsi="Times New Roman" w:cs="Times New Roman"/>
          <w:b/>
          <w:bCs/>
          <w:i/>
          <w:iCs/>
          <w:color w:val="000000" w:themeColor="text1"/>
          <w:sz w:val="20"/>
          <w:szCs w:val="20"/>
        </w:rPr>
        <w:t>CTLA4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is perturbed.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Heatmap of the change in expression direction after perturbation of top 10 Tumor markers, tumor associated stromal markers and stromal normal genes when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CTLA4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is blocked. Results show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consistency in the expression direction change after perturbation within individual cell types for key marker genes. </w:t>
      </w:r>
      <w:r w:rsidR="00DE1D3D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B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,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Boxplot of the absolute gene score percent change between cell type specific marker genes and non-marker genes (random genes), before and after perturbation of </w:t>
      </w:r>
      <w:r w:rsidRPr="00692790">
        <w:rPr>
          <w:rFonts w:ascii="Times New Roman" w:hAnsi="Times New Roman" w:cs="Times New Roman"/>
          <w:i/>
          <w:iCs/>
          <w:color w:val="000000" w:themeColor="text1"/>
          <w:sz w:val="20"/>
          <w:szCs w:val="20"/>
          <w:lang w:val="en-US"/>
        </w:rPr>
        <w:t xml:space="preserve">CTLA4.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P-values calculated using Wilcoxon one-sided test.</w:t>
      </w:r>
    </w:p>
    <w:p w14:paraId="42D1F2B2" w14:textId="57DD3AA3" w:rsidR="001D1E86" w:rsidRPr="00692790" w:rsidRDefault="0014287F" w:rsidP="001D1E86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5D1F706E" wp14:editId="50872041">
            <wp:extent cx="5943600" cy="6637020"/>
            <wp:effectExtent l="0" t="0" r="0" b="5080"/>
            <wp:docPr id="95121494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214945" name="Picture 951214945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3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4B835" w14:textId="6FF2807F" w:rsidR="00C541A2" w:rsidRPr="00692790" w:rsidRDefault="001D1E86" w:rsidP="001D1E86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Supplementary Figure </w:t>
      </w:r>
      <w: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34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: Ablation Studies highlighting the impact of CellAgentChat components on performance and predictive accuracy. (</w:t>
      </w:r>
      <w: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,)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Heatmaps display the communication pattern of the SeqFISH+ mouse somatosensory cortex dataset using raw counts with non-spatial and spatial data, respectively. </w:t>
      </w:r>
      <w: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Pearson’s Correlation between inferred interaction network with normalized expression values vs raw counts and the ensemble of other state-of-the-art methods inferred interactions. </w:t>
      </w:r>
      <w: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>D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Pearson’s Correlation between inferred interaction network with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 xml:space="preserve">normalized expression values vs raw counts and the cell-distance matrix. </w:t>
      </w:r>
      <w:r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E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Boxplot comparing the Pearson’s correlation between inferred cell communication by CellAgentChat and the ensemble of all methods versus when the Gene network in the Neural network and the conversion rate </w:t>
      </w:r>
      <w:proofErr w:type="gramStart"/>
      <w:r w:rsidRPr="006927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are</w:t>
      </w:r>
      <w:proofErr w:type="gramEnd"/>
      <w:r w:rsidRPr="006927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ablated across scRNA-seq data.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 xml:space="preserve">  </w:t>
      </w:r>
      <w:r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F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Boxplot comparing the Pearson’s correlation between inferred cell communication by CellAgentChat and the ensemble of all methods versus when the Gene network in the Neural network and the conversion rate </w:t>
      </w:r>
      <w:proofErr w:type="gramStart"/>
      <w:r w:rsidRPr="006927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are</w:t>
      </w:r>
      <w:proofErr w:type="gramEnd"/>
      <w:r w:rsidRPr="006927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ablated across scRNA-seq + ST data. </w:t>
      </w:r>
      <w:r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>G</w:t>
      </w: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:lang w:val="en-US"/>
        </w:rPr>
        <w:t xml:space="preserve">, </w:t>
      </w:r>
      <w:r w:rsidRPr="006927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Boxplot comparing the Pearson’s correlation between the inferred cell communication for each version of CellAgentChat and the inverse cell-distance matrix across datasets. P-values in panels e-g calculated using Wilcoxon one-sided test.   </w:t>
      </w:r>
      <w:r w:rsidR="00C541A2" w:rsidRPr="00692790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br w:type="page"/>
      </w:r>
    </w:p>
    <w:p w14:paraId="5F6BA963" w14:textId="6CA4320D" w:rsidR="00C541A2" w:rsidRPr="00692790" w:rsidRDefault="0014287F" w:rsidP="00C541A2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</w:rPr>
        <w:lastRenderedPageBreak/>
        <w:drawing>
          <wp:inline distT="0" distB="0" distL="0" distR="0" wp14:anchorId="7220FDE7" wp14:editId="25999663">
            <wp:extent cx="5943600" cy="6725285"/>
            <wp:effectExtent l="0" t="0" r="0" b="5715"/>
            <wp:docPr id="1192756915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756915" name="Picture 1192756915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2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66FA2" w14:textId="01D851E7" w:rsidR="008F4696" w:rsidRPr="00692790" w:rsidRDefault="00C541A2" w:rsidP="00465098">
      <w:pPr>
        <w:spacing w:line="48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</w:pPr>
      <w:r w:rsidRPr="00692790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Supplementary Figure 35: 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CellAgentChat animation platform and background distribution scaling for spatial data results. </w:t>
      </w:r>
      <w:r w:rsidR="00DE1D3D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A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Animation platform of CellAgentChat to visualize the changes in cell receiving score (CRS) for each cell in real-time.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 </w:t>
      </w:r>
      <w:r w:rsidR="00DE1D3D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B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 xml:space="preserve">,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Heatmap of the communication network between cell types, created using significant interactions determined from the permutation test without scaling. We perform the permutation test using spatial data </w:t>
      </w:r>
      <w:r w:rsidR="00DE1D3D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C</w:t>
      </w:r>
      <w:r w:rsidRPr="00692790">
        <w:rPr>
          <w:rFonts w:ascii="Times New Roman" w:eastAsia="Times New Roman" w:hAnsi="Times New Roman" w:cs="Times New Roman"/>
          <w:b/>
          <w:bCs/>
          <w:color w:val="000000" w:themeColor="text1"/>
          <w:sz w:val="20"/>
          <w:szCs w:val="20"/>
        </w:rPr>
        <w:t>,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Heatmap of the communication network between cell types, created using significant interactions determined from the 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lastRenderedPageBreak/>
        <w:t xml:space="preserve">permutation test with scaling. We perform the permutation test using non-spatial data. The background gamma distribution for each </w:t>
      </w:r>
      <w:r w:rsidR="008342AD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LR</w:t>
      </w:r>
      <w:r w:rsidRPr="00692790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pair uses non-spatial mode. For scaling, we divide the scale parameter of the distribution by the average distance between all cells. Additionally, we halve both the alpha and the modified scale values.</w:t>
      </w:r>
    </w:p>
    <w:sectPr w:rsidR="008F4696" w:rsidRPr="00692790" w:rsidSect="00C541A2">
      <w:footerReference w:type="even" r:id="rId41"/>
      <w:footerReference w:type="default" r:id="rId42"/>
      <w:pgSz w:w="12240" w:h="15840"/>
      <w:pgMar w:top="1440" w:right="1440" w:bottom="1440" w:left="1440" w:header="708" w:footer="708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B1EE74" w14:textId="77777777" w:rsidR="002F553E" w:rsidRDefault="002F553E">
      <w:r>
        <w:separator/>
      </w:r>
    </w:p>
  </w:endnote>
  <w:endnote w:type="continuationSeparator" w:id="0">
    <w:p w14:paraId="07900262" w14:textId="77777777" w:rsidR="002F553E" w:rsidRDefault="002F55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.AppleSystemUIFont">
    <w:altName w:val="Cambria"/>
    <w:panose1 w:val="020B0604020202020204"/>
    <w:charset w:val="00"/>
    <w:family w:val="roman"/>
    <w:notTrueType/>
    <w:pitch w:val="default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773443806"/>
      <w:docPartObj>
        <w:docPartGallery w:val="Page Numbers (Bottom of Page)"/>
        <w:docPartUnique/>
      </w:docPartObj>
    </w:sdtPr>
    <w:sdtContent>
      <w:p w14:paraId="1763C820" w14:textId="77777777" w:rsidR="00515B76" w:rsidRDefault="00F63C29" w:rsidP="0011578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6A0143DF" w14:textId="77777777" w:rsidR="00515B76" w:rsidRDefault="00515B76" w:rsidP="0011578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1587117236"/>
      <w:docPartObj>
        <w:docPartGallery w:val="Page Numbers (Bottom of Page)"/>
        <w:docPartUnique/>
      </w:docPartObj>
    </w:sdtPr>
    <w:sdtContent>
      <w:p w14:paraId="029F484E" w14:textId="77777777" w:rsidR="00515B76" w:rsidRDefault="00F63C29" w:rsidP="0011578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33A59CF9" w14:textId="77777777" w:rsidR="00515B76" w:rsidRDefault="00515B76" w:rsidP="0011578D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42A702D" w14:textId="77777777" w:rsidR="002F553E" w:rsidRDefault="002F553E">
      <w:r>
        <w:separator/>
      </w:r>
    </w:p>
  </w:footnote>
  <w:footnote w:type="continuationSeparator" w:id="0">
    <w:p w14:paraId="7C582097" w14:textId="77777777" w:rsidR="002F553E" w:rsidRDefault="002F553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41A2"/>
    <w:rsid w:val="00007ACA"/>
    <w:rsid w:val="000101AC"/>
    <w:rsid w:val="0001487E"/>
    <w:rsid w:val="000172DA"/>
    <w:rsid w:val="00017A9D"/>
    <w:rsid w:val="00024D05"/>
    <w:rsid w:val="00027E74"/>
    <w:rsid w:val="00031E41"/>
    <w:rsid w:val="0003757D"/>
    <w:rsid w:val="00042420"/>
    <w:rsid w:val="00057785"/>
    <w:rsid w:val="0006000A"/>
    <w:rsid w:val="00077765"/>
    <w:rsid w:val="00077E48"/>
    <w:rsid w:val="00083CB3"/>
    <w:rsid w:val="000960B5"/>
    <w:rsid w:val="000A029D"/>
    <w:rsid w:val="000A0E79"/>
    <w:rsid w:val="000A4569"/>
    <w:rsid w:val="000C6628"/>
    <w:rsid w:val="000C6767"/>
    <w:rsid w:val="000C6B51"/>
    <w:rsid w:val="000D4BE9"/>
    <w:rsid w:val="000D5D26"/>
    <w:rsid w:val="000E035D"/>
    <w:rsid w:val="000E7B3C"/>
    <w:rsid w:val="000F0060"/>
    <w:rsid w:val="00107936"/>
    <w:rsid w:val="0011370D"/>
    <w:rsid w:val="00113F22"/>
    <w:rsid w:val="0012037F"/>
    <w:rsid w:val="0013695C"/>
    <w:rsid w:val="00137191"/>
    <w:rsid w:val="0013721E"/>
    <w:rsid w:val="0014287F"/>
    <w:rsid w:val="00142C3C"/>
    <w:rsid w:val="00147EE5"/>
    <w:rsid w:val="00163F20"/>
    <w:rsid w:val="00166534"/>
    <w:rsid w:val="001832B0"/>
    <w:rsid w:val="001919CE"/>
    <w:rsid w:val="001A5D80"/>
    <w:rsid w:val="001A6B03"/>
    <w:rsid w:val="001A7B60"/>
    <w:rsid w:val="001B79FF"/>
    <w:rsid w:val="001D1E86"/>
    <w:rsid w:val="001D41CE"/>
    <w:rsid w:val="001E44B9"/>
    <w:rsid w:val="001F613C"/>
    <w:rsid w:val="001F771F"/>
    <w:rsid w:val="00202B72"/>
    <w:rsid w:val="002135B4"/>
    <w:rsid w:val="002225E8"/>
    <w:rsid w:val="00227223"/>
    <w:rsid w:val="00274BBF"/>
    <w:rsid w:val="002B550E"/>
    <w:rsid w:val="002C48A5"/>
    <w:rsid w:val="002D08A5"/>
    <w:rsid w:val="002D0BA5"/>
    <w:rsid w:val="002E2E26"/>
    <w:rsid w:val="002F4DE4"/>
    <w:rsid w:val="002F553E"/>
    <w:rsid w:val="00301A2D"/>
    <w:rsid w:val="00325EA2"/>
    <w:rsid w:val="00340FB4"/>
    <w:rsid w:val="00343174"/>
    <w:rsid w:val="00351469"/>
    <w:rsid w:val="00382D91"/>
    <w:rsid w:val="003A5F79"/>
    <w:rsid w:val="003C0FB1"/>
    <w:rsid w:val="003F101D"/>
    <w:rsid w:val="003F1643"/>
    <w:rsid w:val="003F1D67"/>
    <w:rsid w:val="003F2A36"/>
    <w:rsid w:val="00400D0A"/>
    <w:rsid w:val="004046AD"/>
    <w:rsid w:val="004055E2"/>
    <w:rsid w:val="00415914"/>
    <w:rsid w:val="0043486E"/>
    <w:rsid w:val="00455F53"/>
    <w:rsid w:val="00457B1A"/>
    <w:rsid w:val="00465098"/>
    <w:rsid w:val="00467F71"/>
    <w:rsid w:val="004851C8"/>
    <w:rsid w:val="00495CD4"/>
    <w:rsid w:val="00497CAC"/>
    <w:rsid w:val="004B5FD9"/>
    <w:rsid w:val="004C2875"/>
    <w:rsid w:val="004C306D"/>
    <w:rsid w:val="004C5FF4"/>
    <w:rsid w:val="004D6C3E"/>
    <w:rsid w:val="004F7CF8"/>
    <w:rsid w:val="00515B76"/>
    <w:rsid w:val="005178AB"/>
    <w:rsid w:val="00517DC9"/>
    <w:rsid w:val="00520A9E"/>
    <w:rsid w:val="00531FBE"/>
    <w:rsid w:val="00532624"/>
    <w:rsid w:val="005341A9"/>
    <w:rsid w:val="005347E8"/>
    <w:rsid w:val="00540C44"/>
    <w:rsid w:val="00541AE7"/>
    <w:rsid w:val="0054538F"/>
    <w:rsid w:val="0057222B"/>
    <w:rsid w:val="005825B5"/>
    <w:rsid w:val="0058335E"/>
    <w:rsid w:val="005A045B"/>
    <w:rsid w:val="005B1FC5"/>
    <w:rsid w:val="005E3170"/>
    <w:rsid w:val="005E768E"/>
    <w:rsid w:val="005F22C0"/>
    <w:rsid w:val="00603D04"/>
    <w:rsid w:val="00624F17"/>
    <w:rsid w:val="0062675A"/>
    <w:rsid w:val="00631A97"/>
    <w:rsid w:val="00661D57"/>
    <w:rsid w:val="006703C1"/>
    <w:rsid w:val="00680C69"/>
    <w:rsid w:val="00686E00"/>
    <w:rsid w:val="00691661"/>
    <w:rsid w:val="006918EC"/>
    <w:rsid w:val="00692790"/>
    <w:rsid w:val="006930B1"/>
    <w:rsid w:val="00697AB6"/>
    <w:rsid w:val="006A03A7"/>
    <w:rsid w:val="006A476C"/>
    <w:rsid w:val="006A777A"/>
    <w:rsid w:val="006C3FBF"/>
    <w:rsid w:val="006D713E"/>
    <w:rsid w:val="00713700"/>
    <w:rsid w:val="00716DA9"/>
    <w:rsid w:val="0073250C"/>
    <w:rsid w:val="00733DF2"/>
    <w:rsid w:val="00735CF5"/>
    <w:rsid w:val="00740B7C"/>
    <w:rsid w:val="00764964"/>
    <w:rsid w:val="007730F1"/>
    <w:rsid w:val="007748D5"/>
    <w:rsid w:val="00781016"/>
    <w:rsid w:val="00783341"/>
    <w:rsid w:val="00786272"/>
    <w:rsid w:val="007924D1"/>
    <w:rsid w:val="007B4F4A"/>
    <w:rsid w:val="007C331D"/>
    <w:rsid w:val="007C65BD"/>
    <w:rsid w:val="007C6741"/>
    <w:rsid w:val="007F7C14"/>
    <w:rsid w:val="00801610"/>
    <w:rsid w:val="00806DA5"/>
    <w:rsid w:val="008342AD"/>
    <w:rsid w:val="0084555D"/>
    <w:rsid w:val="008556FD"/>
    <w:rsid w:val="0086240D"/>
    <w:rsid w:val="00864D5D"/>
    <w:rsid w:val="00884B32"/>
    <w:rsid w:val="00886A45"/>
    <w:rsid w:val="0088721D"/>
    <w:rsid w:val="008A6634"/>
    <w:rsid w:val="008B3624"/>
    <w:rsid w:val="008B3C90"/>
    <w:rsid w:val="008B5DED"/>
    <w:rsid w:val="008D1036"/>
    <w:rsid w:val="008F1AF0"/>
    <w:rsid w:val="008F4696"/>
    <w:rsid w:val="009004EC"/>
    <w:rsid w:val="009067F0"/>
    <w:rsid w:val="00910835"/>
    <w:rsid w:val="009207F9"/>
    <w:rsid w:val="00942DC8"/>
    <w:rsid w:val="009468D5"/>
    <w:rsid w:val="00951826"/>
    <w:rsid w:val="0095701A"/>
    <w:rsid w:val="009841C8"/>
    <w:rsid w:val="00996D4B"/>
    <w:rsid w:val="00997724"/>
    <w:rsid w:val="009A348B"/>
    <w:rsid w:val="009B5D44"/>
    <w:rsid w:val="009C19A9"/>
    <w:rsid w:val="009C2123"/>
    <w:rsid w:val="009D4112"/>
    <w:rsid w:val="009D5CDC"/>
    <w:rsid w:val="009F1DAA"/>
    <w:rsid w:val="009F5FB4"/>
    <w:rsid w:val="009F5FB8"/>
    <w:rsid w:val="00A14443"/>
    <w:rsid w:val="00A16618"/>
    <w:rsid w:val="00A22C87"/>
    <w:rsid w:val="00A24D44"/>
    <w:rsid w:val="00A24EA3"/>
    <w:rsid w:val="00A4391F"/>
    <w:rsid w:val="00A46519"/>
    <w:rsid w:val="00A54649"/>
    <w:rsid w:val="00A60D6E"/>
    <w:rsid w:val="00A6776E"/>
    <w:rsid w:val="00A70EF0"/>
    <w:rsid w:val="00A71A43"/>
    <w:rsid w:val="00A80920"/>
    <w:rsid w:val="00A923E4"/>
    <w:rsid w:val="00A940AF"/>
    <w:rsid w:val="00AA0A60"/>
    <w:rsid w:val="00AC7B32"/>
    <w:rsid w:val="00AD7B4A"/>
    <w:rsid w:val="00B021B4"/>
    <w:rsid w:val="00B0227A"/>
    <w:rsid w:val="00B03B8C"/>
    <w:rsid w:val="00B06615"/>
    <w:rsid w:val="00B06F33"/>
    <w:rsid w:val="00B17DB2"/>
    <w:rsid w:val="00B25B02"/>
    <w:rsid w:val="00B275F6"/>
    <w:rsid w:val="00B4580F"/>
    <w:rsid w:val="00B5150E"/>
    <w:rsid w:val="00B6300C"/>
    <w:rsid w:val="00B77491"/>
    <w:rsid w:val="00B81C06"/>
    <w:rsid w:val="00BA02C7"/>
    <w:rsid w:val="00BB20D3"/>
    <w:rsid w:val="00BC0528"/>
    <w:rsid w:val="00BC2953"/>
    <w:rsid w:val="00BD07C3"/>
    <w:rsid w:val="00BE4CF2"/>
    <w:rsid w:val="00C00FC2"/>
    <w:rsid w:val="00C01555"/>
    <w:rsid w:val="00C13CBE"/>
    <w:rsid w:val="00C279C4"/>
    <w:rsid w:val="00C31600"/>
    <w:rsid w:val="00C5182B"/>
    <w:rsid w:val="00C541A2"/>
    <w:rsid w:val="00C56A68"/>
    <w:rsid w:val="00C60DA3"/>
    <w:rsid w:val="00C63782"/>
    <w:rsid w:val="00C66C82"/>
    <w:rsid w:val="00C77C89"/>
    <w:rsid w:val="00C817B6"/>
    <w:rsid w:val="00C82B69"/>
    <w:rsid w:val="00C8495B"/>
    <w:rsid w:val="00C97876"/>
    <w:rsid w:val="00CA454F"/>
    <w:rsid w:val="00CB052F"/>
    <w:rsid w:val="00CB40B9"/>
    <w:rsid w:val="00CC09C0"/>
    <w:rsid w:val="00CC126F"/>
    <w:rsid w:val="00CD7C29"/>
    <w:rsid w:val="00CE0D0F"/>
    <w:rsid w:val="00CF07E4"/>
    <w:rsid w:val="00D12476"/>
    <w:rsid w:val="00D1313B"/>
    <w:rsid w:val="00D14325"/>
    <w:rsid w:val="00D16F00"/>
    <w:rsid w:val="00D20744"/>
    <w:rsid w:val="00D267DD"/>
    <w:rsid w:val="00D371EA"/>
    <w:rsid w:val="00D45599"/>
    <w:rsid w:val="00D45724"/>
    <w:rsid w:val="00D4691E"/>
    <w:rsid w:val="00D639DD"/>
    <w:rsid w:val="00D6638D"/>
    <w:rsid w:val="00D72467"/>
    <w:rsid w:val="00D74258"/>
    <w:rsid w:val="00D75CC3"/>
    <w:rsid w:val="00D86704"/>
    <w:rsid w:val="00D87559"/>
    <w:rsid w:val="00D91917"/>
    <w:rsid w:val="00D97583"/>
    <w:rsid w:val="00DA3BCF"/>
    <w:rsid w:val="00DC1651"/>
    <w:rsid w:val="00DE15B5"/>
    <w:rsid w:val="00DE1D3D"/>
    <w:rsid w:val="00DE67F5"/>
    <w:rsid w:val="00DE7916"/>
    <w:rsid w:val="00DF2CDE"/>
    <w:rsid w:val="00DF4916"/>
    <w:rsid w:val="00E01056"/>
    <w:rsid w:val="00E01CC0"/>
    <w:rsid w:val="00E03DCE"/>
    <w:rsid w:val="00E12655"/>
    <w:rsid w:val="00E145C5"/>
    <w:rsid w:val="00E256CE"/>
    <w:rsid w:val="00E50986"/>
    <w:rsid w:val="00E56E34"/>
    <w:rsid w:val="00E759F6"/>
    <w:rsid w:val="00E81608"/>
    <w:rsid w:val="00E93D62"/>
    <w:rsid w:val="00E960F5"/>
    <w:rsid w:val="00E96AD2"/>
    <w:rsid w:val="00EB3159"/>
    <w:rsid w:val="00EC07E4"/>
    <w:rsid w:val="00ED243B"/>
    <w:rsid w:val="00EE2557"/>
    <w:rsid w:val="00EF5DD7"/>
    <w:rsid w:val="00F00393"/>
    <w:rsid w:val="00F332A1"/>
    <w:rsid w:val="00F42F7F"/>
    <w:rsid w:val="00F46DFB"/>
    <w:rsid w:val="00F53D52"/>
    <w:rsid w:val="00F62CB7"/>
    <w:rsid w:val="00F63C29"/>
    <w:rsid w:val="00F8456E"/>
    <w:rsid w:val="00F875A0"/>
    <w:rsid w:val="00F963B8"/>
    <w:rsid w:val="00FA047F"/>
    <w:rsid w:val="00FA5E7B"/>
    <w:rsid w:val="00FA6E2F"/>
    <w:rsid w:val="00FB2BBB"/>
    <w:rsid w:val="00FC767E"/>
    <w:rsid w:val="00FE5F7D"/>
    <w:rsid w:val="00FE6AB8"/>
    <w:rsid w:val="00FE7A55"/>
    <w:rsid w:val="00FF17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1F7DA2E"/>
  <w15:chartTrackingRefBased/>
  <w15:docId w15:val="{3360FA91-68C6-0941-AF45-B738BF1CDE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CA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541A2"/>
    <w:pPr>
      <w:spacing w:after="0" w:line="240" w:lineRule="auto"/>
    </w:pPr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C541A2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541A2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541A2"/>
    <w:pPr>
      <w:keepNext/>
      <w:keepLines/>
      <w:spacing w:before="160" w:after="80" w:line="278" w:lineRule="auto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541A2"/>
    <w:pPr>
      <w:keepNext/>
      <w:keepLines/>
      <w:spacing w:before="80" w:after="40" w:line="278" w:lineRule="auto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541A2"/>
    <w:pPr>
      <w:keepNext/>
      <w:keepLines/>
      <w:spacing w:before="80" w:after="40" w:line="278" w:lineRule="auto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541A2"/>
    <w:pPr>
      <w:keepNext/>
      <w:keepLines/>
      <w:spacing w:before="40" w:line="278" w:lineRule="auto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541A2"/>
    <w:pPr>
      <w:keepNext/>
      <w:keepLines/>
      <w:spacing w:before="40" w:line="278" w:lineRule="auto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541A2"/>
    <w:pPr>
      <w:keepNext/>
      <w:keepLines/>
      <w:spacing w:line="278" w:lineRule="auto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541A2"/>
    <w:pPr>
      <w:keepNext/>
      <w:keepLines/>
      <w:spacing w:line="278" w:lineRule="auto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541A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541A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541A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sid w:val="00C541A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541A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541A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541A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541A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541A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541A2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541A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541A2"/>
    <w:pPr>
      <w:numPr>
        <w:ilvl w:val="1"/>
      </w:numPr>
      <w:spacing w:after="160" w:line="278" w:lineRule="auto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541A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541A2"/>
    <w:pPr>
      <w:spacing w:before="160" w:after="160" w:line="278" w:lineRule="auto"/>
      <w:jc w:val="center"/>
    </w:pPr>
    <w:rPr>
      <w:rFonts w:eastAsiaTheme="minorHAnsi"/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541A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541A2"/>
    <w:pPr>
      <w:spacing w:after="160" w:line="278" w:lineRule="auto"/>
      <w:ind w:left="720"/>
      <w:contextualSpacing/>
    </w:pPr>
    <w:rPr>
      <w:rFonts w:eastAsiaTheme="minorHAnsi"/>
    </w:rPr>
  </w:style>
  <w:style w:type="character" w:styleId="IntenseEmphasis">
    <w:name w:val="Intense Emphasis"/>
    <w:basedOn w:val="DefaultParagraphFont"/>
    <w:uiPriority w:val="21"/>
    <w:qFormat/>
    <w:rsid w:val="00C541A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541A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eastAsiaTheme="minorHAnsi"/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541A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541A2"/>
    <w:rPr>
      <w:b/>
      <w:bCs/>
      <w:smallCaps/>
      <w:color w:val="0F4761" w:themeColor="accent1" w:themeShade="BF"/>
      <w:spacing w:val="5"/>
    </w:rPr>
  </w:style>
  <w:style w:type="paragraph" w:styleId="Footer">
    <w:name w:val="footer"/>
    <w:basedOn w:val="Normal"/>
    <w:link w:val="FooterChar"/>
    <w:uiPriority w:val="99"/>
    <w:unhideWhenUsed/>
    <w:rsid w:val="00C541A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541A2"/>
    <w:rPr>
      <w:rFonts w:eastAsiaTheme="minorEastAsia"/>
    </w:rPr>
  </w:style>
  <w:style w:type="character" w:styleId="PageNumber">
    <w:name w:val="page number"/>
    <w:basedOn w:val="DefaultParagraphFont"/>
    <w:uiPriority w:val="99"/>
    <w:semiHidden/>
    <w:unhideWhenUsed/>
    <w:rsid w:val="00C541A2"/>
  </w:style>
  <w:style w:type="paragraph" w:customStyle="1" w:styleId="p1">
    <w:name w:val="p1"/>
    <w:basedOn w:val="Normal"/>
    <w:rsid w:val="00C541A2"/>
    <w:rPr>
      <w:rFonts w:ascii=".AppleSystemUIFont" w:eastAsia="Times New Roman" w:hAnsi=".AppleSystemUIFont" w:cs="Times New Roman"/>
      <w:color w:val="0E0E0E"/>
      <w:kern w:val="0"/>
      <w:sz w:val="20"/>
      <w:szCs w:val="20"/>
      <w14:ligatures w14:val="none"/>
    </w:rPr>
  </w:style>
  <w:style w:type="character" w:styleId="LineNumber">
    <w:name w:val="line number"/>
    <w:basedOn w:val="DefaultParagraphFont"/>
    <w:uiPriority w:val="99"/>
    <w:semiHidden/>
    <w:unhideWhenUsed/>
    <w:rsid w:val="00C541A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footer" Target="footer2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41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fontTable" Target="fontTable.xml"/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155</TotalTime>
  <Pages>51</Pages>
  <Words>3510</Words>
  <Characters>20013</Characters>
  <Application>Microsoft Office Word</Application>
  <DocSecurity>0</DocSecurity>
  <Lines>166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Vishvak Raghavan</dc:creator>
  <cp:keywords/>
  <dc:description/>
  <cp:lastModifiedBy>Vishvak Raghavan</cp:lastModifiedBy>
  <cp:revision>15</cp:revision>
  <dcterms:created xsi:type="dcterms:W3CDTF">2025-03-22T13:48:00Z</dcterms:created>
  <dcterms:modified xsi:type="dcterms:W3CDTF">2025-05-16T12:21:00Z</dcterms:modified>
</cp:coreProperties>
</file>