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59869" w14:textId="77777777" w:rsidR="00793B2F" w:rsidRDefault="00793B2F" w:rsidP="00793B2F">
      <w:pPr>
        <w:spacing w:after="200" w:line="276" w:lineRule="auto"/>
        <w:rPr>
          <w:rFonts w:cs="Arial"/>
          <w:b/>
          <w:szCs w:val="22"/>
        </w:rPr>
      </w:pPr>
      <w:r>
        <w:rPr>
          <w:rFonts w:cs="Arial"/>
          <w:b/>
          <w:szCs w:val="22"/>
        </w:rPr>
        <w:t>Supplemental</w:t>
      </w:r>
    </w:p>
    <w:p w14:paraId="73AFBA97" w14:textId="1D2F5C6C" w:rsidR="0017094C" w:rsidRDefault="0017094C" w:rsidP="00793B2F">
      <w:pPr>
        <w:spacing w:after="200" w:line="276" w:lineRule="auto"/>
        <w:rPr>
          <w:rFonts w:cs="Arial"/>
          <w:b/>
          <w:szCs w:val="22"/>
        </w:rPr>
      </w:pPr>
      <w:r>
        <w:rPr>
          <w:rFonts w:cs="Arial"/>
          <w:b/>
          <w:noProof/>
          <w:szCs w:val="22"/>
          <w14:ligatures w14:val="standardContextual"/>
        </w:rPr>
        <w:drawing>
          <wp:inline distT="0" distB="0" distL="0" distR="0" wp14:anchorId="3CF95B99" wp14:editId="6BD1D807">
            <wp:extent cx="5943600" cy="2594610"/>
            <wp:effectExtent l="0" t="0" r="0" b="0"/>
            <wp:docPr id="143489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9613" name="Picture 143489613"/>
                    <pic:cNvPicPr/>
                  </pic:nvPicPr>
                  <pic:blipFill>
                    <a:blip r:embed="rId4"/>
                    <a:stretch>
                      <a:fillRect/>
                    </a:stretch>
                  </pic:blipFill>
                  <pic:spPr>
                    <a:xfrm>
                      <a:off x="0" y="0"/>
                      <a:ext cx="5943600" cy="2594610"/>
                    </a:xfrm>
                    <a:prstGeom prst="rect">
                      <a:avLst/>
                    </a:prstGeom>
                  </pic:spPr>
                </pic:pic>
              </a:graphicData>
            </a:graphic>
          </wp:inline>
        </w:drawing>
      </w:r>
    </w:p>
    <w:p w14:paraId="73449A51" w14:textId="5F0EF8A9" w:rsidR="0017094C" w:rsidRPr="0017094C" w:rsidRDefault="0017094C" w:rsidP="00793B2F">
      <w:pPr>
        <w:spacing w:after="200" w:line="276" w:lineRule="auto"/>
        <w:rPr>
          <w:rFonts w:cs="Arial"/>
          <w:bCs/>
          <w:szCs w:val="22"/>
        </w:rPr>
      </w:pPr>
      <w:r>
        <w:rPr>
          <w:rFonts w:cs="Arial"/>
          <w:b/>
          <w:szCs w:val="22"/>
        </w:rPr>
        <w:t xml:space="preserve">Supplemental Figure 1: Chimeric mitochondrial RNA fusion sites correspond to mitochondrial DNA deletion breakpoints in </w:t>
      </w:r>
      <w:proofErr w:type="spellStart"/>
      <w:r>
        <w:rPr>
          <w:rFonts w:cs="Arial"/>
          <w:b/>
          <w:szCs w:val="22"/>
        </w:rPr>
        <w:t>Kearn</w:t>
      </w:r>
      <w:proofErr w:type="spellEnd"/>
      <w:r>
        <w:rPr>
          <w:rFonts w:cs="Arial"/>
          <w:b/>
          <w:szCs w:val="22"/>
        </w:rPr>
        <w:t xml:space="preserve"> Sayre Syndrome fibroblasts.  </w:t>
      </w:r>
      <w:r>
        <w:rPr>
          <w:rFonts w:cs="Arial"/>
          <w:bCs/>
          <w:szCs w:val="22"/>
        </w:rPr>
        <w:t xml:space="preserve">Shown is the kernel density of chimeric mitochondrial RNA fusion sites (top panels), the kernel density of mitochondrial DNA break points (middle panel) across the mitochondrial genome (annotated in bottom panel) for two fibroblast lines established from patients with </w:t>
      </w:r>
      <w:proofErr w:type="spellStart"/>
      <w:r>
        <w:rPr>
          <w:rFonts w:cs="Arial"/>
          <w:bCs/>
          <w:szCs w:val="22"/>
        </w:rPr>
        <w:t>Kearn</w:t>
      </w:r>
      <w:proofErr w:type="spellEnd"/>
      <w:r>
        <w:rPr>
          <w:rFonts w:cs="Arial"/>
          <w:bCs/>
          <w:szCs w:val="22"/>
        </w:rPr>
        <w:t xml:space="preserve"> Sayre Syndrome.</w:t>
      </w:r>
    </w:p>
    <w:p w14:paraId="17D4B1D0" w14:textId="77777777" w:rsidR="00793B2F" w:rsidRDefault="00793B2F" w:rsidP="00793B2F">
      <w:pPr>
        <w:spacing w:after="200" w:line="276" w:lineRule="auto"/>
        <w:rPr>
          <w:rFonts w:cs="Arial"/>
          <w:b/>
          <w:szCs w:val="22"/>
        </w:rPr>
      </w:pPr>
      <w:r>
        <w:rPr>
          <w:rFonts w:cs="Arial"/>
          <w:b/>
          <w:noProof/>
          <w:szCs w:val="22"/>
        </w:rPr>
        <w:drawing>
          <wp:inline distT="0" distB="0" distL="0" distR="0" wp14:anchorId="4CE05548" wp14:editId="55348AB0">
            <wp:extent cx="5943600" cy="2971800"/>
            <wp:effectExtent l="0" t="0" r="0" b="0"/>
            <wp:docPr id="1212730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30251" name="Picture 1212730251"/>
                    <pic:cNvPicPr/>
                  </pic:nvPicPr>
                  <pic:blipFill>
                    <a:blip r:embed="rId5">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55B63ED8" w14:textId="0CC4234B" w:rsidR="00793B2F" w:rsidRPr="009519AA" w:rsidRDefault="00793B2F" w:rsidP="00793B2F">
      <w:pPr>
        <w:spacing w:after="200" w:line="276" w:lineRule="auto"/>
        <w:rPr>
          <w:rFonts w:cs="Arial"/>
          <w:b/>
          <w:szCs w:val="22"/>
        </w:rPr>
      </w:pPr>
      <w:r>
        <w:rPr>
          <w:rFonts w:cs="Arial"/>
          <w:b/>
          <w:szCs w:val="22"/>
        </w:rPr>
        <w:t xml:space="preserve">Supplemental Figure </w:t>
      </w:r>
      <w:r w:rsidR="0017094C">
        <w:rPr>
          <w:rFonts w:cs="Arial"/>
          <w:b/>
          <w:szCs w:val="22"/>
        </w:rPr>
        <w:t>2</w:t>
      </w:r>
      <w:r>
        <w:rPr>
          <w:rFonts w:cs="Arial"/>
          <w:b/>
          <w:szCs w:val="22"/>
        </w:rPr>
        <w:t>: Mitochondrial gene sets are enriched in association with chimeric mitochondrial transcript frequency.</w:t>
      </w:r>
    </w:p>
    <w:p w14:paraId="4B95CCD8" w14:textId="77777777" w:rsidR="00793B2F" w:rsidRDefault="00793B2F" w:rsidP="00793B2F">
      <w:pPr>
        <w:spacing w:after="200" w:line="276" w:lineRule="auto"/>
        <w:rPr>
          <w:rFonts w:cs="Arial"/>
          <w:b/>
          <w:szCs w:val="22"/>
        </w:rPr>
      </w:pPr>
      <w:r w:rsidRPr="00D07701">
        <w:rPr>
          <w:rFonts w:cs="Arial"/>
          <w:szCs w:val="22"/>
        </w:rPr>
        <w:lastRenderedPageBreak/>
        <w:t>Gene set enrichment analysis of differentially expressed genes associated with chimeric m</w:t>
      </w:r>
      <w:r>
        <w:rPr>
          <w:rFonts w:cs="Arial"/>
          <w:szCs w:val="22"/>
        </w:rPr>
        <w:t xml:space="preserve">itochondrial </w:t>
      </w:r>
      <w:r w:rsidRPr="00D07701">
        <w:rPr>
          <w:rFonts w:cs="Arial"/>
          <w:szCs w:val="22"/>
        </w:rPr>
        <w:t>RNA frequency</w:t>
      </w:r>
      <w:r>
        <w:rPr>
          <w:rFonts w:cs="Arial"/>
          <w:szCs w:val="22"/>
        </w:rPr>
        <w:t>, adjusted for rat age and GPA treatment status</w:t>
      </w:r>
      <w:r w:rsidRPr="00D07701">
        <w:rPr>
          <w:rFonts w:cs="Arial"/>
          <w:szCs w:val="22"/>
        </w:rPr>
        <w:t xml:space="preserve"> in rat skeletal muscle aging</w:t>
      </w:r>
      <w:r>
        <w:rPr>
          <w:rFonts w:cs="Arial"/>
          <w:szCs w:val="22"/>
        </w:rPr>
        <w:t>.</w:t>
      </w:r>
      <w:r>
        <w:rPr>
          <w:rFonts w:cs="Arial"/>
          <w:b/>
          <w:szCs w:val="22"/>
        </w:rPr>
        <w:t xml:space="preserve"> </w:t>
      </w:r>
      <w:r>
        <w:rPr>
          <w:rFonts w:cs="Arial"/>
          <w:b/>
          <w:szCs w:val="22"/>
        </w:rPr>
        <w:br w:type="page"/>
      </w:r>
    </w:p>
    <w:p w14:paraId="434B7217" w14:textId="77777777" w:rsidR="00E61174" w:rsidRDefault="00E61174"/>
    <w:sectPr w:rsidR="00E6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2F"/>
    <w:rsid w:val="0017094C"/>
    <w:rsid w:val="001B3D42"/>
    <w:rsid w:val="00793B2F"/>
    <w:rsid w:val="00AE10CB"/>
    <w:rsid w:val="00E6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2F50D"/>
  <w15:chartTrackingRefBased/>
  <w15:docId w15:val="{8B7586C1-C1E1-B646-A13E-571BC293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2F"/>
    <w:rPr>
      <w:rFonts w:ascii="Arial" w:eastAsia="Times New Roman" w:hAnsi="Arial"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Words>
  <Characters>668</Characters>
  <Application>Microsoft Office Word</Application>
  <DocSecurity>0</DocSecurity>
  <Lines>13</Lines>
  <Paragraphs>4</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Vandiver, Amy R.</dc:creator>
  <cp:keywords/>
  <dc:description/>
  <cp:lastModifiedBy>Vandiver, Amy R.</cp:lastModifiedBy>
  <cp:revision>2</cp:revision>
  <dcterms:created xsi:type="dcterms:W3CDTF">2024-09-04T19:48:00Z</dcterms:created>
  <dcterms:modified xsi:type="dcterms:W3CDTF">2024-09-04T19:48:00Z</dcterms:modified>
</cp:coreProperties>
</file>