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561E6B" w14:textId="77777777" w:rsidR="00AC077A" w:rsidRDefault="00000000">
      <w:pPr>
        <w:spacing w:line="240" w:lineRule="auto"/>
        <w:jc w:val="center"/>
        <w:rPr>
          <w:b/>
          <w:color w:val="000000"/>
          <w:sz w:val="38"/>
          <w:szCs w:val="38"/>
        </w:rPr>
      </w:pPr>
      <w:r>
        <w:rPr>
          <w:b/>
          <w:color w:val="000000"/>
          <w:sz w:val="38"/>
          <w:szCs w:val="38"/>
        </w:rPr>
        <w:t>Supplementa</w:t>
      </w:r>
      <w:r>
        <w:rPr>
          <w:b/>
          <w:sz w:val="38"/>
          <w:szCs w:val="38"/>
        </w:rPr>
        <w:t>l</w:t>
      </w:r>
      <w:r>
        <w:rPr>
          <w:b/>
          <w:color w:val="000000"/>
          <w:sz w:val="38"/>
          <w:szCs w:val="38"/>
        </w:rPr>
        <w:t xml:space="preserve"> Material</w:t>
      </w:r>
    </w:p>
    <w:p w14:paraId="32D9E376" w14:textId="77777777" w:rsidR="00AC077A" w:rsidRDefault="00AC077A">
      <w:pPr>
        <w:spacing w:before="120" w:line="240" w:lineRule="auto"/>
        <w:jc w:val="both"/>
        <w:rPr>
          <w:b/>
          <w:color w:val="000000"/>
        </w:rPr>
      </w:pPr>
      <w:bookmarkStart w:id="0" w:name="_heading=h.gjdgxs" w:colFirst="0" w:colLast="0"/>
      <w:bookmarkEnd w:id="0"/>
    </w:p>
    <w:p w14:paraId="6BF7F19E" w14:textId="77777777" w:rsidR="00AC077A" w:rsidRDefault="00AC077A">
      <w:pPr>
        <w:spacing w:line="240" w:lineRule="auto"/>
        <w:jc w:val="both"/>
        <w:rPr>
          <w:b/>
          <w:color w:val="000000"/>
        </w:rPr>
      </w:pPr>
    </w:p>
    <w:p w14:paraId="21FD2CBE" w14:textId="77777777" w:rsidR="00AC077A" w:rsidRDefault="00AC077A">
      <w:pPr>
        <w:spacing w:line="240" w:lineRule="auto"/>
        <w:jc w:val="both"/>
        <w:rPr>
          <w:b/>
          <w:color w:val="000000"/>
        </w:rPr>
      </w:pPr>
    </w:p>
    <w:p w14:paraId="08AA2F8C" w14:textId="77777777" w:rsidR="00AC077A" w:rsidRDefault="00000000">
      <w:pPr>
        <w:spacing w:line="240" w:lineRule="auto"/>
        <w:jc w:val="both"/>
        <w:rPr>
          <w:b/>
          <w:color w:val="000000"/>
        </w:rPr>
      </w:pPr>
      <w:r>
        <w:rPr>
          <w:b/>
          <w:color w:val="000000"/>
        </w:rPr>
        <w:t>Table of Contents</w:t>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r>
    </w:p>
    <w:p w14:paraId="03EEBC05" w14:textId="77777777" w:rsidR="00AC077A" w:rsidRDefault="00AC077A">
      <w:pPr>
        <w:spacing w:line="240" w:lineRule="auto"/>
        <w:jc w:val="both"/>
        <w:rPr>
          <w:b/>
          <w:color w:val="000000"/>
        </w:rPr>
      </w:pPr>
    </w:p>
    <w:p w14:paraId="78AFBB18" w14:textId="77777777" w:rsidR="00AC077A" w:rsidRDefault="00AC077A">
      <w:pPr>
        <w:spacing w:line="240" w:lineRule="auto"/>
        <w:jc w:val="both"/>
        <w:rPr>
          <w:b/>
          <w:color w:val="000000"/>
        </w:rPr>
      </w:pPr>
    </w:p>
    <w:p w14:paraId="08A9792A" w14:textId="77777777" w:rsidR="00AC077A" w:rsidRDefault="00000000">
      <w:pPr>
        <w:spacing w:line="240" w:lineRule="auto"/>
        <w:jc w:val="both"/>
        <w:rPr>
          <w:b/>
          <w:color w:val="000000"/>
        </w:rPr>
      </w:pPr>
      <w:r>
        <w:rPr>
          <w:b/>
          <w:color w:val="000000"/>
        </w:rPr>
        <w:t>Supplementa</w:t>
      </w:r>
      <w:r>
        <w:rPr>
          <w:b/>
        </w:rPr>
        <w:t>l</w:t>
      </w:r>
      <w:r>
        <w:rPr>
          <w:b/>
          <w:color w:val="000000"/>
        </w:rPr>
        <w:t xml:space="preserve"> Text</w:t>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r>
    </w:p>
    <w:p w14:paraId="6899F3E2" w14:textId="77777777" w:rsidR="00AC077A" w:rsidRDefault="00000000">
      <w:pPr>
        <w:numPr>
          <w:ilvl w:val="0"/>
          <w:numId w:val="1"/>
        </w:numPr>
        <w:pBdr>
          <w:top w:val="nil"/>
          <w:left w:val="nil"/>
          <w:bottom w:val="nil"/>
          <w:right w:val="nil"/>
          <w:between w:val="nil"/>
        </w:pBdr>
        <w:spacing w:line="240" w:lineRule="auto"/>
        <w:jc w:val="both"/>
        <w:rPr>
          <w:color w:val="000000"/>
        </w:rPr>
      </w:pPr>
      <w:r>
        <w:rPr>
          <w:color w:val="000000"/>
        </w:rPr>
        <w:t>ARF GTPase family functions</w:t>
      </w:r>
    </w:p>
    <w:p w14:paraId="752E04B5" w14:textId="77777777" w:rsidR="00AC077A" w:rsidRDefault="00000000">
      <w:pPr>
        <w:numPr>
          <w:ilvl w:val="0"/>
          <w:numId w:val="1"/>
        </w:numPr>
        <w:pBdr>
          <w:top w:val="nil"/>
          <w:left w:val="nil"/>
          <w:bottom w:val="nil"/>
          <w:right w:val="nil"/>
          <w:between w:val="nil"/>
        </w:pBdr>
        <w:spacing w:line="240" w:lineRule="auto"/>
        <w:jc w:val="both"/>
        <w:rPr>
          <w:color w:val="000000"/>
        </w:rPr>
      </w:pPr>
      <w:r>
        <w:rPr>
          <w:color w:val="000000"/>
        </w:rPr>
        <w:t>Subcellular localization and structural predictions</w:t>
      </w:r>
    </w:p>
    <w:p w14:paraId="01778B45" w14:textId="77777777" w:rsidR="00AC077A" w:rsidRDefault="00000000">
      <w:pPr>
        <w:numPr>
          <w:ilvl w:val="0"/>
          <w:numId w:val="1"/>
        </w:numPr>
        <w:pBdr>
          <w:top w:val="nil"/>
          <w:left w:val="nil"/>
          <w:bottom w:val="nil"/>
          <w:right w:val="nil"/>
          <w:between w:val="nil"/>
        </w:pBdr>
        <w:spacing w:line="240" w:lineRule="auto"/>
        <w:jc w:val="both"/>
        <w:rPr>
          <w:color w:val="000000"/>
        </w:rPr>
      </w:pPr>
      <w:r>
        <w:rPr>
          <w:color w:val="000000"/>
        </w:rPr>
        <w:t>Structural alignments and phylogenetic analyses</w:t>
      </w:r>
    </w:p>
    <w:p w14:paraId="62267EC0" w14:textId="77777777" w:rsidR="00AC077A" w:rsidRDefault="00AC077A">
      <w:pPr>
        <w:spacing w:line="240" w:lineRule="auto"/>
        <w:jc w:val="both"/>
        <w:rPr>
          <w:b/>
          <w:color w:val="000000"/>
        </w:rPr>
      </w:pPr>
    </w:p>
    <w:p w14:paraId="79D97DCA" w14:textId="77777777" w:rsidR="00AC077A" w:rsidRDefault="00000000">
      <w:pPr>
        <w:spacing w:line="240" w:lineRule="auto"/>
        <w:jc w:val="both"/>
        <w:rPr>
          <w:b/>
          <w:color w:val="000000"/>
        </w:rPr>
      </w:pPr>
      <w:r>
        <w:rPr>
          <w:b/>
          <w:color w:val="000000"/>
        </w:rPr>
        <w:t>Tables</w:t>
      </w:r>
    </w:p>
    <w:p w14:paraId="27BBA539" w14:textId="77777777" w:rsidR="00AC077A" w:rsidRDefault="00000000">
      <w:pPr>
        <w:spacing w:line="240" w:lineRule="auto"/>
        <w:jc w:val="both"/>
        <w:rPr>
          <w:color w:val="000000"/>
        </w:rPr>
      </w:pPr>
      <w:r>
        <w:rPr>
          <w:color w:val="000000"/>
        </w:rPr>
        <w:t>Supplemental Table</w:t>
      </w:r>
      <w:r>
        <w:t xml:space="preserve"> S</w:t>
      </w:r>
      <w:r>
        <w:rPr>
          <w:color w:val="000000"/>
        </w:rPr>
        <w:t xml:space="preserve">1: Manually curated genomes for chromosomally integrated mobile </w:t>
      </w:r>
    </w:p>
    <w:p w14:paraId="64BE3254" w14:textId="77777777" w:rsidR="00AC077A" w:rsidRDefault="00000000">
      <w:pPr>
        <w:spacing w:line="240" w:lineRule="auto"/>
        <w:jc w:val="both"/>
        <w:rPr>
          <w:color w:val="000000"/>
        </w:rPr>
      </w:pPr>
      <w:r>
        <w:rPr>
          <w:color w:val="000000"/>
        </w:rPr>
        <w:t>genetic elements and extrachromosomal elements.</w:t>
      </w:r>
    </w:p>
    <w:p w14:paraId="6F9DAA50" w14:textId="77777777" w:rsidR="00AC077A" w:rsidRDefault="00AC077A">
      <w:pPr>
        <w:spacing w:line="240" w:lineRule="auto"/>
        <w:jc w:val="both"/>
        <w:rPr>
          <w:color w:val="000000"/>
        </w:rPr>
      </w:pPr>
    </w:p>
    <w:p w14:paraId="0E9BAB30" w14:textId="77777777" w:rsidR="00AC077A" w:rsidRDefault="00000000">
      <w:pPr>
        <w:spacing w:line="240" w:lineRule="auto"/>
        <w:jc w:val="both"/>
        <w:rPr>
          <w:color w:val="000000"/>
        </w:rPr>
      </w:pPr>
      <w:r>
        <w:rPr>
          <w:color w:val="000000"/>
        </w:rPr>
        <w:t xml:space="preserve">Supplemental Table S11-B: Methylation patterns in Atabeyarchaeia and Freyarchaeia genomes </w:t>
      </w:r>
    </w:p>
    <w:p w14:paraId="0503081D" w14:textId="77777777" w:rsidR="00AC077A" w:rsidRDefault="00000000">
      <w:pPr>
        <w:spacing w:line="240" w:lineRule="auto"/>
        <w:jc w:val="both"/>
        <w:rPr>
          <w:color w:val="000000"/>
        </w:rPr>
      </w:pPr>
      <w:r>
        <w:rPr>
          <w:color w:val="000000"/>
        </w:rPr>
        <w:t>Based on PacBio data.</w:t>
      </w:r>
    </w:p>
    <w:p w14:paraId="605AF270" w14:textId="77777777" w:rsidR="00AC077A" w:rsidRDefault="00AC077A">
      <w:pPr>
        <w:spacing w:line="240" w:lineRule="auto"/>
        <w:jc w:val="both"/>
        <w:rPr>
          <w:color w:val="000000"/>
        </w:rPr>
      </w:pPr>
    </w:p>
    <w:p w14:paraId="1C138B7B" w14:textId="77777777" w:rsidR="00AC077A" w:rsidRDefault="00000000">
      <w:pPr>
        <w:spacing w:line="240" w:lineRule="auto"/>
        <w:jc w:val="both"/>
        <w:rPr>
          <w:b/>
          <w:color w:val="000000"/>
        </w:rPr>
      </w:pPr>
      <w:r>
        <w:rPr>
          <w:b/>
          <w:color w:val="000000"/>
        </w:rPr>
        <w:t>Supplementa</w:t>
      </w:r>
      <w:r>
        <w:rPr>
          <w:b/>
        </w:rPr>
        <w:t>l</w:t>
      </w:r>
      <w:r>
        <w:rPr>
          <w:b/>
          <w:color w:val="000000"/>
        </w:rPr>
        <w:t xml:space="preserve"> Figures</w:t>
      </w:r>
    </w:p>
    <w:p w14:paraId="34DAAA87" w14:textId="77777777" w:rsidR="00AC077A" w:rsidRDefault="00AC077A">
      <w:pPr>
        <w:pBdr>
          <w:top w:val="nil"/>
          <w:left w:val="nil"/>
          <w:bottom w:val="nil"/>
          <w:right w:val="nil"/>
          <w:between w:val="nil"/>
        </w:pBdr>
        <w:ind w:left="360" w:hanging="360"/>
        <w:rPr>
          <w:color w:val="000000"/>
        </w:rPr>
      </w:pPr>
    </w:p>
    <w:p w14:paraId="43CCC367" w14:textId="77777777" w:rsidR="00AC077A" w:rsidRDefault="00000000">
      <w:pPr>
        <w:pBdr>
          <w:top w:val="nil"/>
          <w:left w:val="nil"/>
          <w:bottom w:val="nil"/>
          <w:right w:val="nil"/>
          <w:between w:val="nil"/>
        </w:pBdr>
        <w:ind w:left="360" w:hanging="360"/>
        <w:rPr>
          <w:color w:val="000000"/>
        </w:rPr>
      </w:pPr>
      <w:sdt>
        <w:sdtPr>
          <w:tag w:val="goog_rdk_0"/>
          <w:id w:val="1171143295"/>
        </w:sdtPr>
        <w:sdtContent>
          <w:r>
            <w:rPr>
              <w:rFonts w:ascii="Arial Unicode MS" w:eastAsia="Arial Unicode MS" w:hAnsi="Arial Unicode MS" w:cs="Arial Unicode MS"/>
              <w:color w:val="000000"/>
            </w:rPr>
            <w:t>Supplemental Figure S1: Distribution of MGE types colored by host for genomes ≤ 100000 bp</w:t>
          </w:r>
        </w:sdtContent>
      </w:sdt>
    </w:p>
    <w:p w14:paraId="21710F66" w14:textId="77777777" w:rsidR="00AC077A" w:rsidRDefault="00AC077A">
      <w:pPr>
        <w:pBdr>
          <w:top w:val="nil"/>
          <w:left w:val="nil"/>
          <w:bottom w:val="nil"/>
          <w:right w:val="nil"/>
          <w:between w:val="nil"/>
        </w:pBdr>
        <w:ind w:left="360" w:hanging="360"/>
        <w:rPr>
          <w:color w:val="000000"/>
        </w:rPr>
      </w:pPr>
    </w:p>
    <w:p w14:paraId="096892C0" w14:textId="77777777" w:rsidR="00AC077A" w:rsidRDefault="00000000">
      <w:pPr>
        <w:pBdr>
          <w:top w:val="nil"/>
          <w:left w:val="nil"/>
          <w:bottom w:val="nil"/>
          <w:right w:val="nil"/>
          <w:between w:val="nil"/>
        </w:pBdr>
        <w:ind w:left="360" w:hanging="360"/>
        <w:rPr>
          <w:color w:val="000000"/>
        </w:rPr>
      </w:pPr>
      <w:r>
        <w:rPr>
          <w:color w:val="000000"/>
        </w:rPr>
        <w:t xml:space="preserve">Supplemental Figure S2: Phylogenetic Analyses of </w:t>
      </w:r>
      <w:proofErr w:type="spellStart"/>
      <w:r>
        <w:rPr>
          <w:color w:val="000000"/>
        </w:rPr>
        <w:t>ParB</w:t>
      </w:r>
      <w:proofErr w:type="spellEnd"/>
      <w:r>
        <w:rPr>
          <w:color w:val="000000"/>
        </w:rPr>
        <w:t xml:space="preserve"> and Tyrosine-Recombinase-Like </w:t>
      </w:r>
    </w:p>
    <w:p w14:paraId="0BD2894C" w14:textId="77777777" w:rsidR="00AC077A" w:rsidRDefault="00000000">
      <w:pPr>
        <w:pBdr>
          <w:top w:val="nil"/>
          <w:left w:val="nil"/>
          <w:bottom w:val="nil"/>
          <w:right w:val="nil"/>
          <w:between w:val="nil"/>
        </w:pBdr>
        <w:ind w:left="360" w:hanging="360"/>
        <w:rPr>
          <w:color w:val="000000"/>
        </w:rPr>
      </w:pPr>
      <w:r>
        <w:rPr>
          <w:color w:val="000000"/>
        </w:rPr>
        <w:t>proteins across archaeal mobile genetic elements</w:t>
      </w:r>
    </w:p>
    <w:p w14:paraId="26E9EF45" w14:textId="77777777" w:rsidR="00AC077A" w:rsidRDefault="00AC077A">
      <w:pPr>
        <w:pBdr>
          <w:top w:val="nil"/>
          <w:left w:val="nil"/>
          <w:bottom w:val="nil"/>
          <w:right w:val="nil"/>
          <w:between w:val="nil"/>
        </w:pBdr>
        <w:ind w:left="360" w:hanging="360"/>
        <w:rPr>
          <w:color w:val="000000"/>
        </w:rPr>
      </w:pPr>
    </w:p>
    <w:p w14:paraId="778CE88E" w14:textId="77777777" w:rsidR="00AC077A" w:rsidRDefault="00000000">
      <w:pPr>
        <w:pBdr>
          <w:top w:val="nil"/>
          <w:left w:val="nil"/>
          <w:bottom w:val="nil"/>
          <w:right w:val="nil"/>
          <w:between w:val="nil"/>
        </w:pBdr>
        <w:ind w:left="360" w:hanging="360"/>
        <w:rPr>
          <w:color w:val="000000"/>
        </w:rPr>
      </w:pPr>
      <w:r>
        <w:rPr>
          <w:color w:val="000000"/>
        </w:rPr>
        <w:t>Supplemental Figure S3: Sequence Similarity Network (SSN) for representative phage</w:t>
      </w:r>
    </w:p>
    <w:p w14:paraId="73C27C27" w14:textId="77777777" w:rsidR="00AC077A" w:rsidRDefault="00000000">
      <w:pPr>
        <w:pBdr>
          <w:top w:val="nil"/>
          <w:left w:val="nil"/>
          <w:bottom w:val="nil"/>
          <w:right w:val="nil"/>
          <w:between w:val="nil"/>
        </w:pBdr>
        <w:ind w:left="360" w:hanging="360"/>
        <w:rPr>
          <w:color w:val="000000"/>
        </w:rPr>
      </w:pPr>
      <w:r>
        <w:rPr>
          <w:color w:val="000000"/>
        </w:rPr>
        <w:t>integrases</w:t>
      </w:r>
    </w:p>
    <w:p w14:paraId="0721EC04" w14:textId="77777777" w:rsidR="00AC077A" w:rsidRDefault="00AC077A">
      <w:pPr>
        <w:pBdr>
          <w:top w:val="nil"/>
          <w:left w:val="nil"/>
          <w:bottom w:val="nil"/>
          <w:right w:val="nil"/>
          <w:between w:val="nil"/>
        </w:pBdr>
        <w:ind w:left="360" w:hanging="360"/>
        <w:rPr>
          <w:color w:val="000000"/>
        </w:rPr>
      </w:pPr>
    </w:p>
    <w:p w14:paraId="3B681511" w14:textId="77777777" w:rsidR="00AC077A" w:rsidRDefault="00000000">
      <w:pPr>
        <w:pBdr>
          <w:top w:val="nil"/>
          <w:left w:val="nil"/>
          <w:bottom w:val="nil"/>
          <w:right w:val="nil"/>
          <w:between w:val="nil"/>
        </w:pBdr>
        <w:ind w:left="360" w:hanging="360"/>
        <w:rPr>
          <w:color w:val="000000"/>
        </w:rPr>
      </w:pPr>
      <w:r>
        <w:rPr>
          <w:color w:val="000000"/>
        </w:rPr>
        <w:t>Supplemental Figure S4: Maximum likelihood phylogeny of a novel Type II-G Restriction</w:t>
      </w:r>
    </w:p>
    <w:p w14:paraId="22FD0F2F" w14:textId="77777777" w:rsidR="00AC077A" w:rsidRDefault="00000000">
      <w:pPr>
        <w:pBdr>
          <w:top w:val="nil"/>
          <w:left w:val="nil"/>
          <w:bottom w:val="nil"/>
          <w:right w:val="nil"/>
          <w:between w:val="nil"/>
        </w:pBdr>
        <w:ind w:left="360" w:hanging="360"/>
        <w:rPr>
          <w:color w:val="000000"/>
        </w:rPr>
      </w:pPr>
      <w:r>
        <w:rPr>
          <w:color w:val="000000"/>
        </w:rPr>
        <w:t>Modification protein fusion</w:t>
      </w:r>
    </w:p>
    <w:p w14:paraId="613C4807" w14:textId="77777777" w:rsidR="00AC077A" w:rsidRDefault="00AC077A">
      <w:pPr>
        <w:pBdr>
          <w:top w:val="nil"/>
          <w:left w:val="nil"/>
          <w:bottom w:val="nil"/>
          <w:right w:val="nil"/>
          <w:between w:val="nil"/>
        </w:pBdr>
        <w:ind w:left="360" w:hanging="360"/>
        <w:rPr>
          <w:color w:val="000000"/>
        </w:rPr>
      </w:pPr>
    </w:p>
    <w:p w14:paraId="60A41918" w14:textId="77777777" w:rsidR="00AC077A" w:rsidRDefault="00000000">
      <w:pPr>
        <w:pBdr>
          <w:top w:val="nil"/>
          <w:left w:val="nil"/>
          <w:bottom w:val="nil"/>
          <w:right w:val="nil"/>
          <w:between w:val="nil"/>
        </w:pBdr>
        <w:ind w:left="360" w:hanging="360"/>
        <w:rPr>
          <w:color w:val="000000"/>
        </w:rPr>
      </w:pPr>
      <w:r>
        <w:rPr>
          <w:color w:val="000000"/>
        </w:rPr>
        <w:t>Supplemental Figure S5: Cross-sample Atabeyarchaeia-1 plasmid integration</w:t>
      </w:r>
    </w:p>
    <w:p w14:paraId="1263A4C8" w14:textId="77777777" w:rsidR="00AC077A" w:rsidRDefault="00AC077A">
      <w:pPr>
        <w:pBdr>
          <w:top w:val="nil"/>
          <w:left w:val="nil"/>
          <w:bottom w:val="nil"/>
          <w:right w:val="nil"/>
          <w:between w:val="nil"/>
        </w:pBdr>
        <w:ind w:left="360" w:hanging="360"/>
        <w:rPr>
          <w:color w:val="000000"/>
        </w:rPr>
      </w:pPr>
    </w:p>
    <w:p w14:paraId="13B55830" w14:textId="77777777" w:rsidR="00AC077A" w:rsidRDefault="00000000">
      <w:pPr>
        <w:pBdr>
          <w:top w:val="nil"/>
          <w:left w:val="nil"/>
          <w:bottom w:val="nil"/>
          <w:right w:val="nil"/>
          <w:between w:val="nil"/>
        </w:pBdr>
        <w:ind w:left="360" w:hanging="360"/>
        <w:rPr>
          <w:color w:val="000000"/>
        </w:rPr>
      </w:pPr>
      <w:r>
        <w:rPr>
          <w:color w:val="000000"/>
        </w:rPr>
        <w:t>Supplemental Figure S6: Comparison of gene content of Yucahu-</w:t>
      </w:r>
      <w:proofErr w:type="spellStart"/>
      <w:r>
        <w:rPr>
          <w:color w:val="000000"/>
        </w:rPr>
        <w:t>i</w:t>
      </w:r>
      <w:proofErr w:type="spellEnd"/>
      <w:r>
        <w:rPr>
          <w:color w:val="000000"/>
        </w:rPr>
        <w:t xml:space="preserve"> and iMGE-xvi</w:t>
      </w:r>
    </w:p>
    <w:p w14:paraId="2F04E083" w14:textId="77777777" w:rsidR="00AC077A" w:rsidRDefault="00AC077A">
      <w:pPr>
        <w:pBdr>
          <w:top w:val="nil"/>
          <w:left w:val="nil"/>
          <w:bottom w:val="nil"/>
          <w:right w:val="nil"/>
          <w:between w:val="nil"/>
        </w:pBdr>
        <w:ind w:left="360" w:hanging="360"/>
        <w:rPr>
          <w:color w:val="000000"/>
        </w:rPr>
      </w:pPr>
    </w:p>
    <w:p w14:paraId="6925C878" w14:textId="77777777" w:rsidR="00AC077A" w:rsidRDefault="00000000">
      <w:pPr>
        <w:pBdr>
          <w:top w:val="nil"/>
          <w:left w:val="nil"/>
          <w:bottom w:val="nil"/>
          <w:right w:val="nil"/>
          <w:between w:val="nil"/>
        </w:pBdr>
        <w:ind w:left="360" w:hanging="360"/>
        <w:rPr>
          <w:color w:val="000000"/>
        </w:rPr>
      </w:pPr>
      <w:r>
        <w:rPr>
          <w:color w:val="000000"/>
        </w:rPr>
        <w:t>Supplemental Figure S7: Genome diagram of Atabeyarchaeia-2 Putative plasmid Zemi-700</w:t>
      </w:r>
    </w:p>
    <w:p w14:paraId="69889D5A" w14:textId="77777777" w:rsidR="00AC077A" w:rsidRDefault="00AC077A">
      <w:pPr>
        <w:pBdr>
          <w:top w:val="nil"/>
          <w:left w:val="nil"/>
          <w:bottom w:val="nil"/>
          <w:right w:val="nil"/>
          <w:between w:val="nil"/>
        </w:pBdr>
        <w:ind w:left="360" w:hanging="360"/>
        <w:rPr>
          <w:color w:val="000000"/>
        </w:rPr>
      </w:pPr>
    </w:p>
    <w:p w14:paraId="390965E7" w14:textId="77777777" w:rsidR="00AC077A" w:rsidRDefault="00000000">
      <w:pPr>
        <w:pBdr>
          <w:top w:val="nil"/>
          <w:left w:val="nil"/>
          <w:bottom w:val="nil"/>
          <w:right w:val="nil"/>
          <w:between w:val="nil"/>
        </w:pBdr>
        <w:ind w:left="360" w:hanging="360"/>
        <w:rPr>
          <w:color w:val="000000"/>
        </w:rPr>
      </w:pPr>
      <w:r>
        <w:rPr>
          <w:color w:val="000000"/>
        </w:rPr>
        <w:t xml:space="preserve">Supplemental Figure S8: Maximum Likelihood Phylogeny of CAAX Proteases Identified in </w:t>
      </w:r>
    </w:p>
    <w:p w14:paraId="38973173" w14:textId="77777777" w:rsidR="00AC077A" w:rsidRDefault="00000000">
      <w:pPr>
        <w:pBdr>
          <w:top w:val="nil"/>
          <w:left w:val="nil"/>
          <w:bottom w:val="nil"/>
          <w:right w:val="nil"/>
          <w:between w:val="nil"/>
        </w:pBdr>
        <w:ind w:left="360" w:hanging="360"/>
        <w:rPr>
          <w:color w:val="000000"/>
        </w:rPr>
      </w:pPr>
      <w:r>
        <w:rPr>
          <w:color w:val="000000"/>
        </w:rPr>
        <w:t>the Atabeyarchaeia-2 Plasmid_700</w:t>
      </w:r>
    </w:p>
    <w:p w14:paraId="1B50DD26" w14:textId="77777777" w:rsidR="00AC077A" w:rsidRDefault="00AC077A">
      <w:pPr>
        <w:pBdr>
          <w:top w:val="nil"/>
          <w:left w:val="nil"/>
          <w:bottom w:val="nil"/>
          <w:right w:val="nil"/>
          <w:between w:val="nil"/>
        </w:pBdr>
        <w:ind w:left="360" w:hanging="360"/>
        <w:rPr>
          <w:color w:val="000000"/>
        </w:rPr>
      </w:pPr>
    </w:p>
    <w:p w14:paraId="0840C284" w14:textId="77777777" w:rsidR="00AC077A" w:rsidRDefault="00000000">
      <w:pPr>
        <w:pBdr>
          <w:top w:val="nil"/>
          <w:left w:val="nil"/>
          <w:bottom w:val="nil"/>
          <w:right w:val="nil"/>
          <w:between w:val="nil"/>
        </w:pBdr>
        <w:ind w:left="360" w:hanging="360"/>
        <w:rPr>
          <w:color w:val="000000"/>
        </w:rPr>
      </w:pPr>
      <w:r>
        <w:rPr>
          <w:color w:val="000000"/>
        </w:rPr>
        <w:t xml:space="preserve">Supplemental Figure S9: Genomic organization of DISARM system from </w:t>
      </w:r>
      <w:proofErr w:type="spellStart"/>
      <w:r>
        <w:rPr>
          <w:color w:val="000000"/>
        </w:rPr>
        <w:t>Freyarchaum</w:t>
      </w:r>
      <w:proofErr w:type="spellEnd"/>
      <w:r>
        <w:rPr>
          <w:color w:val="000000"/>
        </w:rPr>
        <w:t xml:space="preserve"> </w:t>
      </w:r>
    </w:p>
    <w:p w14:paraId="3772EEE9" w14:textId="77777777" w:rsidR="00AC077A" w:rsidRDefault="00AC077A">
      <w:pPr>
        <w:pBdr>
          <w:top w:val="nil"/>
          <w:left w:val="nil"/>
          <w:bottom w:val="nil"/>
          <w:right w:val="nil"/>
          <w:between w:val="nil"/>
        </w:pBdr>
        <w:ind w:left="360" w:hanging="360"/>
        <w:rPr>
          <w:color w:val="000000"/>
        </w:rPr>
      </w:pPr>
    </w:p>
    <w:p w14:paraId="4F4439E2" w14:textId="77777777" w:rsidR="00AC077A" w:rsidRDefault="00000000">
      <w:pPr>
        <w:pBdr>
          <w:top w:val="nil"/>
          <w:left w:val="nil"/>
          <w:bottom w:val="nil"/>
          <w:right w:val="nil"/>
          <w:between w:val="nil"/>
        </w:pBdr>
        <w:ind w:left="360" w:hanging="360"/>
        <w:rPr>
          <w:color w:val="000000"/>
        </w:rPr>
      </w:pPr>
      <w:r>
        <w:rPr>
          <w:color w:val="000000"/>
        </w:rPr>
        <w:t>Supplemental Figure S10: Comparison of GTPases encoded within Atabeyarchaeia putative MGEs</w:t>
      </w:r>
    </w:p>
    <w:p w14:paraId="076D79C2" w14:textId="77777777" w:rsidR="00AC077A" w:rsidRDefault="00AC077A">
      <w:pPr>
        <w:pBdr>
          <w:top w:val="nil"/>
          <w:left w:val="nil"/>
          <w:bottom w:val="nil"/>
          <w:right w:val="nil"/>
          <w:between w:val="nil"/>
        </w:pBdr>
        <w:ind w:left="360" w:hanging="360"/>
        <w:rPr>
          <w:color w:val="000000"/>
        </w:rPr>
      </w:pPr>
    </w:p>
    <w:p w14:paraId="0DE4B51C" w14:textId="77777777" w:rsidR="00AC077A" w:rsidRDefault="00000000">
      <w:pPr>
        <w:pBdr>
          <w:top w:val="nil"/>
          <w:left w:val="nil"/>
          <w:bottom w:val="nil"/>
          <w:right w:val="nil"/>
          <w:between w:val="nil"/>
        </w:pBdr>
        <w:ind w:left="360" w:hanging="360"/>
        <w:rPr>
          <w:color w:val="000000"/>
        </w:rPr>
      </w:pPr>
      <w:r>
        <w:rPr>
          <w:color w:val="000000"/>
        </w:rPr>
        <w:t>Supplemental Figure S11: Evolutionary position of Atabeyarchaeia putative MGEs GTPases</w:t>
      </w:r>
    </w:p>
    <w:p w14:paraId="430936FB" w14:textId="77777777" w:rsidR="00AC077A" w:rsidRDefault="00AC077A" w:rsidP="007F6316">
      <w:pPr>
        <w:pBdr>
          <w:top w:val="nil"/>
          <w:left w:val="nil"/>
          <w:bottom w:val="nil"/>
          <w:right w:val="nil"/>
          <w:between w:val="nil"/>
        </w:pBdr>
        <w:rPr>
          <w:color w:val="000000"/>
        </w:rPr>
      </w:pPr>
    </w:p>
    <w:p w14:paraId="538F128D" w14:textId="77777777" w:rsidR="00AC077A" w:rsidRDefault="00000000">
      <w:pPr>
        <w:pBdr>
          <w:top w:val="nil"/>
          <w:left w:val="nil"/>
          <w:bottom w:val="nil"/>
          <w:right w:val="nil"/>
          <w:between w:val="nil"/>
        </w:pBdr>
        <w:spacing w:after="200"/>
        <w:ind w:left="360" w:hanging="360"/>
        <w:rPr>
          <w:color w:val="000000"/>
        </w:rPr>
      </w:pPr>
      <w:r>
        <w:rPr>
          <w:color w:val="000000"/>
        </w:rPr>
        <w:t>Supplemental Figure S12: Conservation of G domain and switches</w:t>
      </w:r>
    </w:p>
    <w:p w14:paraId="32C77D1F" w14:textId="77777777" w:rsidR="00AC077A" w:rsidRDefault="00AC077A">
      <w:pPr>
        <w:spacing w:line="240" w:lineRule="auto"/>
        <w:jc w:val="both"/>
        <w:rPr>
          <w:b/>
          <w:color w:val="000000"/>
        </w:rPr>
      </w:pPr>
    </w:p>
    <w:p w14:paraId="2A17D632" w14:textId="77777777" w:rsidR="00AC077A" w:rsidRDefault="00AC077A">
      <w:pPr>
        <w:spacing w:line="240" w:lineRule="auto"/>
        <w:jc w:val="both"/>
        <w:rPr>
          <w:color w:val="000000"/>
        </w:rPr>
      </w:pPr>
    </w:p>
    <w:p w14:paraId="6F80FE06" w14:textId="77777777" w:rsidR="00AC077A" w:rsidRDefault="00AC077A">
      <w:pPr>
        <w:spacing w:line="240" w:lineRule="auto"/>
        <w:jc w:val="both"/>
        <w:rPr>
          <w:color w:val="000000"/>
        </w:rPr>
      </w:pPr>
    </w:p>
    <w:p w14:paraId="429E1F6B" w14:textId="77777777" w:rsidR="00AC077A" w:rsidRDefault="00AC077A">
      <w:pPr>
        <w:spacing w:line="240" w:lineRule="auto"/>
        <w:jc w:val="both"/>
        <w:rPr>
          <w:b/>
          <w:color w:val="000000"/>
        </w:rPr>
      </w:pPr>
    </w:p>
    <w:p w14:paraId="472833A6" w14:textId="77777777" w:rsidR="00AC077A" w:rsidRDefault="00AC077A">
      <w:pPr>
        <w:spacing w:line="240" w:lineRule="auto"/>
        <w:jc w:val="both"/>
        <w:rPr>
          <w:b/>
          <w:color w:val="000000"/>
        </w:rPr>
      </w:pPr>
    </w:p>
    <w:p w14:paraId="6C5230BB" w14:textId="77777777" w:rsidR="00AC077A" w:rsidRDefault="00AC077A">
      <w:pPr>
        <w:spacing w:line="240" w:lineRule="auto"/>
        <w:jc w:val="both"/>
        <w:rPr>
          <w:b/>
          <w:color w:val="000000"/>
        </w:rPr>
      </w:pPr>
    </w:p>
    <w:p w14:paraId="28247670" w14:textId="77777777" w:rsidR="00AC077A" w:rsidRDefault="00AC077A">
      <w:pPr>
        <w:spacing w:line="240" w:lineRule="auto"/>
        <w:jc w:val="both"/>
        <w:rPr>
          <w:b/>
          <w:color w:val="000000"/>
        </w:rPr>
      </w:pPr>
    </w:p>
    <w:p w14:paraId="19E06DF2" w14:textId="77777777" w:rsidR="00AC077A" w:rsidRDefault="00AC077A">
      <w:pPr>
        <w:spacing w:line="240" w:lineRule="auto"/>
        <w:jc w:val="both"/>
        <w:rPr>
          <w:b/>
          <w:color w:val="000000"/>
        </w:rPr>
      </w:pPr>
    </w:p>
    <w:p w14:paraId="51E6ACC9" w14:textId="77777777" w:rsidR="00AC077A" w:rsidRDefault="00AC077A">
      <w:pPr>
        <w:spacing w:line="240" w:lineRule="auto"/>
        <w:jc w:val="both"/>
        <w:rPr>
          <w:b/>
          <w:color w:val="000000"/>
        </w:rPr>
      </w:pPr>
    </w:p>
    <w:p w14:paraId="197F8CFD" w14:textId="77777777" w:rsidR="00AC077A" w:rsidRDefault="00AC077A">
      <w:pPr>
        <w:spacing w:line="240" w:lineRule="auto"/>
        <w:jc w:val="both"/>
        <w:rPr>
          <w:b/>
          <w:color w:val="000000"/>
        </w:rPr>
      </w:pPr>
    </w:p>
    <w:p w14:paraId="4D5083F3" w14:textId="77777777" w:rsidR="00AC077A" w:rsidRDefault="00AC077A">
      <w:pPr>
        <w:spacing w:line="240" w:lineRule="auto"/>
        <w:jc w:val="both"/>
        <w:rPr>
          <w:b/>
          <w:color w:val="000000"/>
        </w:rPr>
      </w:pPr>
    </w:p>
    <w:p w14:paraId="24E2EA67" w14:textId="77777777" w:rsidR="00AC077A" w:rsidRDefault="00AC077A">
      <w:pPr>
        <w:spacing w:line="240" w:lineRule="auto"/>
        <w:jc w:val="both"/>
        <w:rPr>
          <w:b/>
          <w:color w:val="000000"/>
        </w:rPr>
      </w:pPr>
    </w:p>
    <w:p w14:paraId="30474530" w14:textId="77777777" w:rsidR="00AC077A" w:rsidRDefault="00AC077A">
      <w:pPr>
        <w:spacing w:line="240" w:lineRule="auto"/>
        <w:jc w:val="both"/>
        <w:rPr>
          <w:b/>
          <w:color w:val="000000"/>
        </w:rPr>
      </w:pPr>
    </w:p>
    <w:p w14:paraId="39361F20" w14:textId="77777777" w:rsidR="00AC077A" w:rsidRDefault="00AC077A">
      <w:pPr>
        <w:spacing w:line="240" w:lineRule="auto"/>
        <w:jc w:val="both"/>
        <w:rPr>
          <w:b/>
          <w:color w:val="000000"/>
        </w:rPr>
      </w:pPr>
    </w:p>
    <w:p w14:paraId="6C54DC8C" w14:textId="77777777" w:rsidR="00AC077A" w:rsidRDefault="00AC077A">
      <w:pPr>
        <w:spacing w:line="240" w:lineRule="auto"/>
        <w:jc w:val="both"/>
        <w:rPr>
          <w:b/>
          <w:color w:val="000000"/>
        </w:rPr>
      </w:pPr>
    </w:p>
    <w:p w14:paraId="0E9DE378" w14:textId="77777777" w:rsidR="00AC077A" w:rsidRDefault="00AC077A">
      <w:pPr>
        <w:spacing w:line="240" w:lineRule="auto"/>
        <w:jc w:val="both"/>
        <w:rPr>
          <w:b/>
          <w:color w:val="000000"/>
        </w:rPr>
      </w:pPr>
    </w:p>
    <w:p w14:paraId="5A2C28C4" w14:textId="77777777" w:rsidR="00AC077A" w:rsidRDefault="00AC077A">
      <w:pPr>
        <w:spacing w:line="240" w:lineRule="auto"/>
        <w:jc w:val="both"/>
        <w:rPr>
          <w:b/>
          <w:color w:val="000000"/>
        </w:rPr>
      </w:pPr>
    </w:p>
    <w:p w14:paraId="6B24CD8E" w14:textId="77777777" w:rsidR="00AC077A" w:rsidRDefault="00AC077A">
      <w:pPr>
        <w:spacing w:line="240" w:lineRule="auto"/>
        <w:jc w:val="both"/>
        <w:rPr>
          <w:b/>
          <w:color w:val="000000"/>
        </w:rPr>
      </w:pPr>
    </w:p>
    <w:p w14:paraId="7DEE9F11" w14:textId="77777777" w:rsidR="00AC077A" w:rsidRDefault="00AC077A">
      <w:pPr>
        <w:spacing w:line="240" w:lineRule="auto"/>
        <w:jc w:val="both"/>
        <w:rPr>
          <w:b/>
          <w:color w:val="000000"/>
        </w:rPr>
      </w:pPr>
    </w:p>
    <w:p w14:paraId="46595153" w14:textId="77777777" w:rsidR="00AC077A" w:rsidRDefault="00AC077A">
      <w:pPr>
        <w:spacing w:line="240" w:lineRule="auto"/>
        <w:jc w:val="both"/>
        <w:rPr>
          <w:b/>
          <w:color w:val="000000"/>
        </w:rPr>
      </w:pPr>
    </w:p>
    <w:p w14:paraId="6B91CA9F" w14:textId="77777777" w:rsidR="00AC077A" w:rsidRDefault="00AC077A">
      <w:pPr>
        <w:spacing w:line="240" w:lineRule="auto"/>
        <w:jc w:val="both"/>
        <w:rPr>
          <w:b/>
          <w:color w:val="000000"/>
        </w:rPr>
      </w:pPr>
    </w:p>
    <w:p w14:paraId="53171E10" w14:textId="77777777" w:rsidR="00AC077A" w:rsidRDefault="00AC077A">
      <w:pPr>
        <w:spacing w:line="240" w:lineRule="auto"/>
        <w:jc w:val="both"/>
        <w:rPr>
          <w:b/>
          <w:color w:val="000000"/>
        </w:rPr>
      </w:pPr>
    </w:p>
    <w:p w14:paraId="38E91FA8" w14:textId="77777777" w:rsidR="00AC077A" w:rsidRDefault="00AC077A">
      <w:pPr>
        <w:spacing w:line="240" w:lineRule="auto"/>
        <w:jc w:val="both"/>
        <w:rPr>
          <w:b/>
          <w:color w:val="000000"/>
        </w:rPr>
      </w:pPr>
    </w:p>
    <w:p w14:paraId="627053AF" w14:textId="77777777" w:rsidR="00AC077A" w:rsidRDefault="00AC077A">
      <w:pPr>
        <w:spacing w:line="240" w:lineRule="auto"/>
        <w:jc w:val="both"/>
        <w:rPr>
          <w:b/>
          <w:color w:val="000000"/>
        </w:rPr>
      </w:pPr>
    </w:p>
    <w:p w14:paraId="0A4750BF" w14:textId="77777777" w:rsidR="00AC077A" w:rsidRDefault="00AC077A">
      <w:pPr>
        <w:spacing w:line="240" w:lineRule="auto"/>
        <w:jc w:val="both"/>
        <w:rPr>
          <w:b/>
          <w:color w:val="000000"/>
        </w:rPr>
      </w:pPr>
    </w:p>
    <w:p w14:paraId="6CF15FA3" w14:textId="77777777" w:rsidR="00AC077A" w:rsidRDefault="00AC077A">
      <w:pPr>
        <w:spacing w:line="240" w:lineRule="auto"/>
        <w:jc w:val="both"/>
        <w:rPr>
          <w:b/>
          <w:color w:val="000000"/>
        </w:rPr>
      </w:pPr>
    </w:p>
    <w:p w14:paraId="02EEEF86" w14:textId="77777777" w:rsidR="00AC077A" w:rsidRDefault="00AC077A">
      <w:pPr>
        <w:spacing w:line="240" w:lineRule="auto"/>
        <w:jc w:val="both"/>
        <w:rPr>
          <w:b/>
          <w:color w:val="000000"/>
        </w:rPr>
      </w:pPr>
    </w:p>
    <w:p w14:paraId="23678C2C" w14:textId="77777777" w:rsidR="00AC077A" w:rsidRDefault="00AC077A">
      <w:pPr>
        <w:spacing w:line="240" w:lineRule="auto"/>
        <w:jc w:val="both"/>
        <w:rPr>
          <w:b/>
          <w:color w:val="000000"/>
        </w:rPr>
      </w:pPr>
    </w:p>
    <w:p w14:paraId="56793912" w14:textId="77777777" w:rsidR="00AC077A" w:rsidRDefault="00AC077A">
      <w:pPr>
        <w:spacing w:line="240" w:lineRule="auto"/>
        <w:jc w:val="both"/>
        <w:rPr>
          <w:b/>
          <w:color w:val="000000"/>
        </w:rPr>
      </w:pPr>
    </w:p>
    <w:p w14:paraId="038F4428" w14:textId="77777777" w:rsidR="00AC077A" w:rsidRDefault="00AC077A">
      <w:pPr>
        <w:spacing w:line="240" w:lineRule="auto"/>
        <w:jc w:val="both"/>
        <w:rPr>
          <w:b/>
          <w:color w:val="000000"/>
        </w:rPr>
      </w:pPr>
    </w:p>
    <w:p w14:paraId="2A365320" w14:textId="77777777" w:rsidR="00AC077A" w:rsidRDefault="00AC077A">
      <w:pPr>
        <w:spacing w:line="240" w:lineRule="auto"/>
        <w:jc w:val="both"/>
        <w:rPr>
          <w:b/>
          <w:color w:val="000000"/>
        </w:rPr>
      </w:pPr>
    </w:p>
    <w:p w14:paraId="011FCCFE" w14:textId="77777777" w:rsidR="00AC077A" w:rsidRDefault="00AC077A">
      <w:pPr>
        <w:spacing w:line="240" w:lineRule="auto"/>
        <w:jc w:val="both"/>
        <w:rPr>
          <w:b/>
          <w:color w:val="000000"/>
        </w:rPr>
      </w:pPr>
    </w:p>
    <w:p w14:paraId="3C07E1FF" w14:textId="77777777" w:rsidR="00AC077A" w:rsidRDefault="00AC077A">
      <w:pPr>
        <w:spacing w:line="240" w:lineRule="auto"/>
        <w:jc w:val="both"/>
        <w:rPr>
          <w:b/>
          <w:color w:val="000000"/>
        </w:rPr>
      </w:pPr>
    </w:p>
    <w:p w14:paraId="1575D68C" w14:textId="77777777" w:rsidR="00AC077A" w:rsidRDefault="00AC077A">
      <w:pPr>
        <w:spacing w:line="240" w:lineRule="auto"/>
        <w:jc w:val="both"/>
        <w:rPr>
          <w:b/>
          <w:color w:val="000000"/>
        </w:rPr>
      </w:pPr>
    </w:p>
    <w:p w14:paraId="64B46ECE" w14:textId="77777777" w:rsidR="00AC077A" w:rsidRDefault="00AC077A">
      <w:pPr>
        <w:spacing w:line="240" w:lineRule="auto"/>
        <w:jc w:val="both"/>
        <w:rPr>
          <w:b/>
          <w:color w:val="000000"/>
        </w:rPr>
      </w:pPr>
    </w:p>
    <w:p w14:paraId="790BCCA5" w14:textId="77777777" w:rsidR="00AC077A" w:rsidRDefault="00AC077A">
      <w:pPr>
        <w:spacing w:line="240" w:lineRule="auto"/>
        <w:jc w:val="both"/>
        <w:rPr>
          <w:b/>
          <w:color w:val="000000"/>
        </w:rPr>
      </w:pPr>
    </w:p>
    <w:p w14:paraId="54B6C0CA" w14:textId="77777777" w:rsidR="00AC077A" w:rsidRDefault="00AC077A">
      <w:pPr>
        <w:spacing w:line="240" w:lineRule="auto"/>
        <w:jc w:val="both"/>
        <w:rPr>
          <w:b/>
          <w:color w:val="000000"/>
        </w:rPr>
      </w:pPr>
    </w:p>
    <w:p w14:paraId="020EDFFA" w14:textId="77777777" w:rsidR="00AC077A" w:rsidRDefault="00AC077A">
      <w:pPr>
        <w:spacing w:line="240" w:lineRule="auto"/>
        <w:jc w:val="both"/>
        <w:rPr>
          <w:b/>
          <w:color w:val="000000"/>
        </w:rPr>
      </w:pPr>
    </w:p>
    <w:p w14:paraId="0FB31E17" w14:textId="77777777" w:rsidR="00AC077A" w:rsidRDefault="00AC077A">
      <w:pPr>
        <w:spacing w:line="240" w:lineRule="auto"/>
        <w:jc w:val="both"/>
        <w:rPr>
          <w:b/>
          <w:color w:val="000000"/>
        </w:rPr>
      </w:pPr>
    </w:p>
    <w:p w14:paraId="65960889" w14:textId="77777777" w:rsidR="00AC077A" w:rsidRDefault="00AC077A">
      <w:pPr>
        <w:spacing w:line="240" w:lineRule="auto"/>
        <w:jc w:val="both"/>
        <w:rPr>
          <w:b/>
          <w:color w:val="000000"/>
        </w:rPr>
      </w:pPr>
    </w:p>
    <w:p w14:paraId="47D258BE" w14:textId="77777777" w:rsidR="00AC077A" w:rsidRDefault="00AC077A">
      <w:pPr>
        <w:spacing w:line="240" w:lineRule="auto"/>
        <w:jc w:val="both"/>
        <w:rPr>
          <w:b/>
          <w:color w:val="000000"/>
        </w:rPr>
      </w:pPr>
    </w:p>
    <w:p w14:paraId="6BA35D38" w14:textId="77777777" w:rsidR="00AC077A" w:rsidRDefault="00AC077A">
      <w:pPr>
        <w:spacing w:line="240" w:lineRule="auto"/>
        <w:jc w:val="both"/>
        <w:rPr>
          <w:b/>
          <w:color w:val="000000"/>
        </w:rPr>
      </w:pPr>
    </w:p>
    <w:p w14:paraId="753C1245" w14:textId="77777777" w:rsidR="00AC077A" w:rsidRDefault="00AC077A">
      <w:pPr>
        <w:spacing w:line="240" w:lineRule="auto"/>
        <w:jc w:val="both"/>
        <w:rPr>
          <w:b/>
          <w:color w:val="000000"/>
        </w:rPr>
      </w:pPr>
    </w:p>
    <w:p w14:paraId="1C95D4AF" w14:textId="77777777" w:rsidR="00AC077A" w:rsidRDefault="00AC077A">
      <w:pPr>
        <w:spacing w:line="240" w:lineRule="auto"/>
        <w:jc w:val="both"/>
        <w:rPr>
          <w:b/>
          <w:color w:val="000000"/>
        </w:rPr>
      </w:pPr>
    </w:p>
    <w:p w14:paraId="3B0CFB8A" w14:textId="77777777" w:rsidR="00AC077A" w:rsidRDefault="00AC077A">
      <w:pPr>
        <w:spacing w:line="240" w:lineRule="auto"/>
        <w:jc w:val="both"/>
        <w:rPr>
          <w:b/>
          <w:color w:val="000000"/>
        </w:rPr>
      </w:pPr>
    </w:p>
    <w:p w14:paraId="7C1ABF49" w14:textId="77777777" w:rsidR="00AC077A" w:rsidRDefault="00000000">
      <w:pPr>
        <w:spacing w:line="360" w:lineRule="auto"/>
        <w:jc w:val="both"/>
        <w:rPr>
          <w:b/>
          <w:color w:val="000000"/>
        </w:rPr>
      </w:pPr>
      <w:r>
        <w:rPr>
          <w:b/>
          <w:color w:val="000000"/>
        </w:rPr>
        <w:lastRenderedPageBreak/>
        <w:t>Supplementa</w:t>
      </w:r>
      <w:r>
        <w:rPr>
          <w:b/>
        </w:rPr>
        <w:t>l</w:t>
      </w:r>
      <w:r>
        <w:rPr>
          <w:b/>
          <w:color w:val="000000"/>
        </w:rPr>
        <w:t xml:space="preserve"> Text</w:t>
      </w:r>
    </w:p>
    <w:p w14:paraId="292951C7" w14:textId="77777777" w:rsidR="00AC077A" w:rsidRDefault="00000000">
      <w:pPr>
        <w:spacing w:line="360" w:lineRule="auto"/>
        <w:ind w:firstLine="720"/>
        <w:jc w:val="both"/>
        <w:rPr>
          <w:color w:val="000000"/>
        </w:rPr>
      </w:pPr>
      <w:r>
        <w:rPr>
          <w:color w:val="000000"/>
        </w:rPr>
        <w:t xml:space="preserve">The ARF GTPase family is a multi-function group that may be involved in processes such as vesicle transport, lipid modification, organelle morphology (e.g., mitochondrial fusion), and adhesion. Phylogenetic analysis indicates that Atabeyarchaeia, Freyarchaeia, and iMGE-xii proteins belong to a group characterized mainly by unannotated Arf eukaryotic representatives. </w:t>
      </w:r>
      <w:proofErr w:type="gramStart"/>
      <w:r>
        <w:rPr>
          <w:color w:val="000000"/>
        </w:rPr>
        <w:t>Thus</w:t>
      </w:r>
      <w:proofErr w:type="gramEnd"/>
      <w:r>
        <w:rPr>
          <w:color w:val="000000"/>
        </w:rPr>
        <w:t xml:space="preserve"> to get insights into their potential function we determined </w:t>
      </w:r>
      <w:proofErr w:type="spellStart"/>
      <w:r>
        <w:rPr>
          <w:color w:val="000000"/>
        </w:rPr>
        <w:t>i</w:t>
      </w:r>
      <w:proofErr w:type="spellEnd"/>
      <w:r>
        <w:rPr>
          <w:color w:val="000000"/>
        </w:rPr>
        <w:t>) their subcellular localization via (</w:t>
      </w:r>
      <w:proofErr w:type="spellStart"/>
      <w:r>
        <w:rPr>
          <w:color w:val="000000"/>
        </w:rPr>
        <w:t>PSORTb</w:t>
      </w:r>
      <w:proofErr w:type="spellEnd"/>
      <w:r>
        <w:rPr>
          <w:color w:val="000000"/>
        </w:rPr>
        <w:t xml:space="preserve"> v3.0 Archaea), ii) structural predictions (AlphaFold), and iii) structure-based phylogenies (</w:t>
      </w:r>
      <w:r>
        <w:rPr>
          <w:b/>
          <w:color w:val="000000"/>
        </w:rPr>
        <w:t>Supplemental</w:t>
      </w:r>
      <w:r>
        <w:rPr>
          <w:color w:val="000000"/>
        </w:rPr>
        <w:t xml:space="preserve"> </w:t>
      </w:r>
      <w:r>
        <w:rPr>
          <w:b/>
          <w:color w:val="000000"/>
        </w:rPr>
        <w:t>Figure S10</w:t>
      </w:r>
      <w:r>
        <w:rPr>
          <w:b/>
        </w:rPr>
        <w:t>-12</w:t>
      </w:r>
      <w:r>
        <w:rPr>
          <w:b/>
          <w:color w:val="000000"/>
        </w:rPr>
        <w:t>, Supplemental</w:t>
      </w:r>
      <w:r>
        <w:rPr>
          <w:color w:val="000000"/>
        </w:rPr>
        <w:t xml:space="preserve"> </w:t>
      </w:r>
      <w:r>
        <w:rPr>
          <w:b/>
          <w:color w:val="000000"/>
        </w:rPr>
        <w:t>Table S</w:t>
      </w:r>
      <w:r>
        <w:rPr>
          <w:b/>
        </w:rPr>
        <w:t>12</w:t>
      </w:r>
      <w:r>
        <w:rPr>
          <w:color w:val="000000"/>
        </w:rPr>
        <w:t xml:space="preserve">). </w:t>
      </w:r>
      <w:proofErr w:type="gramStart"/>
      <w:r>
        <w:rPr>
          <w:color w:val="000000"/>
        </w:rPr>
        <w:t>Similar to</w:t>
      </w:r>
      <w:proofErr w:type="gramEnd"/>
      <w:r>
        <w:rPr>
          <w:color w:val="000000"/>
        </w:rPr>
        <w:t xml:space="preserve"> known eukaryotic proteins PSORT identified localization as cytoplasmic or unknown. From the </w:t>
      </w:r>
      <w:proofErr w:type="spellStart"/>
      <w:r>
        <w:rPr>
          <w:color w:val="000000"/>
        </w:rPr>
        <w:t>ArfX</w:t>
      </w:r>
      <w:proofErr w:type="spellEnd"/>
      <w:r>
        <w:rPr>
          <w:color w:val="000000"/>
        </w:rPr>
        <w:t xml:space="preserve"> cluster on the tree, we chose 5 proteins from Atabeyarchaeia (Atabeya-1, Atabeya-2, and Atabeya-3) and Freyarchaeia genomes, the 2 proteins from the MGEs, 4 proteins from Eukaryotes, and 4 additional Eukaryotic proteins from Arl2 and Arl8 as the outgroup for localization and structural analysis. Then, we searched the predicted GTPase structures of the iMGE-xii_6 and iMGE-xii_29 against the RCSB Protein Data Bank and aligned the predicted and validated structures to curate the structural phylogeny (</w:t>
      </w:r>
      <w:r>
        <w:rPr>
          <w:b/>
          <w:color w:val="000000"/>
        </w:rPr>
        <w:t>Supplemental</w:t>
      </w:r>
      <w:r>
        <w:rPr>
          <w:color w:val="000000"/>
        </w:rPr>
        <w:t xml:space="preserve"> </w:t>
      </w:r>
      <w:r>
        <w:rPr>
          <w:b/>
          <w:color w:val="000000"/>
        </w:rPr>
        <w:t>Figure S11</w:t>
      </w:r>
      <w:r>
        <w:rPr>
          <w:color w:val="000000"/>
        </w:rPr>
        <w:t xml:space="preserve">). Predicted structures of the iMGE-xii proteins showed strong similarity to the predicted GTPase from Freya (RMSD: 1.606), predicted GTPase from </w:t>
      </w:r>
      <w:proofErr w:type="spellStart"/>
      <w:r>
        <w:rPr>
          <w:i/>
          <w:color w:val="000000"/>
        </w:rPr>
        <w:t>Spironucleus</w:t>
      </w:r>
      <w:proofErr w:type="spellEnd"/>
      <w:r>
        <w:rPr>
          <w:i/>
          <w:color w:val="000000"/>
        </w:rPr>
        <w:t xml:space="preserve"> </w:t>
      </w:r>
      <w:proofErr w:type="spellStart"/>
      <w:r>
        <w:rPr>
          <w:i/>
          <w:color w:val="000000"/>
        </w:rPr>
        <w:t>salmonicida</w:t>
      </w:r>
      <w:proofErr w:type="spellEnd"/>
      <w:r>
        <w:rPr>
          <w:color w:val="000000"/>
        </w:rPr>
        <w:t xml:space="preserve"> (single-cell flagellate) (RMSD: 2.476), and protein structures obtained by electron microscopy in a </w:t>
      </w:r>
      <w:r>
        <w:rPr>
          <w:i/>
          <w:color w:val="000000"/>
        </w:rPr>
        <w:t xml:space="preserve">Homo </w:t>
      </w:r>
      <w:proofErr w:type="spellStart"/>
      <w:r>
        <w:rPr>
          <w:i/>
          <w:color w:val="000000"/>
        </w:rPr>
        <w:t>sapien</w:t>
      </w:r>
      <w:proofErr w:type="spellEnd"/>
      <w:r>
        <w:rPr>
          <w:i/>
          <w:color w:val="000000"/>
        </w:rPr>
        <w:t xml:space="preserve"> </w:t>
      </w:r>
      <w:r>
        <w:rPr>
          <w:color w:val="000000"/>
        </w:rPr>
        <w:t>(RMSD: 2.252)</w:t>
      </w:r>
      <w:r>
        <w:rPr>
          <w:i/>
          <w:color w:val="000000"/>
        </w:rPr>
        <w:t xml:space="preserve"> </w:t>
      </w:r>
      <w:r>
        <w:rPr>
          <w:color w:val="000000"/>
        </w:rPr>
        <w:t>(</w:t>
      </w:r>
      <w:r>
        <w:rPr>
          <w:b/>
          <w:color w:val="000000"/>
        </w:rPr>
        <w:t>Supplemental</w:t>
      </w:r>
      <w:r>
        <w:rPr>
          <w:color w:val="000000"/>
        </w:rPr>
        <w:t xml:space="preserve"> </w:t>
      </w:r>
      <w:r>
        <w:rPr>
          <w:b/>
          <w:color w:val="000000"/>
        </w:rPr>
        <w:t>Figure S11-B</w:t>
      </w:r>
      <w:r>
        <w:rPr>
          <w:color w:val="000000"/>
        </w:rPr>
        <w:t>). Filtered structural alignments (&gt;15% identity) of predicted iMGE GTPases to the RCSB Protein Data Bank (PDB) showed matches were &gt;95% and &gt;91% eukaryotic for iMGE-xii_6 and iMGE-xii_29, respectively (</w:t>
      </w:r>
      <w:r>
        <w:rPr>
          <w:b/>
          <w:color w:val="000000"/>
        </w:rPr>
        <w:t>Supplemental</w:t>
      </w:r>
      <w:r>
        <w:rPr>
          <w:color w:val="000000"/>
        </w:rPr>
        <w:t xml:space="preserve"> </w:t>
      </w:r>
      <w:r>
        <w:rPr>
          <w:b/>
          <w:color w:val="000000"/>
        </w:rPr>
        <w:t>Table S</w:t>
      </w:r>
      <w:r>
        <w:rPr>
          <w:b/>
        </w:rPr>
        <w:t>12</w:t>
      </w:r>
      <w:r>
        <w:rPr>
          <w:color w:val="000000"/>
        </w:rPr>
        <w:t xml:space="preserve">) </w:t>
      </w:r>
      <w:hyperlink r:id="rId6">
        <w:r>
          <w:rPr>
            <w:color w:val="000000"/>
          </w:rPr>
          <w:t>(Berman et al. 2000)</w:t>
        </w:r>
      </w:hyperlink>
      <w:r>
        <w:rPr>
          <w:color w:val="000000"/>
        </w:rPr>
        <w:t xml:space="preserve">. The G domain region of the GTPase is composed of 5 α-helices and 6 β-sheets, and the main function is to bind and hydrolyze guanine nucleotides. The small proteins work as </w:t>
      </w:r>
      <w:proofErr w:type="spellStart"/>
      <w:r>
        <w:rPr>
          <w:color w:val="000000"/>
        </w:rPr>
        <w:t>biotimers</w:t>
      </w:r>
      <w:proofErr w:type="spellEnd"/>
      <w:r>
        <w:rPr>
          <w:color w:val="000000"/>
        </w:rPr>
        <w:t xml:space="preserve"> by differentiating between their active and inactive state. Regions called switches induce the conformational changes between the GTP-bound state (active form) and the GDP-bound state (inactive form) </w:t>
      </w:r>
      <w:hyperlink r:id="rId7">
        <w:r>
          <w:rPr>
            <w:color w:val="000000"/>
          </w:rPr>
          <w:t xml:space="preserve">(Vetter and </w:t>
        </w:r>
        <w:proofErr w:type="spellStart"/>
        <w:r>
          <w:rPr>
            <w:color w:val="000000"/>
          </w:rPr>
          <w:t>Wittinghofer</w:t>
        </w:r>
        <w:proofErr w:type="spellEnd"/>
        <w:r>
          <w:rPr>
            <w:color w:val="000000"/>
          </w:rPr>
          <w:t xml:space="preserve"> 2001)</w:t>
        </w:r>
      </w:hyperlink>
      <w:r>
        <w:rPr>
          <w:color w:val="000000"/>
        </w:rPr>
        <w:t>. The structural alignments showed a conserved G domain and switches of these GTPases (</w:t>
      </w:r>
      <w:r>
        <w:rPr>
          <w:b/>
          <w:color w:val="000000"/>
        </w:rPr>
        <w:t>Supplemental</w:t>
      </w:r>
      <w:r>
        <w:rPr>
          <w:color w:val="000000"/>
        </w:rPr>
        <w:t xml:space="preserve"> </w:t>
      </w:r>
      <w:r>
        <w:rPr>
          <w:b/>
          <w:color w:val="000000"/>
        </w:rPr>
        <w:t>Figure S12</w:t>
      </w:r>
      <w:r>
        <w:rPr>
          <w:color w:val="000000"/>
        </w:rPr>
        <w:t xml:space="preserve">), suggesting these GTPases act as </w:t>
      </w:r>
      <w:proofErr w:type="spellStart"/>
      <w:r>
        <w:rPr>
          <w:color w:val="000000"/>
        </w:rPr>
        <w:t>biotimers</w:t>
      </w:r>
      <w:proofErr w:type="spellEnd"/>
      <w:r>
        <w:rPr>
          <w:color w:val="000000"/>
        </w:rPr>
        <w:t xml:space="preserve">, initiating or terminating the associated protein complexes’ activity </w:t>
      </w:r>
      <w:hyperlink r:id="rId8">
        <w:r>
          <w:rPr>
            <w:color w:val="000000"/>
          </w:rPr>
          <w:t>(Takai et al. 2001)</w:t>
        </w:r>
      </w:hyperlink>
      <w:r>
        <w:rPr>
          <w:color w:val="000000"/>
        </w:rPr>
        <w:t>.</w:t>
      </w:r>
    </w:p>
    <w:p w14:paraId="3132F551" w14:textId="77777777" w:rsidR="00AC077A" w:rsidRDefault="00AC077A">
      <w:pPr>
        <w:spacing w:line="240" w:lineRule="auto"/>
        <w:jc w:val="both"/>
        <w:rPr>
          <w:color w:val="000000"/>
        </w:rPr>
      </w:pPr>
    </w:p>
    <w:p w14:paraId="0AF9FCD8" w14:textId="77777777" w:rsidR="00AC077A" w:rsidRDefault="00AC077A">
      <w:pPr>
        <w:spacing w:line="240" w:lineRule="auto"/>
        <w:jc w:val="both"/>
        <w:rPr>
          <w:color w:val="000000"/>
        </w:rPr>
      </w:pPr>
    </w:p>
    <w:p w14:paraId="3365AAD5" w14:textId="77777777" w:rsidR="00AC077A" w:rsidRDefault="00AC077A">
      <w:pPr>
        <w:spacing w:line="240" w:lineRule="auto"/>
        <w:jc w:val="both"/>
        <w:rPr>
          <w:color w:val="000000"/>
        </w:rPr>
      </w:pPr>
    </w:p>
    <w:p w14:paraId="5E578857" w14:textId="77777777" w:rsidR="00AC077A" w:rsidRDefault="00AC077A">
      <w:pPr>
        <w:spacing w:line="240" w:lineRule="auto"/>
        <w:jc w:val="both"/>
        <w:rPr>
          <w:color w:val="000000"/>
        </w:rPr>
      </w:pPr>
    </w:p>
    <w:p w14:paraId="5F165F13" w14:textId="77777777" w:rsidR="00AC077A" w:rsidRDefault="00AC077A">
      <w:pPr>
        <w:spacing w:line="240" w:lineRule="auto"/>
        <w:jc w:val="both"/>
        <w:rPr>
          <w:color w:val="000000"/>
        </w:rPr>
      </w:pPr>
    </w:p>
    <w:p w14:paraId="784A4433" w14:textId="77777777" w:rsidR="00AC077A" w:rsidRDefault="00AC077A">
      <w:pPr>
        <w:spacing w:line="240" w:lineRule="auto"/>
        <w:jc w:val="both"/>
        <w:rPr>
          <w:color w:val="000000"/>
        </w:rPr>
      </w:pPr>
    </w:p>
    <w:p w14:paraId="542752BC" w14:textId="77777777" w:rsidR="00AC077A" w:rsidRDefault="00AC077A">
      <w:pPr>
        <w:spacing w:line="240" w:lineRule="auto"/>
        <w:jc w:val="both"/>
        <w:rPr>
          <w:color w:val="000000"/>
        </w:rPr>
      </w:pPr>
    </w:p>
    <w:p w14:paraId="039DDA08" w14:textId="77777777" w:rsidR="00AC077A" w:rsidRDefault="00000000">
      <w:pPr>
        <w:spacing w:line="240" w:lineRule="auto"/>
        <w:jc w:val="both"/>
        <w:rPr>
          <w:color w:val="000000"/>
        </w:rPr>
      </w:pPr>
      <w:r>
        <w:rPr>
          <w:noProof/>
          <w:color w:val="000000"/>
        </w:rPr>
        <w:lastRenderedPageBreak/>
        <w:drawing>
          <wp:inline distT="114300" distB="114300" distL="114300" distR="114300" wp14:anchorId="5D46D496" wp14:editId="01567927">
            <wp:extent cx="5943600" cy="5067300"/>
            <wp:effectExtent l="0" t="0" r="0" b="0"/>
            <wp:docPr id="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943600" cy="5067300"/>
                    </a:xfrm>
                    <a:prstGeom prst="rect">
                      <a:avLst/>
                    </a:prstGeom>
                    <a:ln/>
                  </pic:spPr>
                </pic:pic>
              </a:graphicData>
            </a:graphic>
          </wp:inline>
        </w:drawing>
      </w:r>
    </w:p>
    <w:p w14:paraId="59C20F50" w14:textId="77777777" w:rsidR="00AC077A" w:rsidRDefault="00000000">
      <w:pPr>
        <w:spacing w:line="240" w:lineRule="auto"/>
        <w:jc w:val="both"/>
        <w:rPr>
          <w:color w:val="000000"/>
        </w:rPr>
      </w:pPr>
      <w:r>
        <w:rPr>
          <w:b/>
          <w:color w:val="000000"/>
        </w:rPr>
        <w:t>Supplemental Table S1 Manually curated genomes for chromosomally integrated mobile genetic elements and extrachromosomal elements</w:t>
      </w:r>
      <w:r>
        <w:rPr>
          <w:color w:val="000000"/>
        </w:rPr>
        <w:t>. MGE type is the closest classification based on gene content and genome structure. The host was determined based on matches of the MGE sequences to spacers from the CRISPR systems. Ata-1 and Ata-2 are abbreviations for Atabeyarchaeia-1 and Atabeyarchaeia-2, respectively.</w:t>
      </w:r>
    </w:p>
    <w:p w14:paraId="04D268ED" w14:textId="77777777" w:rsidR="00AC077A" w:rsidRDefault="00AC077A">
      <w:pPr>
        <w:spacing w:line="240" w:lineRule="auto"/>
        <w:jc w:val="both"/>
        <w:rPr>
          <w:color w:val="000000"/>
        </w:rPr>
      </w:pPr>
    </w:p>
    <w:p w14:paraId="170FFF0D" w14:textId="77777777" w:rsidR="00AC077A" w:rsidRDefault="00AC077A">
      <w:pPr>
        <w:spacing w:line="240" w:lineRule="auto"/>
        <w:jc w:val="both"/>
        <w:rPr>
          <w:color w:val="000000"/>
        </w:rPr>
      </w:pPr>
    </w:p>
    <w:p w14:paraId="5BB85CFA" w14:textId="77777777" w:rsidR="00AC077A" w:rsidRDefault="00AC077A">
      <w:pPr>
        <w:spacing w:line="240" w:lineRule="auto"/>
        <w:jc w:val="both"/>
        <w:rPr>
          <w:color w:val="000000"/>
        </w:rPr>
      </w:pPr>
    </w:p>
    <w:p w14:paraId="4AD3D90F" w14:textId="77777777" w:rsidR="00AC077A" w:rsidRDefault="00AC077A">
      <w:pPr>
        <w:spacing w:line="240" w:lineRule="auto"/>
        <w:jc w:val="both"/>
        <w:rPr>
          <w:color w:val="000000"/>
        </w:rPr>
      </w:pPr>
    </w:p>
    <w:p w14:paraId="3C3AE00D" w14:textId="77777777" w:rsidR="00AC077A" w:rsidRDefault="00AC077A">
      <w:pPr>
        <w:spacing w:line="240" w:lineRule="auto"/>
        <w:jc w:val="both"/>
        <w:rPr>
          <w:color w:val="000000"/>
        </w:rPr>
      </w:pPr>
    </w:p>
    <w:p w14:paraId="39B23721" w14:textId="77777777" w:rsidR="00AC077A" w:rsidRDefault="00AC077A">
      <w:pPr>
        <w:spacing w:line="240" w:lineRule="auto"/>
        <w:jc w:val="both"/>
        <w:rPr>
          <w:color w:val="000000"/>
        </w:rPr>
      </w:pPr>
    </w:p>
    <w:p w14:paraId="04F9AFC1" w14:textId="77777777" w:rsidR="00AC077A" w:rsidRDefault="00AC077A">
      <w:pPr>
        <w:spacing w:line="240" w:lineRule="auto"/>
        <w:jc w:val="both"/>
        <w:rPr>
          <w:color w:val="000000"/>
        </w:rPr>
      </w:pPr>
    </w:p>
    <w:p w14:paraId="79D82C84" w14:textId="77777777" w:rsidR="00AC077A" w:rsidRDefault="00AC077A">
      <w:pPr>
        <w:spacing w:line="240" w:lineRule="auto"/>
        <w:jc w:val="both"/>
        <w:rPr>
          <w:color w:val="000000"/>
        </w:rPr>
      </w:pPr>
    </w:p>
    <w:p w14:paraId="7530C700" w14:textId="77777777" w:rsidR="00AC077A" w:rsidRDefault="00AC077A">
      <w:pPr>
        <w:spacing w:line="240" w:lineRule="auto"/>
        <w:jc w:val="both"/>
        <w:rPr>
          <w:color w:val="000000"/>
        </w:rPr>
      </w:pPr>
    </w:p>
    <w:p w14:paraId="6B4F3F5C" w14:textId="77777777" w:rsidR="00AC077A" w:rsidRDefault="00AC077A">
      <w:pPr>
        <w:spacing w:line="240" w:lineRule="auto"/>
        <w:jc w:val="both"/>
        <w:rPr>
          <w:color w:val="000000"/>
        </w:rPr>
      </w:pPr>
    </w:p>
    <w:p w14:paraId="5A3EB012" w14:textId="77777777" w:rsidR="00AC077A" w:rsidRDefault="00AC077A">
      <w:pPr>
        <w:spacing w:line="240" w:lineRule="auto"/>
        <w:jc w:val="both"/>
        <w:rPr>
          <w:color w:val="000000"/>
        </w:rPr>
      </w:pPr>
    </w:p>
    <w:p w14:paraId="31F581ED" w14:textId="77777777" w:rsidR="00AC077A" w:rsidRDefault="00AC077A">
      <w:pPr>
        <w:spacing w:line="240" w:lineRule="auto"/>
        <w:jc w:val="both"/>
        <w:rPr>
          <w:color w:val="000000"/>
        </w:rPr>
      </w:pPr>
    </w:p>
    <w:p w14:paraId="32861D57" w14:textId="54639038" w:rsidR="00AC077A" w:rsidRDefault="00AC077A">
      <w:pPr>
        <w:spacing w:line="240" w:lineRule="auto"/>
        <w:jc w:val="both"/>
        <w:rPr>
          <w:color w:val="000000"/>
        </w:rPr>
      </w:pPr>
    </w:p>
    <w:p w14:paraId="7E34FC75" w14:textId="77777777" w:rsidR="007F6316" w:rsidRDefault="007F6316">
      <w:pPr>
        <w:spacing w:line="240" w:lineRule="auto"/>
        <w:jc w:val="both"/>
        <w:rPr>
          <w:b/>
          <w:color w:val="000000"/>
        </w:rPr>
      </w:pPr>
    </w:p>
    <w:p w14:paraId="113C2D95" w14:textId="2EB73EBD" w:rsidR="007F6316" w:rsidRDefault="007F6316">
      <w:pPr>
        <w:spacing w:line="240" w:lineRule="auto"/>
        <w:jc w:val="both"/>
        <w:rPr>
          <w:b/>
          <w:color w:val="000000"/>
        </w:rPr>
      </w:pPr>
      <w:r>
        <w:rPr>
          <w:b/>
          <w:noProof/>
          <w:color w:val="000000"/>
        </w:rPr>
        <w:lastRenderedPageBreak/>
        <w:drawing>
          <wp:inline distT="0" distB="0" distL="0" distR="0" wp14:anchorId="46EEA83C" wp14:editId="6AD8885A">
            <wp:extent cx="5854700" cy="6959600"/>
            <wp:effectExtent l="0" t="0" r="0" b="0"/>
            <wp:docPr id="20633646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64618" name="Picture 2063364618"/>
                    <pic:cNvPicPr/>
                  </pic:nvPicPr>
                  <pic:blipFill>
                    <a:blip r:embed="rId10">
                      <a:extLst>
                        <a:ext uri="{28A0092B-C50C-407E-A947-70E740481C1C}">
                          <a14:useLocalDpi xmlns:a14="http://schemas.microsoft.com/office/drawing/2010/main" val="0"/>
                        </a:ext>
                      </a:extLst>
                    </a:blip>
                    <a:stretch>
                      <a:fillRect/>
                    </a:stretch>
                  </pic:blipFill>
                  <pic:spPr>
                    <a:xfrm>
                      <a:off x="0" y="0"/>
                      <a:ext cx="5854700" cy="6959600"/>
                    </a:xfrm>
                    <a:prstGeom prst="rect">
                      <a:avLst/>
                    </a:prstGeom>
                  </pic:spPr>
                </pic:pic>
              </a:graphicData>
            </a:graphic>
          </wp:inline>
        </w:drawing>
      </w:r>
    </w:p>
    <w:p w14:paraId="1D26A080" w14:textId="49831B00" w:rsidR="00AC077A" w:rsidRDefault="00000000">
      <w:pPr>
        <w:spacing w:line="240" w:lineRule="auto"/>
        <w:jc w:val="both"/>
        <w:rPr>
          <w:b/>
          <w:color w:val="000000"/>
        </w:rPr>
      </w:pPr>
      <w:r>
        <w:rPr>
          <w:b/>
          <w:color w:val="000000"/>
        </w:rPr>
        <w:t>Supplemental Table S11-B</w:t>
      </w:r>
      <w:r>
        <w:rPr>
          <w:color w:val="000000"/>
        </w:rPr>
        <w:t xml:space="preserve"> </w:t>
      </w:r>
      <w:r w:rsidR="007F6316" w:rsidRPr="00B85980">
        <w:rPr>
          <w:color w:val="000000" w:themeColor="text1"/>
        </w:rPr>
        <w:t>Methylation patterns in Atabeyarchaeia and Freyarchaeia genomes based on PacBio and Nanopore data. Where Nanopore detected overlapping but non-identical m4C motifs, the PacBio version is used</w:t>
      </w:r>
      <w:r w:rsidR="007F6316">
        <w:rPr>
          <w:color w:val="000000" w:themeColor="text1"/>
        </w:rPr>
        <w:t>.</w:t>
      </w:r>
    </w:p>
    <w:p w14:paraId="6DE82231" w14:textId="77777777" w:rsidR="00AC077A" w:rsidRDefault="00AC077A">
      <w:pPr>
        <w:spacing w:line="240" w:lineRule="auto"/>
        <w:jc w:val="center"/>
        <w:rPr>
          <w:b/>
          <w:color w:val="000000"/>
        </w:rPr>
      </w:pPr>
    </w:p>
    <w:p w14:paraId="7D74ADE1" w14:textId="77777777" w:rsidR="00AC077A" w:rsidRDefault="00AC077A">
      <w:pPr>
        <w:spacing w:line="240" w:lineRule="auto"/>
        <w:jc w:val="both"/>
        <w:rPr>
          <w:b/>
          <w:color w:val="000000"/>
        </w:rPr>
      </w:pPr>
    </w:p>
    <w:p w14:paraId="003F8927" w14:textId="77777777" w:rsidR="00AC077A" w:rsidRDefault="00000000">
      <w:pPr>
        <w:spacing w:line="240" w:lineRule="auto"/>
        <w:jc w:val="center"/>
        <w:rPr>
          <w:b/>
          <w:color w:val="000000"/>
        </w:rPr>
      </w:pPr>
      <w:r>
        <w:rPr>
          <w:b/>
          <w:noProof/>
          <w:color w:val="000000"/>
        </w:rPr>
        <w:lastRenderedPageBreak/>
        <w:drawing>
          <wp:inline distT="114300" distB="114300" distL="114300" distR="114300" wp14:anchorId="407FA189" wp14:editId="7B64E6EC">
            <wp:extent cx="5624513" cy="3682717"/>
            <wp:effectExtent l="0" t="0" r="0" b="0"/>
            <wp:docPr id="23" name="image8.png" descr="A graph with different colored b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aph with different colored bars&#10;&#10;Description automatically generated"/>
                    <pic:cNvPicPr preferRelativeResize="0"/>
                  </pic:nvPicPr>
                  <pic:blipFill>
                    <a:blip r:embed="rId11"/>
                    <a:srcRect/>
                    <a:stretch>
                      <a:fillRect/>
                    </a:stretch>
                  </pic:blipFill>
                  <pic:spPr>
                    <a:xfrm>
                      <a:off x="0" y="0"/>
                      <a:ext cx="5624513" cy="3682717"/>
                    </a:xfrm>
                    <a:prstGeom prst="rect">
                      <a:avLst/>
                    </a:prstGeom>
                    <a:ln/>
                  </pic:spPr>
                </pic:pic>
              </a:graphicData>
            </a:graphic>
          </wp:inline>
        </w:drawing>
      </w:r>
    </w:p>
    <w:p w14:paraId="207D4CC0" w14:textId="77777777" w:rsidR="00AC077A" w:rsidRDefault="00000000">
      <w:pPr>
        <w:spacing w:line="240" w:lineRule="auto"/>
        <w:rPr>
          <w:color w:val="000000"/>
        </w:rPr>
      </w:pPr>
      <w:sdt>
        <w:sdtPr>
          <w:tag w:val="goog_rdk_1"/>
          <w:id w:val="1669364156"/>
        </w:sdtPr>
        <w:sdtContent>
          <w:r>
            <w:rPr>
              <w:rFonts w:ascii="Arial Unicode MS" w:eastAsia="Arial Unicode MS" w:hAnsi="Arial Unicode MS" w:cs="Arial Unicode MS"/>
              <w:b/>
              <w:color w:val="000000"/>
            </w:rPr>
            <w:t xml:space="preserve">Supplemental Figure S1 Distribution of MGE types colored by host for genomes ≤ 100,000 bp. </w:t>
          </w:r>
        </w:sdtContent>
      </w:sdt>
      <w:r>
        <w:t xml:space="preserve">Overview of the distribution and contribution of different hosts to the genome sizes of various MGE classifications within the specified size range. </w:t>
      </w:r>
      <w:r>
        <w:rPr>
          <w:color w:val="000000"/>
        </w:rPr>
        <w:t xml:space="preserve">Stacked bar plot showing the total genome size (in kilobases) for different types of mobile genetic elements (MGEs) categorized by their classification. The genome size is aggregated and displayed for MGEs with a size of 100,000 base pairs or less. Each bar represents a specific MGE classification, and the different colors within each bar indicate the various hosts. The hosts are listed in the legend to the right of the plot. </w:t>
      </w:r>
      <w:r>
        <w:rPr>
          <w:b/>
          <w:noProof/>
          <w:color w:val="000000"/>
        </w:rPr>
        <w:lastRenderedPageBreak/>
        <w:drawing>
          <wp:inline distT="114300" distB="114300" distL="114300" distR="114300" wp14:anchorId="68FBE9FD" wp14:editId="234C6B4C">
            <wp:extent cx="5943600" cy="3695700"/>
            <wp:effectExtent l="0" t="0" r="0" b="0"/>
            <wp:docPr id="26" name="image9.png" descr="A screenshot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diagram&#10;&#10;Description automatically generated"/>
                    <pic:cNvPicPr preferRelativeResize="0"/>
                  </pic:nvPicPr>
                  <pic:blipFill>
                    <a:blip r:embed="rId12"/>
                    <a:srcRect/>
                    <a:stretch>
                      <a:fillRect/>
                    </a:stretch>
                  </pic:blipFill>
                  <pic:spPr>
                    <a:xfrm>
                      <a:off x="0" y="0"/>
                      <a:ext cx="5943600" cy="3695700"/>
                    </a:xfrm>
                    <a:prstGeom prst="rect">
                      <a:avLst/>
                    </a:prstGeom>
                    <a:ln/>
                  </pic:spPr>
                </pic:pic>
              </a:graphicData>
            </a:graphic>
          </wp:inline>
        </w:drawing>
      </w:r>
      <w:r>
        <w:rPr>
          <w:b/>
          <w:color w:val="000000"/>
        </w:rPr>
        <w:t xml:space="preserve"> Supplemental Figure S2 Phylogenetic analyses of </w:t>
      </w:r>
      <w:proofErr w:type="spellStart"/>
      <w:r>
        <w:rPr>
          <w:b/>
          <w:color w:val="000000"/>
        </w:rPr>
        <w:t>ParB</w:t>
      </w:r>
      <w:proofErr w:type="spellEnd"/>
      <w:r>
        <w:rPr>
          <w:b/>
          <w:color w:val="000000"/>
        </w:rPr>
        <w:t xml:space="preserve"> and tyrosine-recombinase-like proteins across archaeal mobile genetic elements. A. </w:t>
      </w:r>
      <w:r>
        <w:rPr>
          <w:color w:val="000000"/>
        </w:rPr>
        <w:t xml:space="preserve">Phylogenetic tree </w:t>
      </w:r>
      <w:r>
        <w:t>of</w:t>
      </w:r>
      <w:r>
        <w:rPr>
          <w:color w:val="000000"/>
        </w:rPr>
        <w:t xml:space="preserve"> </w:t>
      </w:r>
      <w:proofErr w:type="spellStart"/>
      <w:r>
        <w:rPr>
          <w:color w:val="000000"/>
        </w:rPr>
        <w:t>ParB</w:t>
      </w:r>
      <w:proofErr w:type="spellEnd"/>
      <w:r>
        <w:rPr>
          <w:color w:val="000000"/>
        </w:rPr>
        <w:t xml:space="preserve"> and </w:t>
      </w:r>
      <w:proofErr w:type="spellStart"/>
      <w:r>
        <w:rPr>
          <w:color w:val="000000"/>
        </w:rPr>
        <w:t>ParB</w:t>
      </w:r>
      <w:proofErr w:type="spellEnd"/>
      <w:r>
        <w:rPr>
          <w:color w:val="000000"/>
        </w:rPr>
        <w:t xml:space="preserve">-like Proteins. Analysis incorporates reference sequences of </w:t>
      </w:r>
      <w:r>
        <w:rPr>
          <w:i/>
          <w:color w:val="000000"/>
        </w:rPr>
        <w:t>E. coli</w:t>
      </w:r>
      <w:r>
        <w:rPr>
          <w:color w:val="000000"/>
        </w:rPr>
        <w:t xml:space="preserve"> </w:t>
      </w:r>
      <w:proofErr w:type="spellStart"/>
      <w:r>
        <w:rPr>
          <w:color w:val="000000"/>
        </w:rPr>
        <w:t>ParB</w:t>
      </w:r>
      <w:proofErr w:type="spellEnd"/>
      <w:r>
        <w:rPr>
          <w:color w:val="000000"/>
        </w:rPr>
        <w:t xml:space="preserve"> (Pfam08775) and </w:t>
      </w:r>
      <w:proofErr w:type="spellStart"/>
      <w:r>
        <w:rPr>
          <w:i/>
          <w:color w:val="000000"/>
        </w:rPr>
        <w:t>Sulfolobus</w:t>
      </w:r>
      <w:proofErr w:type="spellEnd"/>
      <w:r>
        <w:rPr>
          <w:color w:val="000000"/>
        </w:rPr>
        <w:t xml:space="preserve"> conjugative plasmid </w:t>
      </w:r>
      <w:proofErr w:type="spellStart"/>
      <w:r>
        <w:rPr>
          <w:color w:val="000000"/>
        </w:rPr>
        <w:t>ParB</w:t>
      </w:r>
      <w:proofErr w:type="spellEnd"/>
      <w:r>
        <w:rPr>
          <w:color w:val="000000"/>
        </w:rPr>
        <w:t xml:space="preserve"> (NOB8H2), alongside representative </w:t>
      </w:r>
      <w:proofErr w:type="spellStart"/>
      <w:r>
        <w:rPr>
          <w:color w:val="000000"/>
        </w:rPr>
        <w:t>ParB</w:t>
      </w:r>
      <w:proofErr w:type="spellEnd"/>
      <w:r>
        <w:rPr>
          <w:color w:val="000000"/>
        </w:rPr>
        <w:t xml:space="preserve">-like domains from select archaeal and bacterial genomes. Selection criteria for inclusion involved a rigorous screening of the top 25 protein hits from the NCBI database. Sequence alignments were conducted using MAFFT (v7.310) in 'auto' mode, with subsequent optimization by </w:t>
      </w:r>
      <w:proofErr w:type="spellStart"/>
      <w:r>
        <w:rPr>
          <w:color w:val="000000"/>
        </w:rPr>
        <w:t>trimAl</w:t>
      </w:r>
      <w:proofErr w:type="spellEnd"/>
      <w:r>
        <w:rPr>
          <w:color w:val="000000"/>
        </w:rPr>
        <w:t xml:space="preserve"> (v1.</w:t>
      </w:r>
      <w:proofErr w:type="gramStart"/>
      <w:r>
        <w:rPr>
          <w:color w:val="000000"/>
        </w:rPr>
        <w:t>4.rev</w:t>
      </w:r>
      <w:proofErr w:type="gramEnd"/>
      <w:r>
        <w:rPr>
          <w:color w:val="000000"/>
        </w:rPr>
        <w:t xml:space="preserve">15) applying a 0.7 gap threshold. Phylogenetic trees </w:t>
      </w:r>
      <w:r>
        <w:t xml:space="preserve">were </w:t>
      </w:r>
      <w:r>
        <w:rPr>
          <w:color w:val="000000"/>
        </w:rPr>
        <w:t>inferred using IQ-TREE (v1.6.1) under the LG+FO+R model</w:t>
      </w:r>
      <w:r>
        <w:t xml:space="preserve">. </w:t>
      </w:r>
      <w:r>
        <w:rPr>
          <w:color w:val="000000"/>
        </w:rPr>
        <w:t xml:space="preserve"> </w:t>
      </w:r>
      <w:r>
        <w:rPr>
          <w:b/>
          <w:color w:val="000000"/>
        </w:rPr>
        <w:t xml:space="preserve">B. </w:t>
      </w:r>
      <w:r>
        <w:rPr>
          <w:color w:val="000000"/>
        </w:rPr>
        <w:t>Phylogeny of tyrosine-recombinase-like proteins within integrated mobile genetic elements of Atabeyarchaeia-1 and Atabeyarchaeia-2. The analysis selected the top 25 protein hits from the NCBI database, aligned with MAFFT (</w:t>
      </w:r>
      <w:r>
        <w:t>v</w:t>
      </w:r>
      <w:r>
        <w:rPr>
          <w:color w:val="000000"/>
        </w:rPr>
        <w:t xml:space="preserve"> 7.310) on 'auto' setting, and refined the alignment with </w:t>
      </w:r>
      <w:proofErr w:type="spellStart"/>
      <w:r>
        <w:rPr>
          <w:color w:val="000000"/>
        </w:rPr>
        <w:t>trimAl</w:t>
      </w:r>
      <w:proofErr w:type="spellEnd"/>
      <w:r>
        <w:rPr>
          <w:color w:val="000000"/>
        </w:rPr>
        <w:t xml:space="preserve"> (</w:t>
      </w:r>
      <w:r>
        <w:t>v</w:t>
      </w:r>
      <w:r>
        <w:rPr>
          <w:color w:val="000000"/>
        </w:rPr>
        <w:t xml:space="preserve"> 1.</w:t>
      </w:r>
      <w:proofErr w:type="gramStart"/>
      <w:r>
        <w:rPr>
          <w:color w:val="000000"/>
        </w:rPr>
        <w:t>4.rev</w:t>
      </w:r>
      <w:proofErr w:type="gramEnd"/>
      <w:r>
        <w:rPr>
          <w:color w:val="000000"/>
        </w:rPr>
        <w:t xml:space="preserve">15) using a 0.7 gap threshold. The phylogenetic </w:t>
      </w:r>
      <w:r>
        <w:t>tree was</w:t>
      </w:r>
      <w:r>
        <w:rPr>
          <w:color w:val="000000"/>
        </w:rPr>
        <w:t xml:space="preserve"> constructed using IQ-TREE (</w:t>
      </w:r>
      <w:r>
        <w:t>v</w:t>
      </w:r>
      <w:r>
        <w:rPr>
          <w:color w:val="000000"/>
        </w:rPr>
        <w:t xml:space="preserve"> 1.6.1), adopting the LG+FO+R model. </w:t>
      </w:r>
    </w:p>
    <w:p w14:paraId="01F62258" w14:textId="77777777" w:rsidR="00AC077A" w:rsidRDefault="00AC077A">
      <w:pPr>
        <w:spacing w:line="240" w:lineRule="auto"/>
        <w:jc w:val="both"/>
        <w:rPr>
          <w:color w:val="000000"/>
        </w:rPr>
      </w:pPr>
    </w:p>
    <w:p w14:paraId="5A903B7F" w14:textId="77777777" w:rsidR="00AC077A" w:rsidRDefault="00AC077A">
      <w:pPr>
        <w:spacing w:line="240" w:lineRule="auto"/>
        <w:jc w:val="both"/>
        <w:rPr>
          <w:color w:val="000000"/>
        </w:rPr>
      </w:pPr>
    </w:p>
    <w:p w14:paraId="6A475373" w14:textId="77777777" w:rsidR="00AC077A" w:rsidRDefault="00AC077A">
      <w:pPr>
        <w:spacing w:line="240" w:lineRule="auto"/>
        <w:jc w:val="both"/>
        <w:rPr>
          <w:color w:val="000000"/>
        </w:rPr>
      </w:pPr>
    </w:p>
    <w:p w14:paraId="4D594B3A" w14:textId="77777777" w:rsidR="00AC077A" w:rsidRDefault="00AC077A">
      <w:pPr>
        <w:spacing w:line="240" w:lineRule="auto"/>
        <w:rPr>
          <w:b/>
          <w:color w:val="000000"/>
        </w:rPr>
      </w:pPr>
    </w:p>
    <w:p w14:paraId="75A7D1D9" w14:textId="77777777" w:rsidR="00AC077A" w:rsidRDefault="00AC077A">
      <w:pPr>
        <w:spacing w:line="240" w:lineRule="auto"/>
        <w:rPr>
          <w:b/>
          <w:color w:val="000000"/>
        </w:rPr>
      </w:pPr>
    </w:p>
    <w:p w14:paraId="422A739C" w14:textId="77777777" w:rsidR="00AC077A" w:rsidRDefault="00AC077A">
      <w:pPr>
        <w:spacing w:line="240" w:lineRule="auto"/>
        <w:rPr>
          <w:b/>
          <w:color w:val="000000"/>
        </w:rPr>
      </w:pPr>
    </w:p>
    <w:p w14:paraId="71A1F239" w14:textId="77777777" w:rsidR="00AC077A" w:rsidRDefault="00AC077A">
      <w:pPr>
        <w:spacing w:line="240" w:lineRule="auto"/>
        <w:rPr>
          <w:b/>
          <w:color w:val="000000"/>
        </w:rPr>
      </w:pPr>
    </w:p>
    <w:p w14:paraId="6CD66AA4" w14:textId="77777777" w:rsidR="00AC077A" w:rsidRDefault="00AC077A">
      <w:pPr>
        <w:spacing w:line="240" w:lineRule="auto"/>
        <w:rPr>
          <w:b/>
          <w:color w:val="000000"/>
        </w:rPr>
      </w:pPr>
    </w:p>
    <w:p w14:paraId="78C61208" w14:textId="77777777" w:rsidR="00AC077A" w:rsidRDefault="00AC077A">
      <w:pPr>
        <w:spacing w:line="240" w:lineRule="auto"/>
        <w:rPr>
          <w:b/>
          <w:color w:val="000000"/>
        </w:rPr>
      </w:pPr>
    </w:p>
    <w:p w14:paraId="61AEB1DE" w14:textId="77777777" w:rsidR="00AC077A" w:rsidRDefault="00AC077A">
      <w:pPr>
        <w:spacing w:line="240" w:lineRule="auto"/>
        <w:rPr>
          <w:b/>
          <w:color w:val="000000"/>
        </w:rPr>
      </w:pPr>
    </w:p>
    <w:p w14:paraId="05EA8052" w14:textId="77777777" w:rsidR="00AC077A" w:rsidRDefault="00000000">
      <w:pPr>
        <w:spacing w:line="240" w:lineRule="auto"/>
        <w:jc w:val="both"/>
        <w:rPr>
          <w:b/>
          <w:color w:val="000000"/>
        </w:rPr>
      </w:pPr>
      <w:r>
        <w:rPr>
          <w:b/>
          <w:noProof/>
          <w:color w:val="000000"/>
        </w:rPr>
        <w:lastRenderedPageBreak/>
        <w:drawing>
          <wp:inline distT="114300" distB="114300" distL="114300" distR="114300" wp14:anchorId="45BD1B06" wp14:editId="02C29BE9">
            <wp:extent cx="5943600" cy="5448300"/>
            <wp:effectExtent l="0" t="0" r="0" b="0"/>
            <wp:docPr id="25" name="image13.png" descr="A group of colorful circles and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group of colorful circles and dots&#10;&#10;Description automatically generated"/>
                    <pic:cNvPicPr preferRelativeResize="0"/>
                  </pic:nvPicPr>
                  <pic:blipFill>
                    <a:blip r:embed="rId13"/>
                    <a:srcRect/>
                    <a:stretch>
                      <a:fillRect/>
                    </a:stretch>
                  </pic:blipFill>
                  <pic:spPr>
                    <a:xfrm>
                      <a:off x="0" y="0"/>
                      <a:ext cx="5943600" cy="5448300"/>
                    </a:xfrm>
                    <a:prstGeom prst="rect">
                      <a:avLst/>
                    </a:prstGeom>
                    <a:ln/>
                  </pic:spPr>
                </pic:pic>
              </a:graphicData>
            </a:graphic>
          </wp:inline>
        </w:drawing>
      </w:r>
    </w:p>
    <w:p w14:paraId="10498822" w14:textId="77777777" w:rsidR="00AC077A" w:rsidRDefault="00000000">
      <w:pPr>
        <w:spacing w:line="240" w:lineRule="auto"/>
        <w:jc w:val="both"/>
        <w:rPr>
          <w:color w:val="000000"/>
        </w:rPr>
      </w:pPr>
      <w:r>
        <w:rPr>
          <w:b/>
          <w:color w:val="000000"/>
        </w:rPr>
        <w:t>Supplemental Figure S3 Sequence similarity network (SSN) for representative viral Integrases database from dereplicated 6,200 amino acid sequences.</w:t>
      </w:r>
      <w:r>
        <w:rPr>
          <w:color w:val="000000"/>
        </w:rPr>
        <w:t xml:space="preserve"> The network was constructed from a curated database of integrase</w:t>
      </w:r>
      <w:r>
        <w:t>-</w:t>
      </w:r>
      <w:r>
        <w:rPr>
          <w:color w:val="000000"/>
        </w:rPr>
        <w:t>like proteins across archaeal groups. Black circles in the network denote integrases from Atabeyarchaeota genomes. The singletons from Atabeyarchaeia are from the plasmid and Yucahu integrases.</w:t>
      </w:r>
    </w:p>
    <w:p w14:paraId="6FF8389F" w14:textId="77777777" w:rsidR="00AC077A" w:rsidRDefault="00000000">
      <w:pPr>
        <w:spacing w:line="240" w:lineRule="auto"/>
        <w:ind w:firstLine="720"/>
        <w:rPr>
          <w:color w:val="000000"/>
        </w:rPr>
      </w:pPr>
      <w:r>
        <w:rPr>
          <w:noProof/>
          <w:color w:val="000000"/>
        </w:rPr>
        <w:lastRenderedPageBreak/>
        <w:drawing>
          <wp:inline distT="114300" distB="114300" distL="114300" distR="114300" wp14:anchorId="7EE3EE3E" wp14:editId="0937AE00">
            <wp:extent cx="4959418" cy="5233988"/>
            <wp:effectExtent l="0" t="0" r="0" b="0"/>
            <wp:docPr id="28" name="image4.png" descr="A diagram of a dna sequen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diagram of a dna sequence&#10;&#10;Description automatically generated with medium confidence"/>
                    <pic:cNvPicPr preferRelativeResize="0"/>
                  </pic:nvPicPr>
                  <pic:blipFill>
                    <a:blip r:embed="rId14"/>
                    <a:srcRect/>
                    <a:stretch>
                      <a:fillRect/>
                    </a:stretch>
                  </pic:blipFill>
                  <pic:spPr>
                    <a:xfrm>
                      <a:off x="0" y="0"/>
                      <a:ext cx="4959418" cy="5233988"/>
                    </a:xfrm>
                    <a:prstGeom prst="rect">
                      <a:avLst/>
                    </a:prstGeom>
                    <a:ln/>
                  </pic:spPr>
                </pic:pic>
              </a:graphicData>
            </a:graphic>
          </wp:inline>
        </w:drawing>
      </w:r>
    </w:p>
    <w:p w14:paraId="20A1156A" w14:textId="77777777" w:rsidR="00AC077A" w:rsidRDefault="00AC077A">
      <w:pPr>
        <w:spacing w:line="240" w:lineRule="auto"/>
        <w:jc w:val="both"/>
        <w:rPr>
          <w:color w:val="000000"/>
        </w:rPr>
      </w:pPr>
    </w:p>
    <w:p w14:paraId="5EBF3B54" w14:textId="77777777" w:rsidR="00AC077A" w:rsidRDefault="00000000">
      <w:pPr>
        <w:spacing w:line="240" w:lineRule="auto"/>
        <w:jc w:val="both"/>
        <w:rPr>
          <w:color w:val="000000"/>
        </w:rPr>
      </w:pPr>
      <w:r>
        <w:rPr>
          <w:b/>
          <w:color w:val="000000"/>
        </w:rPr>
        <w:t xml:space="preserve">Supplemental Figure S4 Maximum likelihood phylogeny of a novel Type II-G restriction-modification (IIG RM) protein fusion that combines endonuclease and methyltransferase present in Yucahu MGE </w:t>
      </w:r>
      <w:r>
        <w:rPr>
          <w:color w:val="000000"/>
        </w:rPr>
        <w:t>The phylogenetic tree was constructed with IQ-TREE (</w:t>
      </w:r>
      <w:r>
        <w:t>v</w:t>
      </w:r>
      <w:r>
        <w:rPr>
          <w:color w:val="000000"/>
        </w:rPr>
        <w:t xml:space="preserve"> 1.6.1) LG+FO+R model</w:t>
      </w:r>
      <w:r>
        <w:t>.</w:t>
      </w:r>
    </w:p>
    <w:p w14:paraId="6953EBB7" w14:textId="77777777" w:rsidR="00AC077A" w:rsidRDefault="00AC077A">
      <w:pPr>
        <w:spacing w:line="240" w:lineRule="auto"/>
        <w:rPr>
          <w:b/>
          <w:color w:val="000000"/>
        </w:rPr>
      </w:pPr>
    </w:p>
    <w:p w14:paraId="5386C264" w14:textId="77777777" w:rsidR="00AC077A" w:rsidRDefault="00AC077A">
      <w:pPr>
        <w:spacing w:line="240" w:lineRule="auto"/>
        <w:jc w:val="both"/>
        <w:rPr>
          <w:color w:val="000000"/>
        </w:rPr>
      </w:pPr>
    </w:p>
    <w:p w14:paraId="73DC5A48" w14:textId="77777777" w:rsidR="00AC077A" w:rsidRDefault="00AC077A">
      <w:pPr>
        <w:spacing w:line="240" w:lineRule="auto"/>
        <w:rPr>
          <w:color w:val="000000"/>
        </w:rPr>
      </w:pPr>
    </w:p>
    <w:p w14:paraId="678061D5" w14:textId="77777777" w:rsidR="00AC077A" w:rsidRDefault="00AC077A">
      <w:pPr>
        <w:spacing w:line="240" w:lineRule="auto"/>
        <w:rPr>
          <w:color w:val="000000"/>
        </w:rPr>
      </w:pPr>
    </w:p>
    <w:p w14:paraId="433614F3" w14:textId="77777777" w:rsidR="00AC077A" w:rsidRDefault="00AC077A">
      <w:pPr>
        <w:spacing w:line="240" w:lineRule="auto"/>
        <w:rPr>
          <w:color w:val="000000"/>
        </w:rPr>
      </w:pPr>
    </w:p>
    <w:p w14:paraId="0CCE8FB0" w14:textId="77777777" w:rsidR="00AC077A" w:rsidRDefault="00AC077A">
      <w:pPr>
        <w:spacing w:line="240" w:lineRule="auto"/>
        <w:rPr>
          <w:color w:val="000000"/>
        </w:rPr>
      </w:pPr>
    </w:p>
    <w:p w14:paraId="6B6B0B82" w14:textId="77777777" w:rsidR="00AC077A" w:rsidRDefault="00000000">
      <w:pPr>
        <w:spacing w:line="240" w:lineRule="auto"/>
        <w:jc w:val="center"/>
        <w:rPr>
          <w:b/>
          <w:color w:val="000000"/>
        </w:rPr>
      </w:pPr>
      <w:r>
        <w:rPr>
          <w:b/>
          <w:noProof/>
          <w:color w:val="000000"/>
        </w:rPr>
        <w:lastRenderedPageBreak/>
        <w:drawing>
          <wp:inline distT="114300" distB="114300" distL="114300" distR="114300" wp14:anchorId="381AE894" wp14:editId="7B59408A">
            <wp:extent cx="5943600" cy="2870200"/>
            <wp:effectExtent l="0" t="0" r="0" b="0"/>
            <wp:docPr id="27" name="image1.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graph&#10;&#10;Description automatically generated"/>
                    <pic:cNvPicPr preferRelativeResize="0"/>
                  </pic:nvPicPr>
                  <pic:blipFill>
                    <a:blip r:embed="rId15"/>
                    <a:srcRect l="50" r="49"/>
                    <a:stretch>
                      <a:fillRect/>
                    </a:stretch>
                  </pic:blipFill>
                  <pic:spPr>
                    <a:xfrm>
                      <a:off x="0" y="0"/>
                      <a:ext cx="5943600" cy="2870200"/>
                    </a:xfrm>
                    <a:prstGeom prst="rect">
                      <a:avLst/>
                    </a:prstGeom>
                    <a:ln/>
                  </pic:spPr>
                </pic:pic>
              </a:graphicData>
            </a:graphic>
          </wp:inline>
        </w:drawing>
      </w:r>
    </w:p>
    <w:p w14:paraId="04A55964" w14:textId="77777777" w:rsidR="00AC077A" w:rsidRDefault="00AC077A">
      <w:pPr>
        <w:spacing w:line="240" w:lineRule="auto"/>
        <w:jc w:val="center"/>
        <w:rPr>
          <w:b/>
          <w:color w:val="000000"/>
        </w:rPr>
      </w:pPr>
    </w:p>
    <w:p w14:paraId="5662F8AA" w14:textId="77777777" w:rsidR="00AC077A" w:rsidRDefault="00000000">
      <w:pPr>
        <w:spacing w:line="240" w:lineRule="auto"/>
        <w:jc w:val="both"/>
        <w:rPr>
          <w:color w:val="000000"/>
        </w:rPr>
      </w:pPr>
      <w:r>
        <w:rPr>
          <w:b/>
          <w:color w:val="000000"/>
        </w:rPr>
        <w:t xml:space="preserve">Supplemental Figure S5 Cross-sample Atabeyarchaeia-1 plasmid integration A. </w:t>
      </w:r>
      <w:r>
        <w:rPr>
          <w:color w:val="000000"/>
        </w:rPr>
        <w:t xml:space="preserve">Correlations of the genome coverages between integrated plasmid Yucahu and Atabeyarchaeia </w:t>
      </w:r>
      <w:r>
        <w:rPr>
          <w:b/>
          <w:color w:val="000000"/>
        </w:rPr>
        <w:t>B.</w:t>
      </w:r>
      <w:r>
        <w:rPr>
          <w:color w:val="000000"/>
        </w:rPr>
        <w:t xml:space="preserve"> Correlations of the Yucahu plasmid genome and the mini-Yucahu element</w:t>
      </w:r>
    </w:p>
    <w:p w14:paraId="2DEA7976" w14:textId="77777777" w:rsidR="00AC077A" w:rsidRDefault="00AC077A">
      <w:pPr>
        <w:spacing w:line="240" w:lineRule="auto"/>
        <w:jc w:val="both"/>
        <w:rPr>
          <w:color w:val="000000"/>
        </w:rPr>
      </w:pPr>
    </w:p>
    <w:p w14:paraId="17426655" w14:textId="77777777" w:rsidR="00AC077A" w:rsidRDefault="00AC077A">
      <w:pPr>
        <w:spacing w:line="240" w:lineRule="auto"/>
        <w:jc w:val="both"/>
        <w:rPr>
          <w:color w:val="000000"/>
        </w:rPr>
      </w:pPr>
    </w:p>
    <w:p w14:paraId="695C82C6" w14:textId="77777777" w:rsidR="00AC077A" w:rsidRDefault="00AC077A">
      <w:pPr>
        <w:spacing w:line="240" w:lineRule="auto"/>
        <w:jc w:val="both"/>
        <w:rPr>
          <w:color w:val="000000"/>
        </w:rPr>
      </w:pPr>
    </w:p>
    <w:p w14:paraId="1D11D31A" w14:textId="77777777" w:rsidR="00AC077A" w:rsidRDefault="00AC077A">
      <w:pPr>
        <w:spacing w:line="240" w:lineRule="auto"/>
        <w:jc w:val="both"/>
        <w:rPr>
          <w:color w:val="000000"/>
        </w:rPr>
      </w:pPr>
    </w:p>
    <w:p w14:paraId="4FDC58DF" w14:textId="77777777" w:rsidR="00AC077A" w:rsidRDefault="00AC077A">
      <w:pPr>
        <w:spacing w:line="240" w:lineRule="auto"/>
        <w:jc w:val="both"/>
        <w:rPr>
          <w:color w:val="000000"/>
        </w:rPr>
      </w:pPr>
    </w:p>
    <w:p w14:paraId="534A4757" w14:textId="77777777" w:rsidR="00AC077A" w:rsidRDefault="00AC077A">
      <w:pPr>
        <w:spacing w:line="240" w:lineRule="auto"/>
        <w:jc w:val="both"/>
        <w:rPr>
          <w:color w:val="000000"/>
        </w:rPr>
      </w:pPr>
    </w:p>
    <w:p w14:paraId="639FB6C2" w14:textId="77777777" w:rsidR="00AC077A" w:rsidRDefault="00AC077A">
      <w:pPr>
        <w:spacing w:line="240" w:lineRule="auto"/>
        <w:jc w:val="both"/>
        <w:rPr>
          <w:color w:val="000000"/>
        </w:rPr>
      </w:pPr>
    </w:p>
    <w:p w14:paraId="01332EBC" w14:textId="77777777" w:rsidR="00AC077A" w:rsidRDefault="00AC077A">
      <w:pPr>
        <w:spacing w:line="240" w:lineRule="auto"/>
        <w:jc w:val="both"/>
        <w:rPr>
          <w:color w:val="000000"/>
        </w:rPr>
      </w:pPr>
    </w:p>
    <w:p w14:paraId="2394983F" w14:textId="77777777" w:rsidR="00AC077A" w:rsidRDefault="00AC077A">
      <w:pPr>
        <w:spacing w:line="240" w:lineRule="auto"/>
        <w:jc w:val="both"/>
        <w:rPr>
          <w:color w:val="000000"/>
        </w:rPr>
      </w:pPr>
    </w:p>
    <w:p w14:paraId="16A17A56" w14:textId="77777777" w:rsidR="00AC077A" w:rsidRDefault="00AC077A">
      <w:pPr>
        <w:spacing w:line="240" w:lineRule="auto"/>
        <w:jc w:val="both"/>
        <w:rPr>
          <w:color w:val="000000"/>
        </w:rPr>
      </w:pPr>
    </w:p>
    <w:p w14:paraId="4BDF053A" w14:textId="77777777" w:rsidR="00AC077A" w:rsidRDefault="00AC077A">
      <w:pPr>
        <w:spacing w:line="240" w:lineRule="auto"/>
        <w:jc w:val="both"/>
        <w:rPr>
          <w:color w:val="000000"/>
        </w:rPr>
      </w:pPr>
    </w:p>
    <w:p w14:paraId="45D86B4F" w14:textId="77777777" w:rsidR="00AC077A" w:rsidRDefault="00AC077A">
      <w:pPr>
        <w:spacing w:line="240" w:lineRule="auto"/>
        <w:jc w:val="both"/>
        <w:rPr>
          <w:color w:val="000000"/>
        </w:rPr>
      </w:pPr>
    </w:p>
    <w:p w14:paraId="1A9980C8" w14:textId="77777777" w:rsidR="00AC077A" w:rsidRDefault="00AC077A">
      <w:pPr>
        <w:spacing w:line="240" w:lineRule="auto"/>
        <w:jc w:val="both"/>
        <w:rPr>
          <w:color w:val="000000"/>
        </w:rPr>
      </w:pPr>
    </w:p>
    <w:p w14:paraId="0DEE2C49" w14:textId="77777777" w:rsidR="00AC077A" w:rsidRDefault="00AC077A">
      <w:pPr>
        <w:spacing w:line="240" w:lineRule="auto"/>
        <w:jc w:val="both"/>
        <w:rPr>
          <w:color w:val="000000"/>
        </w:rPr>
      </w:pPr>
    </w:p>
    <w:p w14:paraId="0525A5C5" w14:textId="77777777" w:rsidR="00AC077A" w:rsidRDefault="00AC077A">
      <w:pPr>
        <w:spacing w:line="240" w:lineRule="auto"/>
        <w:jc w:val="both"/>
        <w:rPr>
          <w:color w:val="000000"/>
        </w:rPr>
      </w:pPr>
    </w:p>
    <w:p w14:paraId="1055215B" w14:textId="77777777" w:rsidR="00AC077A" w:rsidRDefault="00AC077A">
      <w:pPr>
        <w:spacing w:line="240" w:lineRule="auto"/>
        <w:jc w:val="both"/>
        <w:rPr>
          <w:color w:val="000000"/>
        </w:rPr>
      </w:pPr>
    </w:p>
    <w:p w14:paraId="2CED48AC" w14:textId="77777777" w:rsidR="00AC077A" w:rsidRDefault="00AC077A">
      <w:pPr>
        <w:spacing w:line="240" w:lineRule="auto"/>
        <w:jc w:val="both"/>
        <w:rPr>
          <w:color w:val="000000"/>
        </w:rPr>
      </w:pPr>
    </w:p>
    <w:p w14:paraId="2609B332" w14:textId="77777777" w:rsidR="00AC077A" w:rsidRDefault="00AC077A">
      <w:pPr>
        <w:spacing w:line="240" w:lineRule="auto"/>
        <w:jc w:val="both"/>
        <w:rPr>
          <w:color w:val="000000"/>
        </w:rPr>
      </w:pPr>
    </w:p>
    <w:p w14:paraId="5D2C4E4B" w14:textId="77777777" w:rsidR="00AC077A" w:rsidRDefault="00AC077A">
      <w:pPr>
        <w:spacing w:line="240" w:lineRule="auto"/>
        <w:jc w:val="both"/>
        <w:rPr>
          <w:color w:val="000000"/>
        </w:rPr>
      </w:pPr>
    </w:p>
    <w:p w14:paraId="07C477E1" w14:textId="77777777" w:rsidR="00AC077A" w:rsidRDefault="00AC077A">
      <w:pPr>
        <w:spacing w:line="240" w:lineRule="auto"/>
        <w:jc w:val="both"/>
        <w:rPr>
          <w:color w:val="000000"/>
        </w:rPr>
      </w:pPr>
    </w:p>
    <w:p w14:paraId="1737A40B" w14:textId="77777777" w:rsidR="00AC077A" w:rsidRDefault="00AC077A">
      <w:pPr>
        <w:spacing w:line="240" w:lineRule="auto"/>
        <w:jc w:val="both"/>
        <w:rPr>
          <w:color w:val="000000"/>
        </w:rPr>
      </w:pPr>
    </w:p>
    <w:p w14:paraId="4C9D0167" w14:textId="77777777" w:rsidR="00AC077A" w:rsidRDefault="00AC077A">
      <w:pPr>
        <w:spacing w:line="240" w:lineRule="auto"/>
        <w:jc w:val="both"/>
        <w:rPr>
          <w:color w:val="000000"/>
        </w:rPr>
      </w:pPr>
    </w:p>
    <w:p w14:paraId="3E4BAA3B" w14:textId="77777777" w:rsidR="00AC077A" w:rsidRDefault="00AC077A">
      <w:pPr>
        <w:spacing w:line="240" w:lineRule="auto"/>
        <w:jc w:val="both"/>
        <w:rPr>
          <w:color w:val="000000"/>
        </w:rPr>
      </w:pPr>
    </w:p>
    <w:p w14:paraId="77CE5CCB" w14:textId="77777777" w:rsidR="00AC077A" w:rsidRDefault="00AC077A">
      <w:pPr>
        <w:spacing w:line="240" w:lineRule="auto"/>
        <w:jc w:val="both"/>
        <w:rPr>
          <w:color w:val="000000"/>
        </w:rPr>
      </w:pPr>
    </w:p>
    <w:p w14:paraId="42CABCE6" w14:textId="77777777" w:rsidR="00AC077A" w:rsidRDefault="00000000">
      <w:pPr>
        <w:spacing w:line="240" w:lineRule="auto"/>
        <w:jc w:val="center"/>
        <w:rPr>
          <w:color w:val="000000"/>
        </w:rPr>
      </w:pPr>
      <w:r>
        <w:rPr>
          <w:b/>
          <w:noProof/>
          <w:color w:val="000000"/>
        </w:rPr>
        <w:lastRenderedPageBreak/>
        <w:drawing>
          <wp:inline distT="114300" distB="114300" distL="114300" distR="114300" wp14:anchorId="2A0DF8FA" wp14:editId="7515589F">
            <wp:extent cx="5943600" cy="939800"/>
            <wp:effectExtent l="0" t="0" r="0" b="0"/>
            <wp:docPr id="30" name="image1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a computer&#10;&#10;Description automatically generated"/>
                    <pic:cNvPicPr preferRelativeResize="0"/>
                  </pic:nvPicPr>
                  <pic:blipFill>
                    <a:blip r:embed="rId16"/>
                    <a:srcRect/>
                    <a:stretch>
                      <a:fillRect/>
                    </a:stretch>
                  </pic:blipFill>
                  <pic:spPr>
                    <a:xfrm>
                      <a:off x="0" y="0"/>
                      <a:ext cx="5943600" cy="939800"/>
                    </a:xfrm>
                    <a:prstGeom prst="rect">
                      <a:avLst/>
                    </a:prstGeom>
                    <a:ln/>
                  </pic:spPr>
                </pic:pic>
              </a:graphicData>
            </a:graphic>
          </wp:inline>
        </w:drawing>
      </w:r>
    </w:p>
    <w:p w14:paraId="76BDA5A2" w14:textId="77777777" w:rsidR="00AC077A" w:rsidRDefault="00000000">
      <w:pPr>
        <w:spacing w:line="240" w:lineRule="auto"/>
        <w:jc w:val="both"/>
        <w:rPr>
          <w:color w:val="000000"/>
        </w:rPr>
      </w:pPr>
      <w:r>
        <w:rPr>
          <w:b/>
          <w:color w:val="000000"/>
        </w:rPr>
        <w:t>Supplemental Figure S6 Comparison of gene content of Yucahu-</w:t>
      </w:r>
      <w:proofErr w:type="spellStart"/>
      <w:r>
        <w:rPr>
          <w:b/>
          <w:color w:val="000000"/>
        </w:rPr>
        <w:t>i</w:t>
      </w:r>
      <w:proofErr w:type="spellEnd"/>
      <w:r>
        <w:rPr>
          <w:b/>
          <w:color w:val="000000"/>
        </w:rPr>
        <w:t xml:space="preserve"> (Atabeyarchaeia-1), top. and iMGE</w:t>
      </w:r>
      <w:r>
        <w:rPr>
          <w:color w:val="000000"/>
        </w:rPr>
        <w:t>-xvi</w:t>
      </w:r>
      <w:r>
        <w:rPr>
          <w:b/>
          <w:color w:val="000000"/>
        </w:rPr>
        <w:t xml:space="preserve"> (Atabeyarchaeia-2), bottom. </w:t>
      </w:r>
      <w:r>
        <w:rPr>
          <w:color w:val="000000"/>
        </w:rPr>
        <w:t>Annotated proteins of Yucahu-</w:t>
      </w:r>
      <w:proofErr w:type="spellStart"/>
      <w:r>
        <w:rPr>
          <w:color w:val="000000"/>
        </w:rPr>
        <w:t>i</w:t>
      </w:r>
      <w:proofErr w:type="spellEnd"/>
      <w:r>
        <w:rPr>
          <w:color w:val="000000"/>
        </w:rPr>
        <w:t xml:space="preserve"> include a tyrosine recombinase and a protein with similarity to </w:t>
      </w:r>
      <w:proofErr w:type="spellStart"/>
      <w:r>
        <w:rPr>
          <w:color w:val="000000"/>
        </w:rPr>
        <w:t>adenylylsulfate</w:t>
      </w:r>
      <w:proofErr w:type="spellEnd"/>
      <w:r>
        <w:rPr>
          <w:color w:val="000000"/>
        </w:rPr>
        <w:t xml:space="preserve"> kinases. The iMGE-xvi has 12 open reading frames, most encoding hypothetical proteins or proteins of unknown function. Three proteins are predicted to have 5 - 8 transmembrane domains. One is a putative membrane-bound serine protease of the </w:t>
      </w:r>
      <w:proofErr w:type="spellStart"/>
      <w:r>
        <w:rPr>
          <w:color w:val="000000"/>
        </w:rPr>
        <w:t>ClpP</w:t>
      </w:r>
      <w:proofErr w:type="spellEnd"/>
      <w:r>
        <w:rPr>
          <w:color w:val="000000"/>
        </w:rPr>
        <w:t xml:space="preserve"> class involved in the proteolysis of misfolded and defective proteins </w:t>
      </w:r>
      <w:hyperlink r:id="rId17">
        <w:r>
          <w:rPr>
            <w:color w:val="000000"/>
          </w:rPr>
          <w:t>(Moreno-</w:t>
        </w:r>
        <w:proofErr w:type="spellStart"/>
        <w:r>
          <w:rPr>
            <w:color w:val="000000"/>
          </w:rPr>
          <w:t>Cinos</w:t>
        </w:r>
        <w:proofErr w:type="spellEnd"/>
        <w:r>
          <w:rPr>
            <w:color w:val="000000"/>
          </w:rPr>
          <w:t xml:space="preserve"> et al. 2019)</w:t>
        </w:r>
      </w:hyperlink>
      <w:r>
        <w:rPr>
          <w:b/>
          <w:color w:val="000000"/>
        </w:rPr>
        <w:t xml:space="preserve">. </w:t>
      </w:r>
      <w:r>
        <w:rPr>
          <w:color w:val="000000"/>
        </w:rPr>
        <w:t>Genes in gray represent hypothetical proteins with no known homologous sequences or functional domains in databases.</w:t>
      </w:r>
    </w:p>
    <w:p w14:paraId="64882F23" w14:textId="77777777" w:rsidR="00AC077A" w:rsidRDefault="00AC077A">
      <w:pPr>
        <w:spacing w:line="240" w:lineRule="auto"/>
        <w:jc w:val="center"/>
        <w:rPr>
          <w:b/>
          <w:color w:val="000000"/>
        </w:rPr>
      </w:pPr>
    </w:p>
    <w:p w14:paraId="57853225" w14:textId="77777777" w:rsidR="00AC077A" w:rsidRDefault="00AC077A">
      <w:pPr>
        <w:spacing w:line="240" w:lineRule="auto"/>
        <w:jc w:val="center"/>
        <w:rPr>
          <w:b/>
          <w:color w:val="000000"/>
        </w:rPr>
      </w:pPr>
    </w:p>
    <w:p w14:paraId="2BE1ACE1" w14:textId="77777777" w:rsidR="00AC077A" w:rsidRDefault="00AC077A">
      <w:pPr>
        <w:spacing w:line="240" w:lineRule="auto"/>
        <w:jc w:val="center"/>
        <w:rPr>
          <w:b/>
          <w:color w:val="000000"/>
        </w:rPr>
      </w:pPr>
    </w:p>
    <w:p w14:paraId="0BB1FBBF" w14:textId="77777777" w:rsidR="00AC077A" w:rsidRDefault="00AC077A">
      <w:pPr>
        <w:spacing w:line="240" w:lineRule="auto"/>
        <w:jc w:val="center"/>
        <w:rPr>
          <w:b/>
          <w:color w:val="000000"/>
        </w:rPr>
      </w:pPr>
    </w:p>
    <w:p w14:paraId="46139738" w14:textId="77777777" w:rsidR="00AC077A" w:rsidRDefault="00AC077A">
      <w:pPr>
        <w:spacing w:line="240" w:lineRule="auto"/>
        <w:jc w:val="center"/>
        <w:rPr>
          <w:b/>
          <w:color w:val="000000"/>
        </w:rPr>
      </w:pPr>
    </w:p>
    <w:p w14:paraId="789D0819" w14:textId="77777777" w:rsidR="00AC077A" w:rsidRDefault="00AC077A">
      <w:pPr>
        <w:spacing w:line="240" w:lineRule="auto"/>
        <w:jc w:val="center"/>
        <w:rPr>
          <w:b/>
          <w:color w:val="000000"/>
        </w:rPr>
      </w:pPr>
    </w:p>
    <w:p w14:paraId="3B4C8F3C" w14:textId="77777777" w:rsidR="00AC077A" w:rsidRDefault="00AC077A">
      <w:pPr>
        <w:spacing w:line="240" w:lineRule="auto"/>
        <w:jc w:val="center"/>
        <w:rPr>
          <w:b/>
          <w:color w:val="000000"/>
        </w:rPr>
      </w:pPr>
    </w:p>
    <w:p w14:paraId="031FB6B6" w14:textId="77777777" w:rsidR="00AC077A" w:rsidRDefault="00AC077A">
      <w:pPr>
        <w:spacing w:line="240" w:lineRule="auto"/>
        <w:jc w:val="center"/>
        <w:rPr>
          <w:b/>
          <w:color w:val="000000"/>
        </w:rPr>
      </w:pPr>
    </w:p>
    <w:p w14:paraId="72B10349" w14:textId="77777777" w:rsidR="00AC077A" w:rsidRDefault="00AC077A">
      <w:pPr>
        <w:spacing w:line="240" w:lineRule="auto"/>
        <w:jc w:val="center"/>
        <w:rPr>
          <w:b/>
          <w:color w:val="000000"/>
        </w:rPr>
      </w:pPr>
    </w:p>
    <w:p w14:paraId="0BD7F6F2" w14:textId="77777777" w:rsidR="00AC077A" w:rsidRDefault="00AC077A">
      <w:pPr>
        <w:spacing w:line="240" w:lineRule="auto"/>
        <w:jc w:val="center"/>
        <w:rPr>
          <w:b/>
          <w:color w:val="000000"/>
        </w:rPr>
      </w:pPr>
    </w:p>
    <w:p w14:paraId="772949D9" w14:textId="77777777" w:rsidR="00AC077A" w:rsidRDefault="00AC077A">
      <w:pPr>
        <w:spacing w:line="240" w:lineRule="auto"/>
        <w:jc w:val="center"/>
        <w:rPr>
          <w:b/>
          <w:color w:val="000000"/>
        </w:rPr>
      </w:pPr>
    </w:p>
    <w:p w14:paraId="060302EC" w14:textId="77777777" w:rsidR="00AC077A" w:rsidRDefault="00AC077A">
      <w:pPr>
        <w:spacing w:line="240" w:lineRule="auto"/>
        <w:jc w:val="center"/>
        <w:rPr>
          <w:b/>
          <w:color w:val="000000"/>
        </w:rPr>
      </w:pPr>
    </w:p>
    <w:p w14:paraId="3C93B93A" w14:textId="77777777" w:rsidR="00AC077A" w:rsidRDefault="00AC077A">
      <w:pPr>
        <w:spacing w:line="240" w:lineRule="auto"/>
        <w:rPr>
          <w:b/>
          <w:color w:val="000000"/>
        </w:rPr>
      </w:pPr>
    </w:p>
    <w:p w14:paraId="0A35C755" w14:textId="77777777" w:rsidR="00AC077A" w:rsidRDefault="00AC077A">
      <w:pPr>
        <w:spacing w:line="240" w:lineRule="auto"/>
        <w:jc w:val="both"/>
        <w:rPr>
          <w:color w:val="000000"/>
        </w:rPr>
      </w:pPr>
    </w:p>
    <w:p w14:paraId="4C2CB283" w14:textId="77777777" w:rsidR="00AC077A" w:rsidRDefault="00000000">
      <w:pPr>
        <w:spacing w:line="240" w:lineRule="auto"/>
        <w:jc w:val="both"/>
        <w:rPr>
          <w:color w:val="000000"/>
        </w:rPr>
      </w:pPr>
      <w:r>
        <w:rPr>
          <w:noProof/>
          <w:color w:val="000000"/>
        </w:rPr>
        <w:lastRenderedPageBreak/>
        <w:drawing>
          <wp:inline distT="114300" distB="114300" distL="114300" distR="114300" wp14:anchorId="4EF5C8BE" wp14:editId="4622F9F7">
            <wp:extent cx="5943600" cy="4229100"/>
            <wp:effectExtent l="0" t="0" r="0" b="0"/>
            <wp:docPr id="29" name="image10.png" descr="A diagram of a number of different types of type of pelle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png" descr="A diagram of a number of different types of type of pellets&#10;&#10;Description automatically generated with medium confidence"/>
                    <pic:cNvPicPr preferRelativeResize="0"/>
                  </pic:nvPicPr>
                  <pic:blipFill>
                    <a:blip r:embed="rId18"/>
                    <a:srcRect/>
                    <a:stretch>
                      <a:fillRect/>
                    </a:stretch>
                  </pic:blipFill>
                  <pic:spPr>
                    <a:xfrm>
                      <a:off x="0" y="0"/>
                      <a:ext cx="5943600" cy="4229100"/>
                    </a:xfrm>
                    <a:prstGeom prst="rect">
                      <a:avLst/>
                    </a:prstGeom>
                    <a:ln/>
                  </pic:spPr>
                </pic:pic>
              </a:graphicData>
            </a:graphic>
          </wp:inline>
        </w:drawing>
      </w:r>
      <w:r>
        <w:rPr>
          <w:b/>
          <w:color w:val="000000"/>
        </w:rPr>
        <w:t xml:space="preserve"> Supplemental Figure S7 Genome diagram of Atabeyarchaeia-2 putative plasmid Zemi-700. </w:t>
      </w:r>
      <w:r>
        <w:rPr>
          <w:color w:val="000000"/>
        </w:rPr>
        <w:t xml:space="preserve">The plasmid has 23 open reading frames and gray-colored genes are hypothetical. Genes colored brown have transmembrane domains and are predicted to be extracellular. </w:t>
      </w:r>
    </w:p>
    <w:p w14:paraId="69C932FD" w14:textId="77777777" w:rsidR="00AC077A" w:rsidRDefault="00000000">
      <w:pPr>
        <w:spacing w:line="240" w:lineRule="auto"/>
        <w:jc w:val="both"/>
        <w:rPr>
          <w:b/>
          <w:color w:val="000000"/>
        </w:rPr>
      </w:pPr>
      <w:r>
        <w:rPr>
          <w:noProof/>
          <w:color w:val="000000"/>
        </w:rPr>
        <w:lastRenderedPageBreak/>
        <w:drawing>
          <wp:inline distT="114300" distB="114300" distL="114300" distR="114300" wp14:anchorId="46DC4382" wp14:editId="0B16B6B5">
            <wp:extent cx="5943600" cy="6667500"/>
            <wp:effectExtent l="0" t="0" r="0" b="0"/>
            <wp:docPr id="33" name="image12.png" descr="A diagram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png" descr="A diagram of a tree&#10;&#10;Description automatically generated with medium confidence"/>
                    <pic:cNvPicPr preferRelativeResize="0"/>
                  </pic:nvPicPr>
                  <pic:blipFill>
                    <a:blip r:embed="rId19"/>
                    <a:srcRect/>
                    <a:stretch>
                      <a:fillRect/>
                    </a:stretch>
                  </pic:blipFill>
                  <pic:spPr>
                    <a:xfrm>
                      <a:off x="0" y="0"/>
                      <a:ext cx="5943600" cy="6667500"/>
                    </a:xfrm>
                    <a:prstGeom prst="rect">
                      <a:avLst/>
                    </a:prstGeom>
                    <a:ln/>
                  </pic:spPr>
                </pic:pic>
              </a:graphicData>
            </a:graphic>
          </wp:inline>
        </w:drawing>
      </w:r>
    </w:p>
    <w:p w14:paraId="66B60739" w14:textId="77777777" w:rsidR="00AC077A" w:rsidRDefault="00000000">
      <w:pPr>
        <w:spacing w:line="240" w:lineRule="auto"/>
        <w:jc w:val="both"/>
        <w:rPr>
          <w:color w:val="000000"/>
        </w:rPr>
      </w:pPr>
      <w:r>
        <w:rPr>
          <w:b/>
          <w:color w:val="000000"/>
        </w:rPr>
        <w:t xml:space="preserve">Supplemental Figure S8 Maximum likelihood phylogeny of CAAX proteases identified in the Atabeyarchaeia-2 plasmid_700. </w:t>
      </w:r>
      <w:r>
        <w:rPr>
          <w:color w:val="000000"/>
        </w:rPr>
        <w:t>For this analysis, the top 50 protein hits from the NCBI against</w:t>
      </w:r>
      <w:r>
        <w:t xml:space="preserve"> </w:t>
      </w:r>
      <w:r>
        <w:rPr>
          <w:color w:val="000000"/>
        </w:rPr>
        <w:t xml:space="preserve">the </w:t>
      </w:r>
      <w:proofErr w:type="spellStart"/>
      <w:r>
        <w:rPr>
          <w:color w:val="000000"/>
        </w:rPr>
        <w:t xml:space="preserve">non </w:t>
      </w:r>
      <w:r>
        <w:t>redundant</w:t>
      </w:r>
      <w:proofErr w:type="spellEnd"/>
      <w:r>
        <w:rPr>
          <w:color w:val="000000"/>
        </w:rPr>
        <w:t xml:space="preserve"> </w:t>
      </w:r>
      <w:r>
        <w:t xml:space="preserve">database </w:t>
      </w:r>
      <w:r>
        <w:rPr>
          <w:color w:val="000000"/>
        </w:rPr>
        <w:t>were selected. Sequence alignment was performed using MAFFT (</w:t>
      </w:r>
      <w:r>
        <w:t>v</w:t>
      </w:r>
      <w:r>
        <w:rPr>
          <w:color w:val="000000"/>
        </w:rPr>
        <w:t xml:space="preserve"> 7.310) with the 'auto' setting, and the alignment was subsequently trimmed with </w:t>
      </w:r>
      <w:proofErr w:type="spellStart"/>
      <w:r>
        <w:rPr>
          <w:color w:val="000000"/>
        </w:rPr>
        <w:t>trimAl</w:t>
      </w:r>
      <w:proofErr w:type="spellEnd"/>
      <w:r>
        <w:rPr>
          <w:color w:val="000000"/>
        </w:rPr>
        <w:t xml:space="preserve"> (</w:t>
      </w:r>
      <w:r>
        <w:t>v</w:t>
      </w:r>
      <w:r>
        <w:rPr>
          <w:color w:val="000000"/>
        </w:rPr>
        <w:t xml:space="preserve"> 1.</w:t>
      </w:r>
      <w:proofErr w:type="gramStart"/>
      <w:r>
        <w:rPr>
          <w:color w:val="000000"/>
        </w:rPr>
        <w:t>4.rev</w:t>
      </w:r>
      <w:proofErr w:type="gramEnd"/>
      <w:r>
        <w:rPr>
          <w:color w:val="000000"/>
        </w:rPr>
        <w:t>15) using a gap threshold of 0.7 (-</w:t>
      </w:r>
      <w:proofErr w:type="spellStart"/>
      <w:r>
        <w:rPr>
          <w:color w:val="000000"/>
        </w:rPr>
        <w:t>gt</w:t>
      </w:r>
      <w:proofErr w:type="spellEnd"/>
      <w:r>
        <w:rPr>
          <w:color w:val="000000"/>
        </w:rPr>
        <w:t xml:space="preserve"> 0.7). The phylogenetic tree was</w:t>
      </w:r>
      <w:r>
        <w:t xml:space="preserve"> </w:t>
      </w:r>
      <w:r>
        <w:rPr>
          <w:color w:val="000000"/>
        </w:rPr>
        <w:t>constructed with IQ-TREE (</w:t>
      </w:r>
      <w:r>
        <w:t>v</w:t>
      </w:r>
      <w:r>
        <w:rPr>
          <w:color w:val="000000"/>
        </w:rPr>
        <w:t xml:space="preserve"> 1.6.1) employing the LG+FO+R model. </w:t>
      </w:r>
    </w:p>
    <w:p w14:paraId="70400473" w14:textId="77777777" w:rsidR="00AC077A" w:rsidRDefault="00AC077A">
      <w:pPr>
        <w:spacing w:line="240" w:lineRule="auto"/>
        <w:jc w:val="both"/>
        <w:rPr>
          <w:color w:val="000000"/>
        </w:rPr>
      </w:pPr>
    </w:p>
    <w:p w14:paraId="62F79B73" w14:textId="77777777" w:rsidR="00AC077A" w:rsidRDefault="00AC077A">
      <w:pPr>
        <w:spacing w:line="240" w:lineRule="auto"/>
        <w:jc w:val="both"/>
        <w:rPr>
          <w:color w:val="000000"/>
        </w:rPr>
      </w:pPr>
    </w:p>
    <w:p w14:paraId="5013655D" w14:textId="77777777" w:rsidR="00AC077A" w:rsidRDefault="00AC077A">
      <w:pPr>
        <w:spacing w:line="240" w:lineRule="auto"/>
        <w:jc w:val="both"/>
        <w:rPr>
          <w:color w:val="000000"/>
        </w:rPr>
      </w:pPr>
    </w:p>
    <w:p w14:paraId="132491C8" w14:textId="77777777" w:rsidR="00AC077A" w:rsidRDefault="00000000">
      <w:pPr>
        <w:spacing w:line="240" w:lineRule="auto"/>
        <w:jc w:val="both"/>
        <w:rPr>
          <w:color w:val="000000"/>
        </w:rPr>
      </w:pPr>
      <w:r>
        <w:rPr>
          <w:b/>
          <w:noProof/>
          <w:color w:val="000000"/>
        </w:rPr>
        <w:lastRenderedPageBreak/>
        <w:drawing>
          <wp:inline distT="114300" distB="114300" distL="114300" distR="114300" wp14:anchorId="016C077D" wp14:editId="2867EFB3">
            <wp:extent cx="5943600" cy="3848100"/>
            <wp:effectExtent l="0" t="0" r="0" b="0"/>
            <wp:docPr id="31" name="image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computer&#10;&#10;Description automatically generated"/>
                    <pic:cNvPicPr preferRelativeResize="0"/>
                  </pic:nvPicPr>
                  <pic:blipFill>
                    <a:blip r:embed="rId20"/>
                    <a:srcRect/>
                    <a:stretch>
                      <a:fillRect/>
                    </a:stretch>
                  </pic:blipFill>
                  <pic:spPr>
                    <a:xfrm>
                      <a:off x="0" y="0"/>
                      <a:ext cx="5943600" cy="3848100"/>
                    </a:xfrm>
                    <a:prstGeom prst="rect">
                      <a:avLst/>
                    </a:prstGeom>
                    <a:ln/>
                  </pic:spPr>
                </pic:pic>
              </a:graphicData>
            </a:graphic>
          </wp:inline>
        </w:drawing>
      </w:r>
      <w:r>
        <w:rPr>
          <w:b/>
          <w:color w:val="000000"/>
        </w:rPr>
        <w:t xml:space="preserve"> Supplemental Figure S9 Genomic organization of DISARM (Defense Island System Associated with Restriction-Modification) system from Freyarchaeia and phylogenetic placement of the </w:t>
      </w:r>
      <w:proofErr w:type="spellStart"/>
      <w:r>
        <w:rPr>
          <w:b/>
          <w:color w:val="000000"/>
        </w:rPr>
        <w:t>DrmA</w:t>
      </w:r>
      <w:proofErr w:type="spellEnd"/>
      <w:r>
        <w:rPr>
          <w:b/>
          <w:color w:val="000000"/>
        </w:rPr>
        <w:t xml:space="preserve"> within the whole superfamily. A. </w:t>
      </w:r>
      <w:proofErr w:type="spellStart"/>
      <w:r>
        <w:rPr>
          <w:color w:val="000000"/>
        </w:rPr>
        <w:t>DrmA</w:t>
      </w:r>
      <w:proofErr w:type="spellEnd"/>
      <w:r>
        <w:rPr>
          <w:color w:val="000000"/>
        </w:rPr>
        <w:t xml:space="preserve">, </w:t>
      </w:r>
      <w:proofErr w:type="spellStart"/>
      <w:r>
        <w:rPr>
          <w:color w:val="000000"/>
        </w:rPr>
        <w:t>DrmMII</w:t>
      </w:r>
      <w:proofErr w:type="spellEnd"/>
      <w:r>
        <w:rPr>
          <w:color w:val="000000"/>
        </w:rPr>
        <w:t xml:space="preserve">, </w:t>
      </w:r>
      <w:proofErr w:type="spellStart"/>
      <w:r>
        <w:rPr>
          <w:color w:val="000000"/>
        </w:rPr>
        <w:t>DrmA</w:t>
      </w:r>
      <w:proofErr w:type="spellEnd"/>
      <w:r>
        <w:rPr>
          <w:color w:val="000000"/>
        </w:rPr>
        <w:t xml:space="preserve">’, </w:t>
      </w:r>
      <w:proofErr w:type="spellStart"/>
      <w:r>
        <w:rPr>
          <w:color w:val="000000"/>
        </w:rPr>
        <w:t>DrmB</w:t>
      </w:r>
      <w:proofErr w:type="spellEnd"/>
      <w:r>
        <w:rPr>
          <w:color w:val="000000"/>
        </w:rPr>
        <w:t xml:space="preserve"> and </w:t>
      </w:r>
      <w:proofErr w:type="spellStart"/>
      <w:r>
        <w:rPr>
          <w:color w:val="000000"/>
        </w:rPr>
        <w:t>DrmC</w:t>
      </w:r>
      <w:proofErr w:type="spellEnd"/>
      <w:r>
        <w:rPr>
          <w:color w:val="000000"/>
        </w:rPr>
        <w:t xml:space="preserve"> gene locus.</w:t>
      </w:r>
      <w:r>
        <w:rPr>
          <w:b/>
          <w:color w:val="000000"/>
        </w:rPr>
        <w:t xml:space="preserve"> B. </w:t>
      </w:r>
      <w:r>
        <w:rPr>
          <w:color w:val="000000"/>
        </w:rPr>
        <w:t xml:space="preserve">Phylogenetic analysis of the </w:t>
      </w:r>
      <w:proofErr w:type="spellStart"/>
      <w:r>
        <w:rPr>
          <w:color w:val="000000"/>
        </w:rPr>
        <w:t>DrmA</w:t>
      </w:r>
      <w:proofErr w:type="spellEnd"/>
      <w:r>
        <w:rPr>
          <w:color w:val="000000"/>
        </w:rPr>
        <w:t xml:space="preserve"> protein found within the Freyarchaeia genome and reference sequences. The phylogenetic tree was initially constructed with IQ-TREE (</w:t>
      </w:r>
      <w:r>
        <w:t>v</w:t>
      </w:r>
      <w:r>
        <w:rPr>
          <w:color w:val="000000"/>
        </w:rPr>
        <w:t xml:space="preserve"> 1.6.1) </w:t>
      </w:r>
      <w:r>
        <w:t>using</w:t>
      </w:r>
      <w:r>
        <w:rPr>
          <w:color w:val="000000"/>
        </w:rPr>
        <w:t xml:space="preserve"> the LG+FO+R model. </w:t>
      </w:r>
    </w:p>
    <w:p w14:paraId="7CF955D5" w14:textId="77777777" w:rsidR="00AC077A" w:rsidRDefault="00AC077A">
      <w:pPr>
        <w:spacing w:line="240" w:lineRule="auto"/>
        <w:jc w:val="both"/>
        <w:rPr>
          <w:color w:val="000000"/>
        </w:rPr>
      </w:pPr>
    </w:p>
    <w:p w14:paraId="045EC4B8" w14:textId="77777777" w:rsidR="00AC077A" w:rsidRDefault="00AC077A">
      <w:pPr>
        <w:spacing w:line="240" w:lineRule="auto"/>
        <w:jc w:val="both"/>
        <w:rPr>
          <w:color w:val="000000"/>
        </w:rPr>
      </w:pPr>
    </w:p>
    <w:p w14:paraId="42AD6F61" w14:textId="77777777" w:rsidR="00AC077A" w:rsidRDefault="00AC077A">
      <w:pPr>
        <w:spacing w:line="240" w:lineRule="auto"/>
        <w:jc w:val="both"/>
        <w:rPr>
          <w:color w:val="000000"/>
        </w:rPr>
      </w:pPr>
    </w:p>
    <w:p w14:paraId="1296C058" w14:textId="77777777" w:rsidR="00AC077A" w:rsidRDefault="00AC077A">
      <w:pPr>
        <w:spacing w:line="240" w:lineRule="auto"/>
        <w:jc w:val="both"/>
        <w:rPr>
          <w:color w:val="000000"/>
        </w:rPr>
      </w:pPr>
    </w:p>
    <w:p w14:paraId="3C5DBD38" w14:textId="77777777" w:rsidR="00AC077A" w:rsidRDefault="00AC077A">
      <w:pPr>
        <w:rPr>
          <w:color w:val="000000"/>
        </w:rPr>
      </w:pPr>
    </w:p>
    <w:p w14:paraId="7330F198" w14:textId="77777777" w:rsidR="00AC077A" w:rsidRDefault="00AC077A">
      <w:pPr>
        <w:spacing w:line="240" w:lineRule="auto"/>
        <w:jc w:val="both"/>
        <w:rPr>
          <w:color w:val="000000"/>
        </w:rPr>
      </w:pPr>
    </w:p>
    <w:p w14:paraId="37B155C5" w14:textId="77777777" w:rsidR="00AC077A" w:rsidRDefault="00000000">
      <w:pPr>
        <w:spacing w:line="240" w:lineRule="auto"/>
        <w:jc w:val="both"/>
        <w:rPr>
          <w:color w:val="000000"/>
        </w:rPr>
      </w:pPr>
      <w:r>
        <w:rPr>
          <w:noProof/>
          <w:color w:val="000000"/>
        </w:rPr>
        <w:lastRenderedPageBreak/>
        <w:drawing>
          <wp:inline distT="114300" distB="114300" distL="114300" distR="114300" wp14:anchorId="36635CBA" wp14:editId="1CE9217A">
            <wp:extent cx="5867736" cy="4162425"/>
            <wp:effectExtent l="0" t="0" r="0" b="0"/>
            <wp:docPr id="32" name="image3.jpg" descr="A close-up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close-up of a graph&#10;&#10;Description automatically generated"/>
                    <pic:cNvPicPr preferRelativeResize="0"/>
                  </pic:nvPicPr>
                  <pic:blipFill>
                    <a:blip r:embed="rId21"/>
                    <a:srcRect/>
                    <a:stretch>
                      <a:fillRect/>
                    </a:stretch>
                  </pic:blipFill>
                  <pic:spPr>
                    <a:xfrm>
                      <a:off x="0" y="0"/>
                      <a:ext cx="5867736" cy="4162425"/>
                    </a:xfrm>
                    <a:prstGeom prst="rect">
                      <a:avLst/>
                    </a:prstGeom>
                    <a:ln/>
                  </pic:spPr>
                </pic:pic>
              </a:graphicData>
            </a:graphic>
          </wp:inline>
        </w:drawing>
      </w:r>
    </w:p>
    <w:p w14:paraId="293442A8" w14:textId="77777777" w:rsidR="00AC077A" w:rsidRDefault="00000000">
      <w:pPr>
        <w:spacing w:line="240" w:lineRule="auto"/>
        <w:jc w:val="both"/>
        <w:rPr>
          <w:color w:val="000000"/>
        </w:rPr>
      </w:pPr>
      <w:r>
        <w:rPr>
          <w:b/>
          <w:color w:val="000000"/>
        </w:rPr>
        <w:t xml:space="preserve">Supplemental Figure S10 Evolutionary position of Atabeyarchaeia putative MGEs GTPases across the three domains. </w:t>
      </w:r>
      <w:r>
        <w:rPr>
          <w:color w:val="000000"/>
        </w:rPr>
        <w:t>Maximum likelihood tree of eukaryotic ARF family GTPases and Asgard archaea and bacterial GTPase sequences. GTPases identified on the putative iMGE-xii are highlighted in bold. Blasting the MGE GTPases against the NCBI</w:t>
      </w:r>
      <w:r>
        <w:t xml:space="preserve"> non </w:t>
      </w:r>
      <w:proofErr w:type="gramStart"/>
      <w:r>
        <w:t xml:space="preserve">redundant </w:t>
      </w:r>
      <w:r>
        <w:rPr>
          <w:color w:val="000000"/>
        </w:rPr>
        <w:t xml:space="preserve"> database</w:t>
      </w:r>
      <w:proofErr w:type="gramEnd"/>
      <w:r>
        <w:rPr>
          <w:color w:val="000000"/>
        </w:rPr>
        <w:t xml:space="preserve"> (June 19, 2024), we added hits with percent identity greater than or equal to 35% with more than 71% query coverage. Our expanded reference set includes 10 Asgardarchaeota (1 </w:t>
      </w:r>
      <w:proofErr w:type="spellStart"/>
      <w:r>
        <w:rPr>
          <w:color w:val="000000"/>
        </w:rPr>
        <w:t>Baldrarchaeaia</w:t>
      </w:r>
      <w:proofErr w:type="spellEnd"/>
      <w:r>
        <w:rPr>
          <w:color w:val="000000"/>
        </w:rPr>
        <w:t xml:space="preserve"> (previously misidentified as </w:t>
      </w:r>
      <w:proofErr w:type="spellStart"/>
      <w:r>
        <w:rPr>
          <w:color w:val="000000"/>
        </w:rPr>
        <w:t>Odindarchaeia</w:t>
      </w:r>
      <w:proofErr w:type="spellEnd"/>
      <w:r>
        <w:rPr>
          <w:color w:val="000000"/>
        </w:rPr>
        <w:t xml:space="preserve">), 6 Lokiarchaeia, and 3 </w:t>
      </w:r>
      <w:proofErr w:type="spellStart"/>
      <w:r>
        <w:rPr>
          <w:color w:val="000000"/>
        </w:rPr>
        <w:t>Heimdallarchaiea</w:t>
      </w:r>
      <w:proofErr w:type="spellEnd"/>
      <w:r>
        <w:rPr>
          <w:color w:val="000000"/>
        </w:rPr>
        <w:t xml:space="preserve">) and two grassland soil-associated </w:t>
      </w:r>
      <w:proofErr w:type="spellStart"/>
      <w:r>
        <w:rPr>
          <w:i/>
          <w:color w:val="000000"/>
        </w:rPr>
        <w:t>Deferrimicrobium</w:t>
      </w:r>
      <w:proofErr w:type="spellEnd"/>
      <w:r>
        <w:rPr>
          <w:i/>
          <w:color w:val="000000"/>
        </w:rPr>
        <w:t xml:space="preserve"> sp.</w:t>
      </w:r>
      <w:r>
        <w:rPr>
          <w:color w:val="000000"/>
        </w:rPr>
        <w:t xml:space="preserve"> sequences. We also added one eukaryotic sequence from a </w:t>
      </w:r>
      <w:proofErr w:type="gramStart"/>
      <w:r>
        <w:rPr>
          <w:color w:val="000000"/>
        </w:rPr>
        <w:t>multicellular fungi</w:t>
      </w:r>
      <w:proofErr w:type="gramEnd"/>
      <w:r>
        <w:rPr>
          <w:color w:val="000000"/>
        </w:rPr>
        <w:t xml:space="preserve">, </w:t>
      </w:r>
      <w:r>
        <w:rPr>
          <w:i/>
          <w:color w:val="000000"/>
        </w:rPr>
        <w:t xml:space="preserve">Hericium </w:t>
      </w:r>
      <w:proofErr w:type="spellStart"/>
      <w:r>
        <w:rPr>
          <w:i/>
          <w:color w:val="000000"/>
        </w:rPr>
        <w:t>alpestre</w:t>
      </w:r>
      <w:proofErr w:type="spellEnd"/>
      <w:r>
        <w:rPr>
          <w:color w:val="000000"/>
        </w:rPr>
        <w:t xml:space="preserve">, collected from deadwood that had high query coverage (70-71%) and percent identity (33.33%-34.92%) to both MGE GTPases. Sequences were aligned with MAFFT auto (v7.490), trimmed with </w:t>
      </w:r>
      <w:proofErr w:type="spellStart"/>
      <w:r>
        <w:rPr>
          <w:color w:val="000000"/>
        </w:rPr>
        <w:t>trimAl</w:t>
      </w:r>
      <w:proofErr w:type="spellEnd"/>
      <w:r>
        <w:rPr>
          <w:color w:val="000000"/>
        </w:rPr>
        <w:t xml:space="preserve"> -</w:t>
      </w:r>
      <w:proofErr w:type="spellStart"/>
      <w:r>
        <w:rPr>
          <w:color w:val="000000"/>
        </w:rPr>
        <w:t>gt</w:t>
      </w:r>
      <w:proofErr w:type="spellEnd"/>
      <w:r>
        <w:rPr>
          <w:color w:val="000000"/>
        </w:rPr>
        <w:t xml:space="preserve"> 0.5 (v1.</w:t>
      </w:r>
      <w:proofErr w:type="gramStart"/>
      <w:r>
        <w:rPr>
          <w:color w:val="000000"/>
        </w:rPr>
        <w:t>4.rev</w:t>
      </w:r>
      <w:proofErr w:type="gramEnd"/>
      <w:r>
        <w:rPr>
          <w:color w:val="000000"/>
        </w:rPr>
        <w:t xml:space="preserve">22), and used to create a maximum likelihood tree with </w:t>
      </w:r>
      <w:proofErr w:type="spellStart"/>
      <w:r>
        <w:rPr>
          <w:color w:val="000000"/>
        </w:rPr>
        <w:t>iqtree</w:t>
      </w:r>
      <w:proofErr w:type="spellEnd"/>
      <w:r>
        <w:rPr>
          <w:color w:val="000000"/>
        </w:rPr>
        <w:t xml:space="preserve"> (v1.6.12). LG+R7 was the best-fit model chosen according to BIC. Bootstrap values greater than or equal to 60 are shown.</w:t>
      </w:r>
    </w:p>
    <w:p w14:paraId="54EDE393" w14:textId="77777777" w:rsidR="00AC077A" w:rsidRDefault="00000000">
      <w:pPr>
        <w:spacing w:line="240" w:lineRule="auto"/>
        <w:jc w:val="both"/>
        <w:rPr>
          <w:b/>
          <w:color w:val="000000"/>
        </w:rPr>
      </w:pPr>
      <w:r>
        <w:rPr>
          <w:color w:val="000000"/>
        </w:rPr>
        <w:lastRenderedPageBreak/>
        <w:t xml:space="preserve"> </w:t>
      </w:r>
      <w:r>
        <w:rPr>
          <w:b/>
          <w:noProof/>
          <w:color w:val="000000"/>
        </w:rPr>
        <w:drawing>
          <wp:inline distT="114300" distB="114300" distL="114300" distR="114300" wp14:anchorId="36B615A5" wp14:editId="026929FF">
            <wp:extent cx="5943600" cy="5524500"/>
            <wp:effectExtent l="0" t="0" r="0" b="0"/>
            <wp:docPr id="34" name="image1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computer&#10;&#10;Description automatically generated"/>
                    <pic:cNvPicPr preferRelativeResize="0"/>
                  </pic:nvPicPr>
                  <pic:blipFill>
                    <a:blip r:embed="rId22"/>
                    <a:srcRect/>
                    <a:stretch>
                      <a:fillRect/>
                    </a:stretch>
                  </pic:blipFill>
                  <pic:spPr>
                    <a:xfrm>
                      <a:off x="0" y="0"/>
                      <a:ext cx="5943600" cy="5524500"/>
                    </a:xfrm>
                    <a:prstGeom prst="rect">
                      <a:avLst/>
                    </a:prstGeom>
                    <a:ln/>
                  </pic:spPr>
                </pic:pic>
              </a:graphicData>
            </a:graphic>
          </wp:inline>
        </w:drawing>
      </w:r>
    </w:p>
    <w:p w14:paraId="45404F40" w14:textId="77777777" w:rsidR="00AC077A" w:rsidRDefault="00000000">
      <w:pPr>
        <w:pStyle w:val="Heading2"/>
        <w:spacing w:before="0" w:after="0" w:line="240" w:lineRule="auto"/>
        <w:jc w:val="both"/>
        <w:rPr>
          <w:rFonts w:ascii="Arial" w:eastAsia="Arial" w:hAnsi="Arial" w:cs="Arial"/>
          <w:color w:val="000000"/>
          <w:sz w:val="22"/>
          <w:szCs w:val="22"/>
        </w:rPr>
      </w:pPr>
      <w:r>
        <w:rPr>
          <w:rFonts w:ascii="Arial" w:eastAsia="Arial" w:hAnsi="Arial" w:cs="Arial"/>
          <w:b/>
          <w:color w:val="000000"/>
          <w:sz w:val="22"/>
          <w:szCs w:val="22"/>
        </w:rPr>
        <w:t xml:space="preserve">Supplemental Figure S11 Structural similarity between Atabeyarchaeia MGE-encoded and eukaryotic GTPases. A. </w:t>
      </w:r>
      <w:r>
        <w:rPr>
          <w:rFonts w:ascii="Arial" w:eastAsia="Arial" w:hAnsi="Arial" w:cs="Arial"/>
          <w:color w:val="000000"/>
          <w:sz w:val="22"/>
          <w:szCs w:val="22"/>
        </w:rPr>
        <w:t xml:space="preserve">Structural phylogeny including a subset of the proteins with the sequence phylogeny and confirmed structural homologues in the RCSB Protein Data Bank (See “Methods”). The first three letters of the references in sequence and structural phylogenies are the first letter of the genus followed by the first two letters of the species (i.e., </w:t>
      </w:r>
      <w:proofErr w:type="spellStart"/>
      <w:r>
        <w:rPr>
          <w:rFonts w:ascii="Arial" w:eastAsia="Arial" w:hAnsi="Arial" w:cs="Arial"/>
          <w:color w:val="000000"/>
          <w:sz w:val="22"/>
          <w:szCs w:val="22"/>
        </w:rPr>
        <w:t>Hsa</w:t>
      </w:r>
      <w:proofErr w:type="spellEnd"/>
      <w:r>
        <w:rPr>
          <w:rFonts w:ascii="Arial" w:eastAsia="Arial" w:hAnsi="Arial" w:cs="Arial"/>
          <w:color w:val="000000"/>
          <w:sz w:val="22"/>
          <w:szCs w:val="22"/>
        </w:rPr>
        <w:t xml:space="preserve"> abbreviated for </w:t>
      </w:r>
      <w:r>
        <w:rPr>
          <w:rFonts w:ascii="Arial" w:eastAsia="Arial" w:hAnsi="Arial" w:cs="Arial"/>
          <w:i/>
          <w:color w:val="000000"/>
          <w:sz w:val="22"/>
          <w:szCs w:val="22"/>
        </w:rPr>
        <w:t xml:space="preserve">Homo </w:t>
      </w:r>
      <w:proofErr w:type="spellStart"/>
      <w:r>
        <w:rPr>
          <w:rFonts w:ascii="Arial" w:eastAsia="Arial" w:hAnsi="Arial" w:cs="Arial"/>
          <w:i/>
          <w:color w:val="000000"/>
          <w:sz w:val="22"/>
          <w:szCs w:val="22"/>
        </w:rPr>
        <w:t>sapien</w:t>
      </w:r>
      <w:proofErr w:type="spellEnd"/>
      <w:r>
        <w:rPr>
          <w:rFonts w:ascii="Arial" w:eastAsia="Arial" w:hAnsi="Arial" w:cs="Arial"/>
          <w:color w:val="000000"/>
          <w:sz w:val="22"/>
          <w:szCs w:val="22"/>
        </w:rPr>
        <w:t xml:space="preserve">). </w:t>
      </w:r>
      <w:r>
        <w:rPr>
          <w:rFonts w:ascii="Arial" w:eastAsia="Arial" w:hAnsi="Arial" w:cs="Arial"/>
          <w:b/>
          <w:color w:val="000000"/>
          <w:sz w:val="22"/>
          <w:szCs w:val="22"/>
        </w:rPr>
        <w:t xml:space="preserve">B. </w:t>
      </w:r>
      <w:r>
        <w:rPr>
          <w:rFonts w:ascii="Arial" w:eastAsia="Arial" w:hAnsi="Arial" w:cs="Arial"/>
          <w:color w:val="000000"/>
          <w:sz w:val="22"/>
          <w:szCs w:val="22"/>
        </w:rPr>
        <w:t xml:space="preserve">Atabeya-1 iMGE-xii_6 GTPase structural model (pink) superimposed on a </w:t>
      </w:r>
      <w:r>
        <w:rPr>
          <w:rFonts w:ascii="Arial" w:eastAsia="Arial" w:hAnsi="Arial" w:cs="Arial"/>
          <w:i/>
          <w:color w:val="000000"/>
          <w:sz w:val="22"/>
          <w:szCs w:val="22"/>
        </w:rPr>
        <w:t xml:space="preserve">H. </w:t>
      </w:r>
      <w:proofErr w:type="spellStart"/>
      <w:r>
        <w:rPr>
          <w:rFonts w:ascii="Arial" w:eastAsia="Arial" w:hAnsi="Arial" w:cs="Arial"/>
          <w:i/>
          <w:color w:val="000000"/>
          <w:sz w:val="22"/>
          <w:szCs w:val="22"/>
        </w:rPr>
        <w:t>sapien</w:t>
      </w:r>
      <w:proofErr w:type="spellEnd"/>
      <w:r>
        <w:rPr>
          <w:rFonts w:ascii="Arial" w:eastAsia="Arial" w:hAnsi="Arial" w:cs="Arial"/>
          <w:color w:val="000000"/>
          <w:sz w:val="22"/>
          <w:szCs w:val="22"/>
        </w:rPr>
        <w:t xml:space="preserve"> GTPase predicted by electron microscopy (purple), </w:t>
      </w:r>
      <w:proofErr w:type="spellStart"/>
      <w:r>
        <w:rPr>
          <w:rFonts w:ascii="Arial" w:eastAsia="Arial" w:hAnsi="Arial" w:cs="Arial"/>
          <w:i/>
          <w:color w:val="000000"/>
          <w:sz w:val="22"/>
          <w:szCs w:val="22"/>
        </w:rPr>
        <w:t>Spironucleus</w:t>
      </w:r>
      <w:proofErr w:type="spellEnd"/>
      <w:r>
        <w:rPr>
          <w:rFonts w:ascii="Arial" w:eastAsia="Arial" w:hAnsi="Arial" w:cs="Arial"/>
          <w:i/>
          <w:color w:val="000000"/>
          <w:sz w:val="22"/>
          <w:szCs w:val="22"/>
        </w:rPr>
        <w:t xml:space="preserve"> </w:t>
      </w:r>
      <w:proofErr w:type="spellStart"/>
      <w:r>
        <w:rPr>
          <w:rFonts w:ascii="Arial" w:eastAsia="Arial" w:hAnsi="Arial" w:cs="Arial"/>
          <w:i/>
          <w:color w:val="000000"/>
          <w:sz w:val="22"/>
          <w:szCs w:val="22"/>
        </w:rPr>
        <w:t>salmonicida</w:t>
      </w:r>
      <w:proofErr w:type="spellEnd"/>
      <w:r>
        <w:rPr>
          <w:rFonts w:ascii="Arial" w:eastAsia="Arial" w:hAnsi="Arial" w:cs="Arial"/>
          <w:i/>
          <w:color w:val="000000"/>
          <w:sz w:val="22"/>
          <w:szCs w:val="22"/>
        </w:rPr>
        <w:t xml:space="preserve"> </w:t>
      </w:r>
      <w:r>
        <w:rPr>
          <w:rFonts w:ascii="Arial" w:eastAsia="Arial" w:hAnsi="Arial" w:cs="Arial"/>
          <w:color w:val="000000"/>
          <w:sz w:val="22"/>
          <w:szCs w:val="22"/>
        </w:rPr>
        <w:t>GTPase structural model (green), and Freyarchaeia GTPase structural model (orange) (from left to right).</w:t>
      </w:r>
    </w:p>
    <w:p w14:paraId="4F2D23B7" w14:textId="77777777" w:rsidR="00AC077A" w:rsidRDefault="00AC077A">
      <w:pPr>
        <w:pStyle w:val="Heading2"/>
        <w:spacing w:before="0" w:after="0" w:line="240" w:lineRule="auto"/>
        <w:jc w:val="both"/>
        <w:rPr>
          <w:rFonts w:ascii="Arial" w:eastAsia="Arial" w:hAnsi="Arial" w:cs="Arial"/>
          <w:color w:val="000000"/>
          <w:sz w:val="22"/>
          <w:szCs w:val="22"/>
        </w:rPr>
      </w:pPr>
      <w:bookmarkStart w:id="1" w:name="_heading=h.30j0zll" w:colFirst="0" w:colLast="0"/>
      <w:bookmarkEnd w:id="1"/>
    </w:p>
    <w:p w14:paraId="11BFF8AD" w14:textId="77777777" w:rsidR="00AC077A" w:rsidRDefault="00AC077A">
      <w:pPr>
        <w:rPr>
          <w:color w:val="000000"/>
        </w:rPr>
      </w:pPr>
    </w:p>
    <w:p w14:paraId="0CB3CC7C" w14:textId="77777777" w:rsidR="00AC077A" w:rsidRDefault="00000000">
      <w:pPr>
        <w:rPr>
          <w:color w:val="000000"/>
        </w:rPr>
      </w:pPr>
      <w:r>
        <w:rPr>
          <w:noProof/>
          <w:color w:val="000000"/>
        </w:rPr>
        <w:lastRenderedPageBreak/>
        <w:drawing>
          <wp:inline distT="114300" distB="114300" distL="114300" distR="114300" wp14:anchorId="177CC0F4" wp14:editId="280315A7">
            <wp:extent cx="5943600" cy="2743200"/>
            <wp:effectExtent l="0" t="0" r="0" b="0"/>
            <wp:docPr id="35" name="image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computer&#10;&#10;Description automatically generated"/>
                    <pic:cNvPicPr preferRelativeResize="0"/>
                  </pic:nvPicPr>
                  <pic:blipFill>
                    <a:blip r:embed="rId23"/>
                    <a:srcRect/>
                    <a:stretch>
                      <a:fillRect/>
                    </a:stretch>
                  </pic:blipFill>
                  <pic:spPr>
                    <a:xfrm>
                      <a:off x="0" y="0"/>
                      <a:ext cx="5943600" cy="2743200"/>
                    </a:xfrm>
                    <a:prstGeom prst="rect">
                      <a:avLst/>
                    </a:prstGeom>
                    <a:ln/>
                  </pic:spPr>
                </pic:pic>
              </a:graphicData>
            </a:graphic>
          </wp:inline>
        </w:drawing>
      </w:r>
    </w:p>
    <w:p w14:paraId="68B85709" w14:textId="77777777" w:rsidR="00AC077A" w:rsidRDefault="00000000">
      <w:pPr>
        <w:pStyle w:val="Heading2"/>
        <w:spacing w:before="0" w:after="0" w:line="240" w:lineRule="auto"/>
        <w:jc w:val="both"/>
        <w:rPr>
          <w:rFonts w:ascii="Arial" w:eastAsia="Arial" w:hAnsi="Arial" w:cs="Arial"/>
          <w:color w:val="000000"/>
          <w:sz w:val="22"/>
          <w:szCs w:val="22"/>
        </w:rPr>
      </w:pPr>
      <w:bookmarkStart w:id="2" w:name="_heading=h.1fob9te" w:colFirst="0" w:colLast="0"/>
      <w:bookmarkEnd w:id="2"/>
      <w:r>
        <w:rPr>
          <w:rFonts w:ascii="Arial" w:eastAsia="Arial" w:hAnsi="Arial" w:cs="Arial"/>
          <w:b/>
          <w:color w:val="000000"/>
          <w:sz w:val="22"/>
          <w:szCs w:val="22"/>
        </w:rPr>
        <w:t xml:space="preserve">Supplemental Figure S12 Conservation of G domain and switches. A. </w:t>
      </w:r>
      <w:proofErr w:type="gramStart"/>
      <w:r>
        <w:rPr>
          <w:rFonts w:ascii="Arial" w:eastAsia="Arial" w:hAnsi="Arial" w:cs="Arial"/>
          <w:color w:val="000000"/>
          <w:sz w:val="22"/>
          <w:szCs w:val="22"/>
        </w:rPr>
        <w:t>Multi-sequence</w:t>
      </w:r>
      <w:proofErr w:type="gramEnd"/>
      <w:r>
        <w:rPr>
          <w:rFonts w:ascii="Arial" w:eastAsia="Arial" w:hAnsi="Arial" w:cs="Arial"/>
          <w:color w:val="000000"/>
          <w:sz w:val="22"/>
          <w:szCs w:val="22"/>
        </w:rPr>
        <w:t xml:space="preserve"> structural alignment, highlighting the conserved amino acids (yellow) in the G domain and </w:t>
      </w:r>
      <w:r>
        <w:rPr>
          <w:rFonts w:ascii="Arial" w:eastAsia="Arial" w:hAnsi="Arial" w:cs="Arial"/>
          <w:b/>
          <w:color w:val="000000"/>
          <w:sz w:val="22"/>
          <w:szCs w:val="22"/>
        </w:rPr>
        <w:t xml:space="preserve">B. </w:t>
      </w:r>
      <w:r>
        <w:rPr>
          <w:rFonts w:ascii="Arial" w:eastAsia="Arial" w:hAnsi="Arial" w:cs="Arial"/>
          <w:color w:val="000000"/>
          <w:sz w:val="22"/>
          <w:szCs w:val="22"/>
        </w:rPr>
        <w:t>the position of the switches.</w:t>
      </w:r>
    </w:p>
    <w:p w14:paraId="02EFD1A2" w14:textId="77777777" w:rsidR="00AC077A" w:rsidRDefault="00AC077A">
      <w:pPr>
        <w:spacing w:line="240" w:lineRule="auto"/>
        <w:jc w:val="both"/>
        <w:rPr>
          <w:color w:val="000000"/>
        </w:rPr>
      </w:pPr>
    </w:p>
    <w:p w14:paraId="4549F3C4" w14:textId="77777777" w:rsidR="00AC077A" w:rsidRDefault="00AC077A">
      <w:pPr>
        <w:spacing w:line="240" w:lineRule="auto"/>
        <w:jc w:val="both"/>
        <w:rPr>
          <w:color w:val="000000"/>
        </w:rPr>
      </w:pPr>
    </w:p>
    <w:p w14:paraId="41197DB9" w14:textId="77777777" w:rsidR="00AC077A" w:rsidRDefault="00AC077A">
      <w:pPr>
        <w:spacing w:line="240" w:lineRule="auto"/>
        <w:jc w:val="both"/>
        <w:rPr>
          <w:color w:val="000000"/>
        </w:rPr>
      </w:pPr>
    </w:p>
    <w:p w14:paraId="09F8F2AF" w14:textId="77777777" w:rsidR="00AC077A" w:rsidRDefault="00AC077A">
      <w:pPr>
        <w:spacing w:line="240" w:lineRule="auto"/>
        <w:jc w:val="both"/>
        <w:rPr>
          <w:color w:val="000000"/>
        </w:rPr>
      </w:pPr>
    </w:p>
    <w:p w14:paraId="2E82DA33" w14:textId="77777777" w:rsidR="00AC077A" w:rsidRDefault="00AC077A">
      <w:pPr>
        <w:spacing w:line="240" w:lineRule="auto"/>
        <w:jc w:val="both"/>
        <w:rPr>
          <w:color w:val="000000"/>
        </w:rPr>
      </w:pPr>
    </w:p>
    <w:p w14:paraId="6CF999F6" w14:textId="77777777" w:rsidR="00AC077A" w:rsidRDefault="00AC077A">
      <w:pPr>
        <w:spacing w:line="240" w:lineRule="auto"/>
        <w:jc w:val="both"/>
        <w:rPr>
          <w:color w:val="000000"/>
        </w:rPr>
      </w:pPr>
    </w:p>
    <w:p w14:paraId="3E945E7D" w14:textId="77777777" w:rsidR="00AC077A" w:rsidRDefault="00AC077A">
      <w:pPr>
        <w:spacing w:line="240" w:lineRule="auto"/>
        <w:jc w:val="both"/>
        <w:rPr>
          <w:color w:val="000000"/>
        </w:rPr>
      </w:pPr>
    </w:p>
    <w:p w14:paraId="5CF9BF72" w14:textId="77777777" w:rsidR="00AC077A" w:rsidRDefault="00AC077A">
      <w:pPr>
        <w:spacing w:line="240" w:lineRule="auto"/>
        <w:jc w:val="both"/>
        <w:rPr>
          <w:color w:val="000000"/>
        </w:rPr>
      </w:pPr>
    </w:p>
    <w:p w14:paraId="743250AD" w14:textId="77777777" w:rsidR="00AC077A" w:rsidRDefault="00AC077A">
      <w:pPr>
        <w:spacing w:line="240" w:lineRule="auto"/>
        <w:jc w:val="both"/>
        <w:rPr>
          <w:color w:val="000000"/>
        </w:rPr>
      </w:pPr>
    </w:p>
    <w:p w14:paraId="494DFC00" w14:textId="77777777" w:rsidR="00AC077A" w:rsidRDefault="00AC077A">
      <w:pPr>
        <w:spacing w:line="240" w:lineRule="auto"/>
        <w:jc w:val="both"/>
        <w:rPr>
          <w:b/>
          <w:color w:val="000000"/>
        </w:rPr>
      </w:pPr>
    </w:p>
    <w:p w14:paraId="4FC96F48" w14:textId="77777777" w:rsidR="00AC077A" w:rsidRDefault="00AC077A">
      <w:pPr>
        <w:spacing w:line="240" w:lineRule="auto"/>
        <w:jc w:val="both"/>
        <w:rPr>
          <w:b/>
          <w:color w:val="000000"/>
        </w:rPr>
      </w:pPr>
    </w:p>
    <w:p w14:paraId="7DBEEA7B" w14:textId="77777777" w:rsidR="00AC077A" w:rsidRDefault="00AC077A">
      <w:pPr>
        <w:widowControl w:val="0"/>
        <w:pBdr>
          <w:top w:val="nil"/>
          <w:left w:val="nil"/>
          <w:bottom w:val="nil"/>
          <w:right w:val="nil"/>
          <w:between w:val="nil"/>
        </w:pBdr>
        <w:spacing w:after="240" w:line="480" w:lineRule="auto"/>
        <w:rPr>
          <w:color w:val="000000"/>
        </w:rPr>
      </w:pPr>
    </w:p>
    <w:p w14:paraId="20365BE9" w14:textId="77777777" w:rsidR="00AC077A" w:rsidRDefault="00AC077A">
      <w:pPr>
        <w:widowControl w:val="0"/>
        <w:pBdr>
          <w:top w:val="nil"/>
          <w:left w:val="nil"/>
          <w:bottom w:val="nil"/>
          <w:right w:val="nil"/>
          <w:between w:val="nil"/>
        </w:pBdr>
        <w:rPr>
          <w:color w:val="000000"/>
        </w:rPr>
      </w:pPr>
    </w:p>
    <w:p w14:paraId="6070AA6C" w14:textId="77777777" w:rsidR="00AC077A" w:rsidRDefault="00AC077A">
      <w:pPr>
        <w:rPr>
          <w:color w:val="000000"/>
        </w:rPr>
      </w:pPr>
    </w:p>
    <w:sectPr w:rsidR="00AC077A">
      <w:pgSz w:w="12240" w:h="15840"/>
      <w:pgMar w:top="1440" w:right="1440" w:bottom="1440" w:left="1440" w:header="720" w:footer="720" w:gutter="0"/>
      <w:lnNumType w:countBy="1" w:restart="continuous"/>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embedRegular r:id="rId1" w:fontKey="{C005DF01-B313-204E-9638-EBC057F8B78A}"/>
    <w:embedBold r:id="rId2" w:fontKey="{34923380-FE2B-5B4C-B1AB-04EE9E609FB3}"/>
    <w:embedItalic r:id="rId3" w:fontKey="{0FE180F6-62CE-F149-ADDD-889FF2861067}"/>
  </w:font>
  <w:font w:name="Courier New">
    <w:panose1 w:val="02070309020205020404"/>
    <w:charset w:val="00"/>
    <w:family w:val="modern"/>
    <w:pitch w:val="fixed"/>
    <w:sig w:usb0="E0002AFF" w:usb1="C0007843" w:usb2="00000009" w:usb3="00000000" w:csb0="000001FF" w:csb1="00000000"/>
    <w:embedRegular r:id="rId4" w:fontKey="{4A06ADFD-25FB-5D40-B888-3A7E96ADE855}"/>
  </w:font>
  <w:font w:name="Noto Sans Symbols">
    <w:panose1 w:val="020B0604020202020204"/>
    <w:charset w:val="00"/>
    <w:family w:val="auto"/>
    <w:pitch w:val="default"/>
    <w:embedRegular r:id="rId5" w:fontKey="{4249663C-126E-9347-95C7-07131F7AC9A1}"/>
  </w:font>
  <w:font w:name="Aptos Display">
    <w:panose1 w:val="020B0004020202020204"/>
    <w:charset w:val="00"/>
    <w:family w:val="swiss"/>
    <w:pitch w:val="variable"/>
    <w:sig w:usb0="20000287" w:usb1="00000003" w:usb2="00000000" w:usb3="00000000" w:csb0="0000019F" w:csb1="00000000"/>
    <w:embedRegular r:id="rId6" w:fontKey="{909CB7D4-77FA-4548-8A50-6BCD14B97457}"/>
  </w:font>
  <w:font w:name="Times New Roman">
    <w:panose1 w:val="02020603050405020304"/>
    <w:charset w:val="00"/>
    <w:family w:val="roman"/>
    <w:pitch w:val="variable"/>
    <w:sig w:usb0="E0002EFF" w:usb1="C000785B" w:usb2="00000009" w:usb3="00000000" w:csb0="000001FF" w:csb1="00000000"/>
    <w:embedRegular r:id="rId7" w:fontKey="{492914C2-38E4-1748-918C-758DD95BFA80}"/>
    <w:embedBold r:id="rId8" w:fontKey="{DEF297EB-C9D1-1A46-BB2A-2BAAD9C06CF9}"/>
    <w:embedItalic r:id="rId9" w:fontKey="{3A153A24-346B-6546-91EB-65C37F69BE5A}"/>
  </w:font>
  <w:font w:name="Aptos">
    <w:panose1 w:val="020B0004020202020204"/>
    <w:charset w:val="00"/>
    <w:family w:val="swiss"/>
    <w:pitch w:val="variable"/>
    <w:sig w:usb0="20000287" w:usb1="00000003" w:usb2="00000000" w:usb3="00000000" w:csb0="0000019F" w:csb1="00000000"/>
    <w:embedRegular r:id="rId10" w:fontKey="{39B6A976-A539-E640-A756-DB3108D85D76}"/>
  </w:font>
  <w:font w:name="Arial Unicode MS">
    <w:panose1 w:val="020B0604020202020204"/>
    <w:charset w:val="80"/>
    <w:family w:val="swiss"/>
    <w:pitch w:val="variable"/>
    <w:sig w:usb0="F7FFAFFF" w:usb1="E9DFFFFF" w:usb2="0000003F" w:usb3="00000000" w:csb0="003F01FF" w:csb1="00000000"/>
    <w:embedRegular r:id="rId11" w:subsetted="1" w:fontKey="{858AA468-2669-2C42-A699-8CF50B22CABA}"/>
    <w:embedBold r:id="rId12" w:subsetted="1" w:fontKey="{FFE55471-A3DC-D344-B9A0-E22D66D9064C}"/>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1B46D1"/>
    <w:multiLevelType w:val="multilevel"/>
    <w:tmpl w:val="25C8BD16"/>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F4D0565"/>
    <w:multiLevelType w:val="multilevel"/>
    <w:tmpl w:val="3038652A"/>
    <w:lvl w:ilvl="0">
      <w:start w:val="6"/>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92030290">
    <w:abstractNumId w:val="1"/>
  </w:num>
  <w:num w:numId="2" w16cid:durableId="9607214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077A"/>
    <w:rsid w:val="007F6316"/>
    <w:rsid w:val="00AC077A"/>
    <w:rsid w:val="00B516C1"/>
    <w:rsid w:val="00C30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8600C12"/>
  <w15:docId w15:val="{029DFFD1-DE8F-0D47-B4D6-A5DAF68C5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2FE1"/>
  </w:style>
  <w:style w:type="paragraph" w:styleId="Heading1">
    <w:name w:val="heading 1"/>
    <w:basedOn w:val="Normal"/>
    <w:next w:val="Normal"/>
    <w:link w:val="Heading1Char"/>
    <w:uiPriority w:val="9"/>
    <w:qFormat/>
    <w:rsid w:val="001B2FE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B2FE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B2FE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B2FE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B2FE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B2FE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B2FE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B2FE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B2FE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B2FE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B2FE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B2FE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B2FE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B2FE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B2FE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B2FE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B2FE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B2FE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B2FE1"/>
    <w:rPr>
      <w:rFonts w:eastAsiaTheme="majorEastAsia" w:cstheme="majorBidi"/>
      <w:color w:val="272727" w:themeColor="text1" w:themeTint="D8"/>
    </w:rPr>
  </w:style>
  <w:style w:type="character" w:customStyle="1" w:styleId="TitleChar">
    <w:name w:val="Title Char"/>
    <w:basedOn w:val="DefaultParagraphFont"/>
    <w:link w:val="Title"/>
    <w:uiPriority w:val="10"/>
    <w:rsid w:val="001B2F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1B2FE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B2FE1"/>
    <w:pPr>
      <w:spacing w:before="160"/>
      <w:jc w:val="center"/>
    </w:pPr>
    <w:rPr>
      <w:i/>
      <w:iCs/>
      <w:color w:val="404040" w:themeColor="text1" w:themeTint="BF"/>
    </w:rPr>
  </w:style>
  <w:style w:type="character" w:customStyle="1" w:styleId="QuoteChar">
    <w:name w:val="Quote Char"/>
    <w:basedOn w:val="DefaultParagraphFont"/>
    <w:link w:val="Quote"/>
    <w:uiPriority w:val="29"/>
    <w:rsid w:val="001B2FE1"/>
    <w:rPr>
      <w:i/>
      <w:iCs/>
      <w:color w:val="404040" w:themeColor="text1" w:themeTint="BF"/>
    </w:rPr>
  </w:style>
  <w:style w:type="paragraph" w:styleId="ListParagraph">
    <w:name w:val="List Paragraph"/>
    <w:basedOn w:val="Normal"/>
    <w:uiPriority w:val="34"/>
    <w:qFormat/>
    <w:rsid w:val="001B2FE1"/>
    <w:pPr>
      <w:ind w:left="720"/>
      <w:contextualSpacing/>
    </w:pPr>
  </w:style>
  <w:style w:type="character" w:styleId="IntenseEmphasis">
    <w:name w:val="Intense Emphasis"/>
    <w:basedOn w:val="DefaultParagraphFont"/>
    <w:uiPriority w:val="21"/>
    <w:qFormat/>
    <w:rsid w:val="001B2FE1"/>
    <w:rPr>
      <w:i/>
      <w:iCs/>
      <w:color w:val="0F4761" w:themeColor="accent1" w:themeShade="BF"/>
    </w:rPr>
  </w:style>
  <w:style w:type="paragraph" w:styleId="IntenseQuote">
    <w:name w:val="Intense Quote"/>
    <w:basedOn w:val="Normal"/>
    <w:next w:val="Normal"/>
    <w:link w:val="IntenseQuoteChar"/>
    <w:uiPriority w:val="30"/>
    <w:qFormat/>
    <w:rsid w:val="001B2FE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B2FE1"/>
    <w:rPr>
      <w:i/>
      <w:iCs/>
      <w:color w:val="0F4761" w:themeColor="accent1" w:themeShade="BF"/>
    </w:rPr>
  </w:style>
  <w:style w:type="character" w:styleId="IntenseReference">
    <w:name w:val="Intense Reference"/>
    <w:basedOn w:val="DefaultParagraphFont"/>
    <w:uiPriority w:val="32"/>
    <w:qFormat/>
    <w:rsid w:val="001B2FE1"/>
    <w:rPr>
      <w:b/>
      <w:bCs/>
      <w:smallCaps/>
      <w:color w:val="0F4761" w:themeColor="accent1" w:themeShade="BF"/>
      <w:spacing w:val="5"/>
    </w:rPr>
  </w:style>
  <w:style w:type="character" w:styleId="LineNumber">
    <w:name w:val="line number"/>
    <w:basedOn w:val="DefaultParagraphFont"/>
    <w:uiPriority w:val="99"/>
    <w:semiHidden/>
    <w:unhideWhenUsed/>
    <w:rsid w:val="001B2FE1"/>
  </w:style>
  <w:style w:type="paragraph" w:styleId="ListBullet">
    <w:name w:val="List Bullet"/>
    <w:basedOn w:val="Normal"/>
    <w:uiPriority w:val="99"/>
    <w:unhideWhenUsed/>
    <w:rsid w:val="00AD6A28"/>
    <w:pPr>
      <w:numPr>
        <w:numId w:val="2"/>
      </w:numPr>
      <w:spacing w:after="200"/>
      <w:contextualSpacing/>
    </w:pPr>
    <w:rPr>
      <w:rFonts w:asciiTheme="minorHAnsi" w:eastAsiaTheme="minorEastAsia" w:hAnsiTheme="minorHAnsi" w:cstheme="minorBid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paperpile.com/c/ZjjXu0/qU9dj" TargetMode="External"/><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hyperlink" Target="https://paperpile.com/c/ZjjXu0/dxSTR" TargetMode="External"/><Relationship Id="rId12" Type="http://schemas.openxmlformats.org/officeDocument/2006/relationships/image" Target="media/image4.png"/><Relationship Id="rId17" Type="http://schemas.openxmlformats.org/officeDocument/2006/relationships/hyperlink" Target="https://paperpile.com/c/ZjjXu0/YkJ9F"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hyperlink" Target="https://paperpile.com/c/ZjjXu0/vTX0Y" TargetMode="Externa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cCjns0Hllg46+YdxPRMhJe0U1w==">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1780</Words>
  <Characters>10149</Characters>
  <Application>Microsoft Office Word</Application>
  <DocSecurity>0</DocSecurity>
  <Lines>84</Lines>
  <Paragraphs>23</Paragraphs>
  <ScaleCrop>false</ScaleCrop>
  <Company/>
  <LinksUpToDate>false</LinksUpToDate>
  <CharactersWithSpaces>11906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Valentin-Alvarado</dc:creator>
  <cp:lastModifiedBy>Luis Valentin-Alvarado</cp:lastModifiedBy>
  <cp:revision>3</cp:revision>
  <dcterms:created xsi:type="dcterms:W3CDTF">2024-08-13T09:27:00Z</dcterms:created>
  <dcterms:modified xsi:type="dcterms:W3CDTF">2024-08-17T11:40:00Z</dcterms:modified>
</cp:coreProperties>
</file>