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FB334" w14:textId="77777777" w:rsidR="002C566D" w:rsidRPr="00261B24" w:rsidRDefault="002C566D" w:rsidP="00657FA4">
      <w:pPr>
        <w:keepNext/>
        <w:keepLines/>
        <w:snapToGrid w:val="0"/>
        <w:spacing w:line="480" w:lineRule="auto"/>
        <w:outlineLvl w:val="0"/>
        <w:rPr>
          <w:noProof/>
          <w:color w:val="000000" w:themeColor="text1"/>
          <w:szCs w:val="21"/>
        </w:rPr>
      </w:pPr>
      <w:r w:rsidRPr="00261B24">
        <w:rPr>
          <w:rFonts w:ascii="Times New Roman" w:eastAsia="等线" w:hAnsi="Times New Roman" w:cs="Times New Roman"/>
          <w:b/>
          <w:bCs/>
          <w:color w:val="000000" w:themeColor="text1"/>
          <w:kern w:val="44"/>
          <w:szCs w:val="21"/>
        </w:rPr>
        <w:t>Supplementa</w:t>
      </w:r>
      <w:r w:rsidRPr="00261B24">
        <w:rPr>
          <w:rFonts w:ascii="Times New Roman" w:eastAsia="等线" w:hAnsi="Times New Roman" w:cs="Times New Roman" w:hint="eastAsia"/>
          <w:b/>
          <w:bCs/>
          <w:color w:val="000000" w:themeColor="text1"/>
          <w:kern w:val="44"/>
          <w:szCs w:val="21"/>
        </w:rPr>
        <w:t>l</w:t>
      </w:r>
      <w:r w:rsidRPr="00261B24">
        <w:rPr>
          <w:rFonts w:ascii="Times New Roman" w:eastAsia="等线" w:hAnsi="Times New Roman" w:cs="Times New Roman"/>
          <w:b/>
          <w:bCs/>
          <w:color w:val="000000" w:themeColor="text1"/>
          <w:kern w:val="44"/>
          <w:szCs w:val="21"/>
        </w:rPr>
        <w:t xml:space="preserve"> Methods</w:t>
      </w:r>
    </w:p>
    <w:p w14:paraId="761AB997" w14:textId="77777777" w:rsidR="002C566D" w:rsidRPr="00261B24" w:rsidRDefault="002C566D" w:rsidP="00657FA4">
      <w:pPr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261B24">
        <w:rPr>
          <w:rFonts w:ascii="Times New Roman" w:hAnsi="Times New Roman" w:cs="Times New Roman"/>
          <w:b/>
          <w:bCs/>
          <w:color w:val="000000" w:themeColor="text1"/>
          <w:szCs w:val="21"/>
        </w:rPr>
        <w:t>Genomic DNA extraction</w:t>
      </w:r>
    </w:p>
    <w:p w14:paraId="7A4EBEAD" w14:textId="77777777" w:rsidR="002C566D" w:rsidRPr="00261B24" w:rsidRDefault="002C566D" w:rsidP="00657FA4">
      <w:pPr>
        <w:snapToGrid w:val="0"/>
        <w:spacing w:line="48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 w:rsidRPr="00261B24">
        <w:rPr>
          <w:rFonts w:ascii="Times New Roman" w:hAnsi="Times New Roman" w:cs="Times New Roman"/>
          <w:color w:val="000000" w:themeColor="text1"/>
          <w:szCs w:val="21"/>
        </w:rPr>
        <w:t>The muscle of a male catfish (</w:t>
      </w:r>
      <w:r w:rsidRPr="00261B24">
        <w:rPr>
          <w:rFonts w:ascii="Times New Roman" w:hAnsi="Times New Roman" w:cs="Times New Roman"/>
          <w:i/>
          <w:iCs/>
          <w:color w:val="000000" w:themeColor="text1"/>
          <w:szCs w:val="21"/>
        </w:rPr>
        <w:t xml:space="preserve">L. </w:t>
      </w:r>
      <w:proofErr w:type="spellStart"/>
      <w:r w:rsidRPr="00261B24">
        <w:rPr>
          <w:rFonts w:ascii="Times New Roman" w:hAnsi="Times New Roman" w:cs="Times New Roman"/>
          <w:i/>
          <w:iCs/>
          <w:color w:val="000000" w:themeColor="text1"/>
          <w:szCs w:val="21"/>
        </w:rPr>
        <w:t>longirostris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Günther) 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>was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prepared for genomic DNA extraction. 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 xml:space="preserve">A </w:t>
      </w:r>
      <w:bookmarkStart w:id="0" w:name="OLE_LINK36"/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DNAsecure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Kit</w:t>
      </w:r>
      <w:bookmarkEnd w:id="0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(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TIANGEN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, Beijing, China) 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>was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used 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>to extract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the genomic DNA according to the 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>instructions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. DNA was tested for degradation and contamination on 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 xml:space="preserve">a 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>1% agarose gel.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 xml:space="preserve"> A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NanoPhotometer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>® spectrophotometer (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IMPLEN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>, CA, USA) was used to check the purity of genomic DNA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>,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and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 xml:space="preserve"> the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DNA concentration was determined by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 xml:space="preserve"> a fluorometer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(Life Technologies, CA, USA). The second-generation genome was sequenced using 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 xml:space="preserve">the 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Illumina </w:t>
      </w:r>
      <w:proofErr w:type="spellStart"/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>HiSeq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platform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>,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and the third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>-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generation genome sequencing 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>was performed using the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ONT platform (Oxford Nanopore Technologies).</w:t>
      </w:r>
    </w:p>
    <w:p w14:paraId="39F5F78C" w14:textId="77777777" w:rsidR="002C566D" w:rsidRPr="00261B24" w:rsidRDefault="002C566D" w:rsidP="00657FA4">
      <w:pPr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261B24">
        <w:rPr>
          <w:rFonts w:ascii="Times New Roman" w:hAnsi="Times New Roman" w:cs="Times New Roman"/>
          <w:b/>
          <w:bCs/>
          <w:color w:val="000000" w:themeColor="text1"/>
          <w:szCs w:val="21"/>
        </w:rPr>
        <w:t>The transcriptome and the complete transcriptome for annotation of the assembled genome</w:t>
      </w:r>
    </w:p>
    <w:p w14:paraId="2C2683B6" w14:textId="1BB25888" w:rsidR="002C566D" w:rsidRPr="00261B24" w:rsidRDefault="002C566D" w:rsidP="00657FA4">
      <w:pPr>
        <w:snapToGrid w:val="0"/>
        <w:spacing w:line="48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Brain, muscle, liver, kidney, heart, and spleen tissues from fish used for genomic DNA extraction were prepared for transcriptome libraries. RNA extraction from the tissues was performed according to the instructions of the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TRIzol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Universal Kit (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TIANGEN</w:t>
      </w:r>
      <w:proofErr w:type="spellEnd"/>
      <w:r w:rsidR="00912837" w:rsidRPr="00261B24">
        <w:rPr>
          <w:rFonts w:ascii="Times New Roman" w:hAnsi="Times New Roman" w:cs="Times New Roman" w:hint="eastAsia"/>
          <w:color w:val="000000" w:themeColor="text1"/>
          <w:szCs w:val="21"/>
        </w:rPr>
        <w:t>, Beijing, China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>). Transcriptome libraries from the tissues were sequenced using the Illumina PE150 platform. RNA from the tissues was combined into a single sample, and a structured full-length transcriptome library was constructed. The full-length transcriptome library was sequenced using the ONT platform.</w:t>
      </w:r>
      <w:r w:rsidRPr="00261B24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</w:p>
    <w:p w14:paraId="5C97AC64" w14:textId="77777777" w:rsidR="002C566D" w:rsidRPr="00261B24" w:rsidRDefault="002C566D" w:rsidP="00657FA4">
      <w:pPr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bookmarkStart w:id="1" w:name="_Hlk158198848"/>
      <w:r w:rsidRPr="00261B24">
        <w:rPr>
          <w:rFonts w:ascii="Times New Roman" w:hAnsi="Times New Roman" w:cs="Times New Roman"/>
          <w:b/>
          <w:bCs/>
          <w:i/>
          <w:iCs/>
          <w:color w:val="000000" w:themeColor="text1"/>
          <w:szCs w:val="21"/>
        </w:rPr>
        <w:t>tas1r3</w:t>
      </w:r>
      <w:r w:rsidRPr="00261B24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knockout in zebrafish</w:t>
      </w:r>
    </w:p>
    <w:bookmarkEnd w:id="1"/>
    <w:p w14:paraId="41BD58E9" w14:textId="77777777" w:rsidR="002C566D" w:rsidRPr="00261B24" w:rsidRDefault="002C566D" w:rsidP="00657FA4">
      <w:pPr>
        <w:snapToGrid w:val="0"/>
        <w:spacing w:line="48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The gRNA targeting </w:t>
      </w:r>
      <w:r w:rsidRPr="00261B24">
        <w:rPr>
          <w:rFonts w:ascii="Times New Roman" w:hAnsi="Times New Roman" w:cs="Times New Roman"/>
          <w:i/>
          <w:iCs/>
          <w:color w:val="000000" w:themeColor="text1"/>
          <w:szCs w:val="21"/>
        </w:rPr>
        <w:t>tas1r3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in zebrafish was transcribed using 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 xml:space="preserve">a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TranscriptAid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T7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High Yield Transcription Kit (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Thermo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Fisher Scientific, Waltham, MA, USA). 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>Fifty nanograms per microliter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of each of the gRNAs synthesized for the two target sites were injected into embryos with Cas9 recombination protein and buffer (Nova protein, Shanghai, China). The </w:t>
      </w:r>
      <w:r w:rsidRPr="00261B24">
        <w:rPr>
          <w:rFonts w:ascii="Times New Roman" w:hAnsi="Times New Roman" w:cs="Times New Roman"/>
          <w:i/>
          <w:iCs/>
          <w:color w:val="000000" w:themeColor="text1"/>
          <w:szCs w:val="21"/>
        </w:rPr>
        <w:t>tas1r3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heterozygote was crossed to generate the </w:t>
      </w:r>
      <w:r w:rsidRPr="00261B24">
        <w:rPr>
          <w:rFonts w:ascii="Times New Roman" w:hAnsi="Times New Roman" w:cs="Times New Roman"/>
          <w:i/>
          <w:iCs/>
          <w:color w:val="000000" w:themeColor="text1"/>
          <w:szCs w:val="21"/>
        </w:rPr>
        <w:t>tas1r3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homozygous fish. Male fish from the 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>offspring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derived from heterozygotes mating at 3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mpf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were genotyped, sampled, and analyzed. 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>Genotyping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examination (</w:t>
      </w:r>
      <w:r w:rsidRPr="00261B24">
        <w:rPr>
          <w:rFonts w:ascii="Times New Roman" w:hAnsi="Times New Roman" w:cs="Times New Roman"/>
          <w:i/>
          <w:iCs/>
          <w:color w:val="000000" w:themeColor="text1"/>
          <w:szCs w:val="21"/>
        </w:rPr>
        <w:t>tas1r3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+/+, </w:t>
      </w:r>
      <w:r w:rsidRPr="00261B24">
        <w:rPr>
          <w:rFonts w:ascii="Times New Roman" w:hAnsi="Times New Roman" w:cs="Times New Roman"/>
          <w:i/>
          <w:iCs/>
          <w:color w:val="000000" w:themeColor="text1"/>
          <w:szCs w:val="21"/>
        </w:rPr>
        <w:t>tas1r3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+/-, and </w:t>
      </w:r>
      <w:r w:rsidRPr="00261B24">
        <w:rPr>
          <w:rFonts w:ascii="Times New Roman" w:hAnsi="Times New Roman" w:cs="Times New Roman"/>
          <w:i/>
          <w:iCs/>
          <w:color w:val="000000" w:themeColor="text1"/>
          <w:szCs w:val="21"/>
        </w:rPr>
        <w:t>tas1r3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-/-) 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>of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the population 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>was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performed using genomic DNA as the template.</w:t>
      </w:r>
    </w:p>
    <w:p w14:paraId="1808C1A8" w14:textId="77777777" w:rsidR="002C566D" w:rsidRPr="00261B24" w:rsidRDefault="002C566D" w:rsidP="00657FA4">
      <w:pPr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bookmarkStart w:id="2" w:name="_Hlk170311940"/>
      <w:r w:rsidRPr="00261B24">
        <w:rPr>
          <w:rFonts w:ascii="Times New Roman" w:hAnsi="Times New Roman" w:cs="Times New Roman"/>
          <w:b/>
          <w:bCs/>
          <w:color w:val="000000" w:themeColor="text1"/>
          <w:szCs w:val="21"/>
        </w:rPr>
        <w:t>Transcriptome sequencing analysis</w:t>
      </w:r>
    </w:p>
    <w:bookmarkEnd w:id="2"/>
    <w:p w14:paraId="22FA09CC" w14:textId="77777777" w:rsidR="002C566D" w:rsidRPr="00261B24" w:rsidRDefault="002C566D" w:rsidP="00657FA4">
      <w:pPr>
        <w:snapToGrid w:val="0"/>
        <w:spacing w:line="48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Total liver RNA was extracted, and 1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μg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of RNA per sample was used as input material for 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lastRenderedPageBreak/>
        <w:t>RNA sample preparations. RNA sequencing was performed u</w:t>
      </w:r>
      <w:r w:rsidRPr="00261B24">
        <w:rPr>
          <w:rFonts w:ascii="Times New Roman" w:hAnsi="Times New Roman" w:cs="Times New Roman" w:hint="eastAsia"/>
          <w:color w:val="000000" w:themeColor="text1"/>
          <w:szCs w:val="21"/>
        </w:rPr>
        <w:t>s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>ing the Illumina Nova platform (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Novogene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Technology Company, Tianjin, China). Raw data was assessed for quality control using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FastQC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(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v0.11.5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>). Adapter sequences were removed using Trim Galore. The high-quality reads were mapped to the</w:t>
      </w:r>
      <w:r w:rsidRPr="00261B24">
        <w:rPr>
          <w:color w:val="000000" w:themeColor="text1"/>
        </w:rPr>
        <w:t xml:space="preserve"> 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the </w:t>
      </w:r>
      <w:r w:rsidRPr="00261B24">
        <w:rPr>
          <w:rFonts w:ascii="Times New Roman" w:hAnsi="Times New Roman" w:cs="Times New Roman"/>
          <w:i/>
          <w:iCs/>
          <w:color w:val="000000" w:themeColor="text1"/>
          <w:szCs w:val="21"/>
        </w:rPr>
        <w:t>Danio rerio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genome (GRCz11) using HISAT2 (V2.2.0) with default parameters. The raw counts were summarized with feature Counts (Subread software, v 2.03).</w:t>
      </w:r>
      <w:r w:rsidRPr="00261B24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Differential expression analysis was performed using the DESeq2 R package (1.16.1). The </w:t>
      </w:r>
      <w:r w:rsidRPr="00261B24">
        <w:rPr>
          <w:rFonts w:ascii="Times New Roman" w:hAnsi="Times New Roman" w:cs="Times New Roman"/>
          <w:i/>
          <w:color w:val="000000" w:themeColor="text1"/>
          <w:szCs w:val="21"/>
        </w:rPr>
        <w:t>P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>-values obtained were adjusted</w:t>
      </w:r>
      <w:r w:rsidRPr="00261B24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using the Benjamini and Hochberg approach to control the FDR. The differential expression analysis was performed with the DESeq2 package (v1.30.1) using a fold change of 2 and a </w:t>
      </w:r>
      <w:r w:rsidRPr="00261B24">
        <w:rPr>
          <w:rFonts w:ascii="Times New Roman" w:hAnsi="Times New Roman" w:cs="Times New Roman" w:hint="eastAsia"/>
          <w:i/>
          <w:iCs/>
          <w:color w:val="000000" w:themeColor="text1"/>
          <w:szCs w:val="21"/>
        </w:rPr>
        <w:t>P</w:t>
      </w:r>
      <w:r w:rsidRPr="00261B24">
        <w:rPr>
          <w:rFonts w:ascii="Times New Roman" w:hAnsi="Times New Roman" w:cs="Times New Roman" w:hint="eastAsia"/>
          <w:color w:val="000000" w:themeColor="text1"/>
          <w:szCs w:val="21"/>
        </w:rPr>
        <w:t>-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value cutoff of 0.05. The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ClusterProfiler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R package was used to analyze the enrichment of DEGs in KEGG pathways.</w:t>
      </w:r>
    </w:p>
    <w:p w14:paraId="6D56A0B0" w14:textId="77777777" w:rsidR="002C566D" w:rsidRPr="00261B24" w:rsidRDefault="002C566D" w:rsidP="00657FA4">
      <w:pPr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261B24">
        <w:rPr>
          <w:rFonts w:ascii="Times New Roman" w:hAnsi="Times New Roman" w:cs="Times New Roman"/>
          <w:b/>
          <w:bCs/>
          <w:color w:val="000000" w:themeColor="text1"/>
          <w:szCs w:val="21"/>
        </w:rPr>
        <w:t>Real-time qPCR assays</w:t>
      </w:r>
    </w:p>
    <w:p w14:paraId="2F5F6804" w14:textId="77777777" w:rsidR="002C566D" w:rsidRPr="00261B24" w:rsidRDefault="002C566D" w:rsidP="00657FA4">
      <w:pPr>
        <w:snapToGrid w:val="0"/>
        <w:spacing w:line="48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Gene expression was determined using the RT-qPCR method as described by Su et al (2020) and microRNA </w:t>
      </w:r>
      <w:r w:rsidRPr="00261B24">
        <w:rPr>
          <w:rFonts w:ascii="Times New Roman" w:hAnsi="Times New Roman" w:cs="Times New Roman" w:hint="eastAsia"/>
          <w:color w:val="000000" w:themeColor="text1"/>
          <w:szCs w:val="21"/>
        </w:rPr>
        <w:t>expression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261B24">
        <w:rPr>
          <w:rFonts w:ascii="Times New Roman" w:hAnsi="Times New Roman" w:cs="Times New Roman" w:hint="eastAsia"/>
          <w:color w:val="000000" w:themeColor="text1"/>
          <w:szCs w:val="21"/>
        </w:rPr>
        <w:t>was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261B24">
        <w:rPr>
          <w:rFonts w:ascii="Times New Roman" w:hAnsi="Times New Roman" w:cs="Times New Roman" w:hint="eastAsia"/>
          <w:color w:val="000000" w:themeColor="text1"/>
          <w:szCs w:val="21"/>
        </w:rPr>
        <w:t>ana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lyzed using the method of stem-loop RT-PCR (Chen et al. 2020). The qPCR primers 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>are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listed in Supplemental Table S21. The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TransStart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® Tip Green qPCR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SuperMix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(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Transgen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, Beijing, China) and 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>a Bio–Rad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real-time system (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BioRad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Systems, Berkeley, CA, USA) were used for</w:t>
      </w:r>
      <w:r w:rsidRPr="00261B24">
        <w:rPr>
          <w:rFonts w:ascii="Times New Roman" w:eastAsia="宋体" w:hAnsi="Times New Roman" w:cs="Times New Roman"/>
          <w:color w:val="000000" w:themeColor="text1"/>
          <w:szCs w:val="21"/>
        </w:rPr>
        <w:t xml:space="preserve"> the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amplification reaction. All </w:t>
      </w:r>
      <w:r w:rsidRPr="00261B24">
        <w:rPr>
          <w:rFonts w:ascii="Times New Roman" w:hAnsi="Times New Roman" w:cs="Times New Roman" w:hint="eastAsia"/>
          <w:color w:val="000000" w:themeColor="text1"/>
          <w:szCs w:val="21"/>
        </w:rPr>
        <w:t>re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>lative mRNA expression levels were calculated using the 2</w:t>
      </w:r>
      <w:r w:rsidRPr="00261B24">
        <w:rPr>
          <w:rFonts w:ascii="Times New Roman" w:hAnsi="Times New Roman" w:cs="Times New Roman"/>
          <w:color w:val="000000" w:themeColor="text1"/>
          <w:szCs w:val="21"/>
          <w:vertAlign w:val="superscript"/>
        </w:rPr>
        <w:t>-</w:t>
      </w:r>
      <w:r w:rsidRPr="00261B24">
        <w:rPr>
          <w:rFonts w:ascii="Times New Roman" w:hAnsi="Times New Roman" w:cs="Times New Roman"/>
          <w:color w:val="000000" w:themeColor="text1"/>
          <w:szCs w:val="21"/>
          <w:vertAlign w:val="superscript"/>
        </w:rPr>
        <w:sym w:font="Symbol" w:char="F044"/>
      </w:r>
      <w:r w:rsidRPr="00261B24">
        <w:rPr>
          <w:rFonts w:ascii="Times New Roman" w:hAnsi="Times New Roman" w:cs="Times New Roman"/>
          <w:color w:val="000000" w:themeColor="text1"/>
          <w:szCs w:val="21"/>
          <w:vertAlign w:val="superscript"/>
        </w:rPr>
        <w:sym w:font="Symbol" w:char="F044"/>
      </w:r>
      <w:r w:rsidRPr="00261B24">
        <w:rPr>
          <w:rFonts w:ascii="Times New Roman" w:hAnsi="Times New Roman" w:cs="Times New Roman"/>
          <w:color w:val="000000" w:themeColor="text1"/>
          <w:szCs w:val="21"/>
          <w:vertAlign w:val="superscript"/>
        </w:rPr>
        <w:t>Ct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method.</w:t>
      </w:r>
    </w:p>
    <w:p w14:paraId="7A262077" w14:textId="77777777" w:rsidR="002C566D" w:rsidRPr="00261B24" w:rsidRDefault="002C566D" w:rsidP="00657FA4">
      <w:pPr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261B24">
        <w:rPr>
          <w:rFonts w:ascii="Times New Roman" w:hAnsi="Times New Roman" w:cs="Times New Roman"/>
          <w:b/>
          <w:bCs/>
          <w:color w:val="000000" w:themeColor="text1"/>
          <w:szCs w:val="21"/>
        </w:rPr>
        <w:t>Biochemical analysis</w:t>
      </w:r>
    </w:p>
    <w:p w14:paraId="23B86C38" w14:textId="77777777" w:rsidR="002C566D" w:rsidRPr="00261B24" w:rsidRDefault="002C566D" w:rsidP="00657FA4">
      <w:pPr>
        <w:snapToGrid w:val="0"/>
        <w:spacing w:line="480" w:lineRule="auto"/>
        <w:ind w:firstLineChars="200" w:firstLine="420"/>
        <w:rPr>
          <w:color w:val="000000" w:themeColor="text1"/>
          <w:szCs w:val="21"/>
        </w:rPr>
      </w:pPr>
      <w:r w:rsidRPr="00261B24">
        <w:rPr>
          <w:rFonts w:ascii="Times New Roman" w:hAnsi="Times New Roman" w:cs="Times New Roman"/>
          <w:color w:val="000000" w:themeColor="text1"/>
          <w:szCs w:val="21"/>
        </w:rPr>
        <w:t>Plasma total amino acid (TAA), intestinal trypsin, α-a</w:t>
      </w:r>
      <w:r w:rsidRPr="00261B24">
        <w:rPr>
          <w:rFonts w:ascii="Times New Roman" w:hAnsi="Times New Roman" w:cs="Times New Roman" w:hint="eastAsia"/>
          <w:color w:val="000000" w:themeColor="text1"/>
          <w:szCs w:val="21"/>
        </w:rPr>
        <w:t>mylase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>, and hepatic glutamic oxaloacetic transaminase (got), glutamic pyruvic transaminase (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gpt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>), glucokinase (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GCK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), and pyruvate kinase (PK) activities were determined using commercial kits following the manufacturer’s protocols (Nanjing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Jiancheng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Bioengineering Institute, Nanjing, China).</w:t>
      </w:r>
    </w:p>
    <w:p w14:paraId="751C64E6" w14:textId="77777777" w:rsidR="002C566D" w:rsidRPr="00261B24" w:rsidRDefault="002C566D" w:rsidP="00657FA4">
      <w:pPr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261B24">
        <w:rPr>
          <w:rFonts w:ascii="Times New Roman" w:hAnsi="Times New Roman" w:cs="Times New Roman"/>
          <w:b/>
          <w:bCs/>
          <w:color w:val="000000" w:themeColor="text1"/>
          <w:szCs w:val="21"/>
        </w:rPr>
        <w:t>miRNA target gene validation</w:t>
      </w:r>
    </w:p>
    <w:p w14:paraId="74C91659" w14:textId="47580233" w:rsidR="00D0215D" w:rsidRPr="00261B24" w:rsidRDefault="002C566D" w:rsidP="00657FA4">
      <w:pPr>
        <w:snapToGrid w:val="0"/>
        <w:spacing w:line="480" w:lineRule="auto"/>
        <w:ind w:firstLineChars="200" w:firstLine="420"/>
        <w:rPr>
          <w:color w:val="000000" w:themeColor="text1"/>
        </w:rPr>
      </w:pP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The miR-216b target genes were validated according to the procedure of Chen et al (2020). Briefly, the fragments of the 3’UTRs of </w:t>
      </w:r>
      <w:r w:rsidRPr="00261B24">
        <w:rPr>
          <w:rFonts w:ascii="Times New Roman" w:hAnsi="Times New Roman" w:cs="Times New Roman"/>
          <w:i/>
          <w:iCs/>
          <w:color w:val="000000" w:themeColor="text1"/>
          <w:szCs w:val="21"/>
        </w:rPr>
        <w:t>tas1r3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containing the putative miR-216b binding sites were cloned and subcloned at the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KpnI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and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XhoI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sites into the pGL3-Basic reporter vector (Promega). HEK293T cells were seeded in 24-well plates and co-transfected with pGL3-</w:t>
      </w:r>
      <w:r w:rsidRPr="00261B24">
        <w:rPr>
          <w:rFonts w:ascii="Times New Roman" w:hAnsi="Times New Roman" w:cs="Times New Roman"/>
          <w:i/>
          <w:iCs/>
          <w:color w:val="000000" w:themeColor="text1"/>
          <w:szCs w:val="21"/>
        </w:rPr>
        <w:t>tas1r3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reporter vector (0.4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μg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), the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miR-216b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mimic (40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nM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), and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pTK-Renilla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(0.01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μg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, as an internal control) with </w:t>
      </w:r>
      <w:proofErr w:type="spellStart"/>
      <w:r w:rsidRPr="00261B24">
        <w:rPr>
          <w:rFonts w:ascii="Times New Roman" w:hAnsi="Times New Roman" w:cs="Times New Roman"/>
          <w:color w:val="000000" w:themeColor="text1"/>
          <w:szCs w:val="21"/>
        </w:rPr>
        <w:t>VigoFect</w:t>
      </w:r>
      <w:proofErr w:type="spellEnd"/>
      <w:r w:rsidRPr="00261B24">
        <w:rPr>
          <w:rFonts w:ascii="Times New Roman" w:hAnsi="Times New Roman" w:cs="Times New Roman"/>
          <w:color w:val="000000" w:themeColor="text1"/>
          <w:szCs w:val="21"/>
        </w:rPr>
        <w:t xml:space="preserve"> (Vigorous Biotechnology, China). Luciferase activity was measured 24 h after transfection </w:t>
      </w:r>
      <w:r w:rsidRPr="00261B24">
        <w:rPr>
          <w:rFonts w:ascii="Times New Roman" w:hAnsi="Times New Roman" w:cs="Times New Roman"/>
          <w:color w:val="000000" w:themeColor="text1"/>
          <w:szCs w:val="21"/>
        </w:rPr>
        <w:lastRenderedPageBreak/>
        <w:t>using the Dual-luciferase Reporter Assay System (Promega, Madison, WI, USA).</w:t>
      </w:r>
    </w:p>
    <w:sectPr w:rsidR="00D0215D" w:rsidRPr="00261B24" w:rsidSect="00730A88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F10D4" w14:textId="77777777" w:rsidR="003873DC" w:rsidRDefault="003873DC" w:rsidP="00421734">
      <w:r>
        <w:separator/>
      </w:r>
    </w:p>
  </w:endnote>
  <w:endnote w:type="continuationSeparator" w:id="0">
    <w:p w14:paraId="59962D98" w14:textId="77777777" w:rsidR="003873DC" w:rsidRDefault="003873DC" w:rsidP="0042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77CC1" w14:textId="77777777" w:rsidR="003873DC" w:rsidRDefault="003873DC" w:rsidP="00421734">
      <w:r>
        <w:separator/>
      </w:r>
    </w:p>
  </w:footnote>
  <w:footnote w:type="continuationSeparator" w:id="0">
    <w:p w14:paraId="221CBB07" w14:textId="77777777" w:rsidR="003873DC" w:rsidRDefault="003873DC" w:rsidP="00421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A1A62"/>
    <w:multiLevelType w:val="hybridMultilevel"/>
    <w:tmpl w:val="304C52B0"/>
    <w:lvl w:ilvl="0" w:tplc="26526A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7570C5"/>
    <w:multiLevelType w:val="hybridMultilevel"/>
    <w:tmpl w:val="25AA4214"/>
    <w:lvl w:ilvl="0" w:tplc="428C6CB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FF03A2"/>
    <w:multiLevelType w:val="hybridMultilevel"/>
    <w:tmpl w:val="855240D4"/>
    <w:lvl w:ilvl="0" w:tplc="A22CEA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40680937">
    <w:abstractNumId w:val="0"/>
  </w:num>
  <w:num w:numId="2" w16cid:durableId="1524317954">
    <w:abstractNumId w:val="1"/>
  </w:num>
  <w:num w:numId="3" w16cid:durableId="436172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E4"/>
    <w:rsid w:val="0000306F"/>
    <w:rsid w:val="00006DE5"/>
    <w:rsid w:val="000248DE"/>
    <w:rsid w:val="0002532F"/>
    <w:rsid w:val="0003035F"/>
    <w:rsid w:val="000315B2"/>
    <w:rsid w:val="00032010"/>
    <w:rsid w:val="000368F6"/>
    <w:rsid w:val="00045953"/>
    <w:rsid w:val="000478A1"/>
    <w:rsid w:val="00051115"/>
    <w:rsid w:val="0006080C"/>
    <w:rsid w:val="00061F65"/>
    <w:rsid w:val="000660E3"/>
    <w:rsid w:val="000675FC"/>
    <w:rsid w:val="00067DA5"/>
    <w:rsid w:val="00071470"/>
    <w:rsid w:val="00081B7D"/>
    <w:rsid w:val="000839B0"/>
    <w:rsid w:val="00085E21"/>
    <w:rsid w:val="000976DD"/>
    <w:rsid w:val="000A0613"/>
    <w:rsid w:val="000A47A0"/>
    <w:rsid w:val="000A4D97"/>
    <w:rsid w:val="000D3544"/>
    <w:rsid w:val="000D3933"/>
    <w:rsid w:val="000D4294"/>
    <w:rsid w:val="000E2716"/>
    <w:rsid w:val="000F37C2"/>
    <w:rsid w:val="000F3A67"/>
    <w:rsid w:val="000F6635"/>
    <w:rsid w:val="00105F27"/>
    <w:rsid w:val="0011202E"/>
    <w:rsid w:val="00114F4D"/>
    <w:rsid w:val="00115F9F"/>
    <w:rsid w:val="001179AC"/>
    <w:rsid w:val="0012104F"/>
    <w:rsid w:val="001424A4"/>
    <w:rsid w:val="001426C2"/>
    <w:rsid w:val="00147361"/>
    <w:rsid w:val="00151D3E"/>
    <w:rsid w:val="0015773A"/>
    <w:rsid w:val="001605BC"/>
    <w:rsid w:val="00162E2C"/>
    <w:rsid w:val="001638A1"/>
    <w:rsid w:val="00174542"/>
    <w:rsid w:val="00183EAB"/>
    <w:rsid w:val="00184D0D"/>
    <w:rsid w:val="00185829"/>
    <w:rsid w:val="00186495"/>
    <w:rsid w:val="00190F76"/>
    <w:rsid w:val="001931D5"/>
    <w:rsid w:val="00197361"/>
    <w:rsid w:val="001A04B0"/>
    <w:rsid w:val="001A108B"/>
    <w:rsid w:val="001A13BF"/>
    <w:rsid w:val="001A2F38"/>
    <w:rsid w:val="001A355B"/>
    <w:rsid w:val="001A3755"/>
    <w:rsid w:val="001B1610"/>
    <w:rsid w:val="001B2DF9"/>
    <w:rsid w:val="001B3F03"/>
    <w:rsid w:val="001C0FB9"/>
    <w:rsid w:val="001C11E7"/>
    <w:rsid w:val="001C4DFF"/>
    <w:rsid w:val="001C6F0E"/>
    <w:rsid w:val="001D1E01"/>
    <w:rsid w:val="001F2084"/>
    <w:rsid w:val="002123D9"/>
    <w:rsid w:val="002149F7"/>
    <w:rsid w:val="002308E5"/>
    <w:rsid w:val="00232831"/>
    <w:rsid w:val="0024500B"/>
    <w:rsid w:val="0024664C"/>
    <w:rsid w:val="00247EDC"/>
    <w:rsid w:val="002523D7"/>
    <w:rsid w:val="0025583F"/>
    <w:rsid w:val="00256CE2"/>
    <w:rsid w:val="00261B24"/>
    <w:rsid w:val="00263052"/>
    <w:rsid w:val="00265D72"/>
    <w:rsid w:val="00266E4F"/>
    <w:rsid w:val="002730B7"/>
    <w:rsid w:val="00274847"/>
    <w:rsid w:val="00275D74"/>
    <w:rsid w:val="002779A2"/>
    <w:rsid w:val="002802DC"/>
    <w:rsid w:val="00281966"/>
    <w:rsid w:val="002837A5"/>
    <w:rsid w:val="00296FE0"/>
    <w:rsid w:val="002A0A14"/>
    <w:rsid w:val="002A2286"/>
    <w:rsid w:val="002A2A0A"/>
    <w:rsid w:val="002A6726"/>
    <w:rsid w:val="002B0AF9"/>
    <w:rsid w:val="002B2B00"/>
    <w:rsid w:val="002B4705"/>
    <w:rsid w:val="002C2ECA"/>
    <w:rsid w:val="002C4511"/>
    <w:rsid w:val="002C4FFB"/>
    <w:rsid w:val="002C566D"/>
    <w:rsid w:val="002D2418"/>
    <w:rsid w:val="002D38B7"/>
    <w:rsid w:val="002D41A7"/>
    <w:rsid w:val="002D5770"/>
    <w:rsid w:val="002D7A05"/>
    <w:rsid w:val="002E22AC"/>
    <w:rsid w:val="002E6309"/>
    <w:rsid w:val="002F1D0C"/>
    <w:rsid w:val="002F5785"/>
    <w:rsid w:val="00300C8C"/>
    <w:rsid w:val="00302685"/>
    <w:rsid w:val="003040C4"/>
    <w:rsid w:val="00306115"/>
    <w:rsid w:val="003079E4"/>
    <w:rsid w:val="00322410"/>
    <w:rsid w:val="00331B40"/>
    <w:rsid w:val="00334E8B"/>
    <w:rsid w:val="00344564"/>
    <w:rsid w:val="00360109"/>
    <w:rsid w:val="00364250"/>
    <w:rsid w:val="00371246"/>
    <w:rsid w:val="00371951"/>
    <w:rsid w:val="00372BD8"/>
    <w:rsid w:val="00375E4B"/>
    <w:rsid w:val="003833BF"/>
    <w:rsid w:val="0038455C"/>
    <w:rsid w:val="003873DC"/>
    <w:rsid w:val="003914BA"/>
    <w:rsid w:val="00391E1B"/>
    <w:rsid w:val="00392B36"/>
    <w:rsid w:val="00397527"/>
    <w:rsid w:val="003A15D2"/>
    <w:rsid w:val="003A485B"/>
    <w:rsid w:val="003A6CD4"/>
    <w:rsid w:val="003B302B"/>
    <w:rsid w:val="003B5B97"/>
    <w:rsid w:val="003B6ECD"/>
    <w:rsid w:val="003C4A66"/>
    <w:rsid w:val="003D15B5"/>
    <w:rsid w:val="003E1F5D"/>
    <w:rsid w:val="003F5810"/>
    <w:rsid w:val="003F6238"/>
    <w:rsid w:val="003F6ED3"/>
    <w:rsid w:val="0040614D"/>
    <w:rsid w:val="0040770F"/>
    <w:rsid w:val="00413639"/>
    <w:rsid w:val="00414B86"/>
    <w:rsid w:val="00417278"/>
    <w:rsid w:val="00421734"/>
    <w:rsid w:val="00425FB5"/>
    <w:rsid w:val="00437357"/>
    <w:rsid w:val="004431AE"/>
    <w:rsid w:val="0044493F"/>
    <w:rsid w:val="00444FEE"/>
    <w:rsid w:val="00445A4C"/>
    <w:rsid w:val="00445A5F"/>
    <w:rsid w:val="0044612E"/>
    <w:rsid w:val="0045478D"/>
    <w:rsid w:val="00474E43"/>
    <w:rsid w:val="00477097"/>
    <w:rsid w:val="00484AAD"/>
    <w:rsid w:val="0049257C"/>
    <w:rsid w:val="004A072D"/>
    <w:rsid w:val="004B11E8"/>
    <w:rsid w:val="004B5F72"/>
    <w:rsid w:val="004C4F96"/>
    <w:rsid w:val="004D70E6"/>
    <w:rsid w:val="004D7739"/>
    <w:rsid w:val="004E1C98"/>
    <w:rsid w:val="004E3B33"/>
    <w:rsid w:val="004F6486"/>
    <w:rsid w:val="004F6653"/>
    <w:rsid w:val="00504DA4"/>
    <w:rsid w:val="00505569"/>
    <w:rsid w:val="005069D7"/>
    <w:rsid w:val="00511CAA"/>
    <w:rsid w:val="00512944"/>
    <w:rsid w:val="0051717F"/>
    <w:rsid w:val="005205C9"/>
    <w:rsid w:val="00523C07"/>
    <w:rsid w:val="00525494"/>
    <w:rsid w:val="0053115C"/>
    <w:rsid w:val="005319DB"/>
    <w:rsid w:val="005332F4"/>
    <w:rsid w:val="005369B3"/>
    <w:rsid w:val="00537691"/>
    <w:rsid w:val="005444BE"/>
    <w:rsid w:val="00545C02"/>
    <w:rsid w:val="00551B2D"/>
    <w:rsid w:val="00551CF4"/>
    <w:rsid w:val="0055496B"/>
    <w:rsid w:val="00560C20"/>
    <w:rsid w:val="0057070E"/>
    <w:rsid w:val="00573161"/>
    <w:rsid w:val="00574D3F"/>
    <w:rsid w:val="00577DA1"/>
    <w:rsid w:val="00582A2F"/>
    <w:rsid w:val="00583624"/>
    <w:rsid w:val="00585C85"/>
    <w:rsid w:val="005A0D49"/>
    <w:rsid w:val="005A212E"/>
    <w:rsid w:val="005A695B"/>
    <w:rsid w:val="005B61C3"/>
    <w:rsid w:val="005B7C14"/>
    <w:rsid w:val="005C02F0"/>
    <w:rsid w:val="005C21F7"/>
    <w:rsid w:val="005D2746"/>
    <w:rsid w:val="005D6EE6"/>
    <w:rsid w:val="005E33F2"/>
    <w:rsid w:val="005F2FD2"/>
    <w:rsid w:val="005F4D79"/>
    <w:rsid w:val="00600241"/>
    <w:rsid w:val="00602B75"/>
    <w:rsid w:val="00611762"/>
    <w:rsid w:val="00611E31"/>
    <w:rsid w:val="0061732D"/>
    <w:rsid w:val="006269AC"/>
    <w:rsid w:val="00630051"/>
    <w:rsid w:val="0063418E"/>
    <w:rsid w:val="00651865"/>
    <w:rsid w:val="00654AE2"/>
    <w:rsid w:val="00657FA4"/>
    <w:rsid w:val="00664376"/>
    <w:rsid w:val="00664822"/>
    <w:rsid w:val="00666586"/>
    <w:rsid w:val="006677F8"/>
    <w:rsid w:val="00672AB8"/>
    <w:rsid w:val="00673B35"/>
    <w:rsid w:val="006763E6"/>
    <w:rsid w:val="00683AC3"/>
    <w:rsid w:val="0068560A"/>
    <w:rsid w:val="00690936"/>
    <w:rsid w:val="00693156"/>
    <w:rsid w:val="006A063E"/>
    <w:rsid w:val="006B06EB"/>
    <w:rsid w:val="006C0A54"/>
    <w:rsid w:val="006D1C83"/>
    <w:rsid w:val="006E58DB"/>
    <w:rsid w:val="006E6460"/>
    <w:rsid w:val="00701D61"/>
    <w:rsid w:val="007105EF"/>
    <w:rsid w:val="00714015"/>
    <w:rsid w:val="007141B8"/>
    <w:rsid w:val="0071700A"/>
    <w:rsid w:val="00717111"/>
    <w:rsid w:val="00730A88"/>
    <w:rsid w:val="007327CB"/>
    <w:rsid w:val="007345BD"/>
    <w:rsid w:val="00735D50"/>
    <w:rsid w:val="00744F91"/>
    <w:rsid w:val="00746F70"/>
    <w:rsid w:val="00751E62"/>
    <w:rsid w:val="00752C98"/>
    <w:rsid w:val="007540F2"/>
    <w:rsid w:val="00756BA0"/>
    <w:rsid w:val="00757C63"/>
    <w:rsid w:val="00757D46"/>
    <w:rsid w:val="00766670"/>
    <w:rsid w:val="007829C9"/>
    <w:rsid w:val="00782B06"/>
    <w:rsid w:val="0079106E"/>
    <w:rsid w:val="00797F32"/>
    <w:rsid w:val="007A0B6E"/>
    <w:rsid w:val="007A31C3"/>
    <w:rsid w:val="007C3FE3"/>
    <w:rsid w:val="007C606D"/>
    <w:rsid w:val="007D46A7"/>
    <w:rsid w:val="007E3067"/>
    <w:rsid w:val="007E70D4"/>
    <w:rsid w:val="007F00C0"/>
    <w:rsid w:val="007F04A6"/>
    <w:rsid w:val="007F5947"/>
    <w:rsid w:val="007F78AD"/>
    <w:rsid w:val="008017ED"/>
    <w:rsid w:val="00813C06"/>
    <w:rsid w:val="00817911"/>
    <w:rsid w:val="00817AC3"/>
    <w:rsid w:val="008218B8"/>
    <w:rsid w:val="0082194D"/>
    <w:rsid w:val="0082240F"/>
    <w:rsid w:val="00823C70"/>
    <w:rsid w:val="00824189"/>
    <w:rsid w:val="00824AA6"/>
    <w:rsid w:val="00826346"/>
    <w:rsid w:val="00827C84"/>
    <w:rsid w:val="0083183C"/>
    <w:rsid w:val="008331F3"/>
    <w:rsid w:val="00834C13"/>
    <w:rsid w:val="008441A8"/>
    <w:rsid w:val="00851CE9"/>
    <w:rsid w:val="00856913"/>
    <w:rsid w:val="00857027"/>
    <w:rsid w:val="00857658"/>
    <w:rsid w:val="00862D34"/>
    <w:rsid w:val="0086344D"/>
    <w:rsid w:val="008720A6"/>
    <w:rsid w:val="00874162"/>
    <w:rsid w:val="00875398"/>
    <w:rsid w:val="0087564E"/>
    <w:rsid w:val="00875BC7"/>
    <w:rsid w:val="008820DC"/>
    <w:rsid w:val="00887C27"/>
    <w:rsid w:val="00887FAA"/>
    <w:rsid w:val="00890BB9"/>
    <w:rsid w:val="00891B66"/>
    <w:rsid w:val="00895E49"/>
    <w:rsid w:val="008A2124"/>
    <w:rsid w:val="008A5E0F"/>
    <w:rsid w:val="008A756E"/>
    <w:rsid w:val="008A7E44"/>
    <w:rsid w:val="008B1A36"/>
    <w:rsid w:val="008B5CB7"/>
    <w:rsid w:val="008B71F3"/>
    <w:rsid w:val="008C18AC"/>
    <w:rsid w:val="008C55AF"/>
    <w:rsid w:val="008D7326"/>
    <w:rsid w:val="008D7AF3"/>
    <w:rsid w:val="008D7D30"/>
    <w:rsid w:val="008F5CD2"/>
    <w:rsid w:val="008F73A5"/>
    <w:rsid w:val="00903F2E"/>
    <w:rsid w:val="00912837"/>
    <w:rsid w:val="00916D46"/>
    <w:rsid w:val="0092321B"/>
    <w:rsid w:val="00923E42"/>
    <w:rsid w:val="00924A2A"/>
    <w:rsid w:val="00924C03"/>
    <w:rsid w:val="00924E5F"/>
    <w:rsid w:val="00925101"/>
    <w:rsid w:val="0094141B"/>
    <w:rsid w:val="009553EA"/>
    <w:rsid w:val="009568B8"/>
    <w:rsid w:val="009574DF"/>
    <w:rsid w:val="0096239D"/>
    <w:rsid w:val="00975206"/>
    <w:rsid w:val="00975CD0"/>
    <w:rsid w:val="0097610F"/>
    <w:rsid w:val="009833F6"/>
    <w:rsid w:val="00992971"/>
    <w:rsid w:val="00994D93"/>
    <w:rsid w:val="00997061"/>
    <w:rsid w:val="009A09A5"/>
    <w:rsid w:val="009A5D2E"/>
    <w:rsid w:val="009B02BF"/>
    <w:rsid w:val="009B0FDF"/>
    <w:rsid w:val="009B374A"/>
    <w:rsid w:val="009B792B"/>
    <w:rsid w:val="009D7E6A"/>
    <w:rsid w:val="009E117C"/>
    <w:rsid w:val="009E63EF"/>
    <w:rsid w:val="009F2A54"/>
    <w:rsid w:val="009F4FF8"/>
    <w:rsid w:val="009F5790"/>
    <w:rsid w:val="009F661A"/>
    <w:rsid w:val="00A001D4"/>
    <w:rsid w:val="00A01BC5"/>
    <w:rsid w:val="00A064A6"/>
    <w:rsid w:val="00A06D75"/>
    <w:rsid w:val="00A079CA"/>
    <w:rsid w:val="00A2446E"/>
    <w:rsid w:val="00A3412A"/>
    <w:rsid w:val="00A34815"/>
    <w:rsid w:val="00A34886"/>
    <w:rsid w:val="00A34C0B"/>
    <w:rsid w:val="00A34EE1"/>
    <w:rsid w:val="00A50925"/>
    <w:rsid w:val="00A51C98"/>
    <w:rsid w:val="00A5644E"/>
    <w:rsid w:val="00A64911"/>
    <w:rsid w:val="00A64FF7"/>
    <w:rsid w:val="00A65B25"/>
    <w:rsid w:val="00A67EE8"/>
    <w:rsid w:val="00A73523"/>
    <w:rsid w:val="00A860A2"/>
    <w:rsid w:val="00A8673F"/>
    <w:rsid w:val="00A90DF2"/>
    <w:rsid w:val="00A920C8"/>
    <w:rsid w:val="00A92C02"/>
    <w:rsid w:val="00A93D58"/>
    <w:rsid w:val="00AB12E9"/>
    <w:rsid w:val="00AC3414"/>
    <w:rsid w:val="00AD23E9"/>
    <w:rsid w:val="00AE6022"/>
    <w:rsid w:val="00AE6187"/>
    <w:rsid w:val="00AF2820"/>
    <w:rsid w:val="00AF4BF7"/>
    <w:rsid w:val="00B00CC7"/>
    <w:rsid w:val="00B07D08"/>
    <w:rsid w:val="00B1299C"/>
    <w:rsid w:val="00B253CB"/>
    <w:rsid w:val="00B3785D"/>
    <w:rsid w:val="00B41535"/>
    <w:rsid w:val="00B43A17"/>
    <w:rsid w:val="00B54E9E"/>
    <w:rsid w:val="00B6144C"/>
    <w:rsid w:val="00B622CC"/>
    <w:rsid w:val="00B648AB"/>
    <w:rsid w:val="00B65F79"/>
    <w:rsid w:val="00B71EBE"/>
    <w:rsid w:val="00B72270"/>
    <w:rsid w:val="00B74AB3"/>
    <w:rsid w:val="00B75A26"/>
    <w:rsid w:val="00B76E2A"/>
    <w:rsid w:val="00B822BB"/>
    <w:rsid w:val="00B8336A"/>
    <w:rsid w:val="00B84C82"/>
    <w:rsid w:val="00B8682C"/>
    <w:rsid w:val="00B868EF"/>
    <w:rsid w:val="00B878EE"/>
    <w:rsid w:val="00B900AA"/>
    <w:rsid w:val="00B90FFE"/>
    <w:rsid w:val="00B94963"/>
    <w:rsid w:val="00B95588"/>
    <w:rsid w:val="00BA516F"/>
    <w:rsid w:val="00BA6749"/>
    <w:rsid w:val="00BB0493"/>
    <w:rsid w:val="00BB48E4"/>
    <w:rsid w:val="00BB5169"/>
    <w:rsid w:val="00BB5FB4"/>
    <w:rsid w:val="00BC3A37"/>
    <w:rsid w:val="00BC457C"/>
    <w:rsid w:val="00BD7296"/>
    <w:rsid w:val="00BE06D2"/>
    <w:rsid w:val="00BE5096"/>
    <w:rsid w:val="00BE5D27"/>
    <w:rsid w:val="00BE602C"/>
    <w:rsid w:val="00BF5000"/>
    <w:rsid w:val="00C06A58"/>
    <w:rsid w:val="00C0788A"/>
    <w:rsid w:val="00C10F45"/>
    <w:rsid w:val="00C15666"/>
    <w:rsid w:val="00C25448"/>
    <w:rsid w:val="00C2707C"/>
    <w:rsid w:val="00C31722"/>
    <w:rsid w:val="00C33B62"/>
    <w:rsid w:val="00C34399"/>
    <w:rsid w:val="00C34538"/>
    <w:rsid w:val="00C60902"/>
    <w:rsid w:val="00C60CFE"/>
    <w:rsid w:val="00C837FD"/>
    <w:rsid w:val="00C84D48"/>
    <w:rsid w:val="00C857DA"/>
    <w:rsid w:val="00C96755"/>
    <w:rsid w:val="00CA0706"/>
    <w:rsid w:val="00CA1B31"/>
    <w:rsid w:val="00CA48E6"/>
    <w:rsid w:val="00CA631B"/>
    <w:rsid w:val="00CA75F5"/>
    <w:rsid w:val="00CB5454"/>
    <w:rsid w:val="00CB72B6"/>
    <w:rsid w:val="00CB7AB5"/>
    <w:rsid w:val="00CC77F7"/>
    <w:rsid w:val="00CC7ED1"/>
    <w:rsid w:val="00CD02B7"/>
    <w:rsid w:val="00CD412C"/>
    <w:rsid w:val="00CD52B5"/>
    <w:rsid w:val="00CE5F78"/>
    <w:rsid w:val="00CF0390"/>
    <w:rsid w:val="00CF0B42"/>
    <w:rsid w:val="00CF5FDF"/>
    <w:rsid w:val="00D018D9"/>
    <w:rsid w:val="00D0215D"/>
    <w:rsid w:val="00D03DA0"/>
    <w:rsid w:val="00D03F83"/>
    <w:rsid w:val="00D04EB5"/>
    <w:rsid w:val="00D1329B"/>
    <w:rsid w:val="00D14551"/>
    <w:rsid w:val="00D1634A"/>
    <w:rsid w:val="00D17C01"/>
    <w:rsid w:val="00D21D7E"/>
    <w:rsid w:val="00D26A5D"/>
    <w:rsid w:val="00D32936"/>
    <w:rsid w:val="00D36D41"/>
    <w:rsid w:val="00D406F7"/>
    <w:rsid w:val="00D5668F"/>
    <w:rsid w:val="00D622F8"/>
    <w:rsid w:val="00D64675"/>
    <w:rsid w:val="00D7065B"/>
    <w:rsid w:val="00D76EE5"/>
    <w:rsid w:val="00D863BE"/>
    <w:rsid w:val="00D86AC3"/>
    <w:rsid w:val="00D92083"/>
    <w:rsid w:val="00DA0619"/>
    <w:rsid w:val="00DA0790"/>
    <w:rsid w:val="00DA2BA6"/>
    <w:rsid w:val="00DA3527"/>
    <w:rsid w:val="00DA67F4"/>
    <w:rsid w:val="00DB0F2F"/>
    <w:rsid w:val="00DB4CE0"/>
    <w:rsid w:val="00DC1AC3"/>
    <w:rsid w:val="00DC3FEC"/>
    <w:rsid w:val="00DD02FC"/>
    <w:rsid w:val="00DD791D"/>
    <w:rsid w:val="00DE1BC3"/>
    <w:rsid w:val="00DE417B"/>
    <w:rsid w:val="00DF0E1F"/>
    <w:rsid w:val="00DF4FEF"/>
    <w:rsid w:val="00E01335"/>
    <w:rsid w:val="00E04EC2"/>
    <w:rsid w:val="00E04F57"/>
    <w:rsid w:val="00E0542B"/>
    <w:rsid w:val="00E1084E"/>
    <w:rsid w:val="00E111B3"/>
    <w:rsid w:val="00E149BB"/>
    <w:rsid w:val="00E154A9"/>
    <w:rsid w:val="00E16DFC"/>
    <w:rsid w:val="00E17A9A"/>
    <w:rsid w:val="00E25A86"/>
    <w:rsid w:val="00E32460"/>
    <w:rsid w:val="00E32D87"/>
    <w:rsid w:val="00E33EAA"/>
    <w:rsid w:val="00E3585D"/>
    <w:rsid w:val="00E4115E"/>
    <w:rsid w:val="00E43F69"/>
    <w:rsid w:val="00E51284"/>
    <w:rsid w:val="00E55000"/>
    <w:rsid w:val="00E57F0A"/>
    <w:rsid w:val="00E6009F"/>
    <w:rsid w:val="00E74B1E"/>
    <w:rsid w:val="00E754DA"/>
    <w:rsid w:val="00E83CAA"/>
    <w:rsid w:val="00E91263"/>
    <w:rsid w:val="00E916E9"/>
    <w:rsid w:val="00E92FC6"/>
    <w:rsid w:val="00EA0E8D"/>
    <w:rsid w:val="00EA1CFC"/>
    <w:rsid w:val="00EA2B96"/>
    <w:rsid w:val="00EB158D"/>
    <w:rsid w:val="00EB3039"/>
    <w:rsid w:val="00EB3D8A"/>
    <w:rsid w:val="00EC0002"/>
    <w:rsid w:val="00EC35DC"/>
    <w:rsid w:val="00ED0008"/>
    <w:rsid w:val="00EE5528"/>
    <w:rsid w:val="00EE58EE"/>
    <w:rsid w:val="00EE5DD5"/>
    <w:rsid w:val="00EF4AFE"/>
    <w:rsid w:val="00F01C3D"/>
    <w:rsid w:val="00F04F56"/>
    <w:rsid w:val="00F0797C"/>
    <w:rsid w:val="00F07B03"/>
    <w:rsid w:val="00F17101"/>
    <w:rsid w:val="00F20026"/>
    <w:rsid w:val="00F21BE1"/>
    <w:rsid w:val="00F238CA"/>
    <w:rsid w:val="00F27647"/>
    <w:rsid w:val="00F3435B"/>
    <w:rsid w:val="00F37419"/>
    <w:rsid w:val="00F40B3C"/>
    <w:rsid w:val="00F419C2"/>
    <w:rsid w:val="00F44EB7"/>
    <w:rsid w:val="00F455DB"/>
    <w:rsid w:val="00F4566F"/>
    <w:rsid w:val="00F52377"/>
    <w:rsid w:val="00F53B50"/>
    <w:rsid w:val="00F64C53"/>
    <w:rsid w:val="00F72CB9"/>
    <w:rsid w:val="00F7530F"/>
    <w:rsid w:val="00F7607C"/>
    <w:rsid w:val="00F76750"/>
    <w:rsid w:val="00F80AEA"/>
    <w:rsid w:val="00F80FC0"/>
    <w:rsid w:val="00F82D54"/>
    <w:rsid w:val="00F846F7"/>
    <w:rsid w:val="00F92F39"/>
    <w:rsid w:val="00F96D5F"/>
    <w:rsid w:val="00FA1E42"/>
    <w:rsid w:val="00FA3A70"/>
    <w:rsid w:val="00FA6220"/>
    <w:rsid w:val="00FA6511"/>
    <w:rsid w:val="00FA6946"/>
    <w:rsid w:val="00FB0C56"/>
    <w:rsid w:val="00FB4D88"/>
    <w:rsid w:val="00FC14C8"/>
    <w:rsid w:val="00FC1BC7"/>
    <w:rsid w:val="00FC3326"/>
    <w:rsid w:val="00FD1C6F"/>
    <w:rsid w:val="00FD3306"/>
    <w:rsid w:val="00FD6B03"/>
    <w:rsid w:val="00FE5B53"/>
    <w:rsid w:val="00FF3B8C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4B9B6"/>
  <w15:chartTrackingRefBased/>
  <w15:docId w15:val="{02E09189-90F4-4F92-B740-5DFBD4B7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0C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21734"/>
    <w:pPr>
      <w:keepNext/>
      <w:keepLines/>
      <w:snapToGrid w:val="0"/>
      <w:spacing w:line="360" w:lineRule="auto"/>
      <w:outlineLvl w:val="0"/>
    </w:pPr>
    <w:rPr>
      <w:rFonts w:ascii="Times New Roman" w:hAnsi="Times New Roman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C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1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1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173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421734"/>
    <w:rPr>
      <w:rFonts w:ascii="Times New Roman" w:hAnsi="Times New Roman"/>
      <w:b/>
      <w:bCs/>
      <w:kern w:val="44"/>
      <w:szCs w:val="44"/>
    </w:rPr>
  </w:style>
  <w:style w:type="table" w:styleId="a7">
    <w:name w:val="Table Grid"/>
    <w:basedOn w:val="a1"/>
    <w:qFormat/>
    <w:rsid w:val="0042173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E22AC"/>
    <w:rPr>
      <w:color w:val="0563C1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2E22A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B1A36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semiHidden/>
    <w:rsid w:val="00551C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81791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81791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817911"/>
    <w:rPr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791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817911"/>
    <w:rPr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17911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817911"/>
    <w:rPr>
      <w:sz w:val="18"/>
      <w:szCs w:val="18"/>
    </w:rPr>
  </w:style>
  <w:style w:type="paragraph" w:styleId="af1">
    <w:name w:val="Revision"/>
    <w:hidden/>
    <w:uiPriority w:val="99"/>
    <w:semiHidden/>
    <w:rsid w:val="00672AB8"/>
    <w:rPr>
      <w:szCs w:val="24"/>
    </w:rPr>
  </w:style>
  <w:style w:type="character" w:styleId="af2">
    <w:name w:val="line number"/>
    <w:basedOn w:val="a0"/>
    <w:uiPriority w:val="99"/>
    <w:semiHidden/>
    <w:unhideWhenUsed/>
    <w:rsid w:val="00730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FF4EC-B1A4-4D73-8FAC-DE21F9EE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A55869</dc:creator>
  <cp:keywords/>
  <dc:description/>
  <cp:lastModifiedBy>A55869</cp:lastModifiedBy>
  <cp:revision>18</cp:revision>
  <dcterms:created xsi:type="dcterms:W3CDTF">2024-02-19T09:31:00Z</dcterms:created>
  <dcterms:modified xsi:type="dcterms:W3CDTF">2024-07-11T00:49:00Z</dcterms:modified>
</cp:coreProperties>
</file>