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0EA9" w14:textId="77777777" w:rsidR="00F577CD" w:rsidRDefault="00782FF6">
      <w:pPr>
        <w:rPr>
          <w:rFonts w:ascii="Calibri" w:hAnsi="Calibri" w:cs="Calibri"/>
          <w:szCs w:val="21"/>
        </w:rPr>
      </w:pPr>
      <w:r>
        <w:rPr>
          <w:noProof/>
        </w:rPr>
        <w:drawing>
          <wp:inline distT="0" distB="0" distL="0" distR="0" wp14:anchorId="30A8AB64" wp14:editId="51C3E3C8">
            <wp:extent cx="5270500" cy="668909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4914" w14:textId="297B9BBE" w:rsidR="00F577CD" w:rsidRDefault="00F57B77">
      <w:pPr>
        <w:rPr>
          <w:rFonts w:ascii="Calibri" w:hAnsi="Calibri" w:cs="Calibri"/>
          <w:szCs w:val="21"/>
        </w:rPr>
      </w:pPr>
      <w:r>
        <w:rPr>
          <w:noProof/>
        </w:rPr>
        <w:lastRenderedPageBreak/>
        <w:drawing>
          <wp:inline distT="0" distB="0" distL="0" distR="0" wp14:anchorId="5827D8CF" wp14:editId="63888FF2">
            <wp:extent cx="5270500" cy="84950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5C61" w14:textId="77777777" w:rsidR="00F577CD" w:rsidRDefault="00782FF6">
      <w:pPr>
        <w:widowControl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/>
          <w:szCs w:val="21"/>
        </w:rPr>
        <w:br w:type="page"/>
      </w:r>
    </w:p>
    <w:p w14:paraId="46A3E674" w14:textId="46C88D94" w:rsidR="00F577CD" w:rsidRDefault="00782FF6">
      <w:pPr>
        <w:widowControl/>
        <w:rPr>
          <w:rFonts w:ascii="Calibri" w:hAnsi="Calibri" w:cs="Calibri"/>
          <w:b/>
          <w:szCs w:val="21"/>
          <w:lang w:val="en-GB"/>
        </w:rPr>
      </w:pPr>
      <w:r>
        <w:rPr>
          <w:rFonts w:ascii="Calibri" w:hAnsi="Calibri" w:cs="Calibri"/>
          <w:b/>
          <w:szCs w:val="21"/>
        </w:rPr>
        <w:lastRenderedPageBreak/>
        <w:t>Supplemental Fig S8. Hippocampal m</w:t>
      </w:r>
      <w:r>
        <w:rPr>
          <w:rFonts w:ascii="Calibri" w:hAnsi="Calibri" w:cs="Calibri"/>
          <w:b/>
          <w:szCs w:val="21"/>
          <w:vertAlign w:val="superscript"/>
        </w:rPr>
        <w:t>6</w:t>
      </w:r>
      <w:r>
        <w:rPr>
          <w:rFonts w:ascii="Calibri" w:hAnsi="Calibri" w:cs="Calibri"/>
          <w:b/>
          <w:szCs w:val="21"/>
        </w:rPr>
        <w:t xml:space="preserve">A </w:t>
      </w:r>
      <w:r>
        <w:rPr>
          <w:rFonts w:ascii="Calibri" w:hAnsi="Calibri" w:cs="Calibri" w:hint="eastAsia"/>
          <w:b/>
          <w:szCs w:val="21"/>
        </w:rPr>
        <w:t>c</w:t>
      </w:r>
      <w:r>
        <w:rPr>
          <w:rFonts w:ascii="Calibri" w:hAnsi="Calibri" w:cs="Calibri"/>
          <w:b/>
          <w:szCs w:val="21"/>
        </w:rPr>
        <w:t xml:space="preserve">haracteristics in </w:t>
      </w:r>
      <w:r>
        <w:rPr>
          <w:rFonts w:ascii="Calibri" w:hAnsi="Calibri" w:cs="Calibri"/>
          <w:b/>
          <w:i/>
          <w:iCs/>
          <w:szCs w:val="21"/>
        </w:rPr>
        <w:t>Mettl</w:t>
      </w:r>
      <w:r>
        <w:rPr>
          <w:rFonts w:ascii="Calibri" w:hAnsi="Calibri" w:cs="Calibri"/>
          <w:b/>
          <w:szCs w:val="21"/>
        </w:rPr>
        <w:t xml:space="preserve">3 </w:t>
      </w:r>
      <w:r>
        <w:rPr>
          <w:rFonts w:ascii="Calibri" w:hAnsi="Calibri" w:cs="Calibri" w:hint="eastAsia"/>
          <w:b/>
          <w:szCs w:val="21"/>
        </w:rPr>
        <w:t>k</w:t>
      </w:r>
      <w:r>
        <w:rPr>
          <w:rFonts w:ascii="Calibri" w:hAnsi="Calibri" w:cs="Calibri"/>
          <w:b/>
          <w:szCs w:val="21"/>
        </w:rPr>
        <w:t>nockout (KO) (</w:t>
      </w:r>
      <w:r>
        <w:rPr>
          <w:rFonts w:ascii="Calibri" w:hAnsi="Calibri" w:cs="Calibri"/>
          <w:b/>
          <w:i/>
          <w:iCs/>
          <w:color w:val="000000" w:themeColor="text1"/>
          <w:szCs w:val="21"/>
        </w:rPr>
        <w:t>Mettl3</w:t>
      </w:r>
      <w:r>
        <w:rPr>
          <w:rFonts w:ascii="Calibri" w:hAnsi="Calibri" w:cs="Calibri"/>
          <w:b/>
          <w:i/>
          <w:iCs/>
          <w:color w:val="000000" w:themeColor="text1"/>
          <w:szCs w:val="21"/>
          <w:vertAlign w:val="superscript"/>
        </w:rPr>
        <w:t>−/−</w:t>
      </w:r>
      <w:r>
        <w:rPr>
          <w:rFonts w:ascii="Calibri" w:hAnsi="Calibri" w:cs="Calibri"/>
          <w:b/>
          <w:i/>
          <w:iCs/>
          <w:color w:val="000000" w:themeColor="text1"/>
          <w:szCs w:val="21"/>
        </w:rPr>
        <w:t xml:space="preserve">:Emx1-Cre </w:t>
      </w:r>
      <w:r>
        <w:rPr>
          <w:rFonts w:ascii="Calibri" w:hAnsi="Calibri" w:cs="Calibri"/>
          <w:b/>
          <w:szCs w:val="21"/>
        </w:rPr>
        <w:t xml:space="preserve">) </w:t>
      </w:r>
      <w:r>
        <w:rPr>
          <w:rFonts w:ascii="Calibri" w:hAnsi="Calibri" w:cs="Calibri" w:hint="eastAsia"/>
          <w:b/>
          <w:szCs w:val="21"/>
        </w:rPr>
        <w:t>m</w:t>
      </w:r>
      <w:r>
        <w:rPr>
          <w:rFonts w:ascii="Calibri" w:hAnsi="Calibri" w:cs="Calibri"/>
          <w:b/>
          <w:szCs w:val="21"/>
        </w:rPr>
        <w:t>ice</w:t>
      </w:r>
      <w:r>
        <w:rPr>
          <w:rFonts w:ascii="Calibri" w:hAnsi="Calibri" w:cs="Calibri"/>
          <w:b/>
          <w:szCs w:val="21"/>
          <w:lang w:val="en-GB"/>
        </w:rPr>
        <w:t>.</w:t>
      </w:r>
    </w:p>
    <w:p w14:paraId="18CCDB97" w14:textId="77777777" w:rsidR="00F577CD" w:rsidRDefault="00782FF6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bCs/>
          <w:szCs w:val="21"/>
        </w:rPr>
        <w:t xml:space="preserve">(A) Schematic diagram of </w:t>
      </w:r>
      <w:r>
        <w:rPr>
          <w:rFonts w:ascii="Calibri" w:hAnsi="Calibri" w:cs="Calibri"/>
          <w:i/>
          <w:iCs/>
          <w:color w:val="000000" w:themeColor="text1"/>
          <w:szCs w:val="21"/>
        </w:rPr>
        <w:t>Mettl3</w:t>
      </w:r>
      <w:r>
        <w:rPr>
          <w:rFonts w:ascii="Calibri" w:hAnsi="Calibri" w:cs="Calibri"/>
          <w:i/>
          <w:iCs/>
          <w:color w:val="000000" w:themeColor="text1"/>
          <w:szCs w:val="21"/>
          <w:vertAlign w:val="superscript"/>
        </w:rPr>
        <w:t>f/f</w:t>
      </w:r>
      <w:r>
        <w:rPr>
          <w:rFonts w:ascii="Calibri" w:hAnsi="Calibri" w:cs="Calibri"/>
          <w:bCs/>
          <w:szCs w:val="21"/>
        </w:rPr>
        <w:t xml:space="preserve"> mice used to generate </w:t>
      </w:r>
      <w:r>
        <w:rPr>
          <w:rFonts w:ascii="Calibri" w:hAnsi="Calibri" w:cs="Calibri"/>
          <w:bCs/>
          <w:i/>
          <w:iCs/>
          <w:szCs w:val="21"/>
        </w:rPr>
        <w:t xml:space="preserve">Mettl3 </w:t>
      </w:r>
      <w:r>
        <w:rPr>
          <w:rFonts w:ascii="Calibri" w:hAnsi="Calibri" w:cs="Calibri"/>
          <w:bCs/>
          <w:szCs w:val="21"/>
        </w:rPr>
        <w:t xml:space="preserve">KO mice. The </w:t>
      </w:r>
      <w:r>
        <w:rPr>
          <w:rFonts w:ascii="Calibri" w:hAnsi="Calibri" w:cs="Calibri"/>
          <w:bCs/>
          <w:i/>
          <w:iCs/>
          <w:szCs w:val="21"/>
        </w:rPr>
        <w:t>Mettl3</w:t>
      </w:r>
      <w:r>
        <w:rPr>
          <w:rFonts w:ascii="Calibri" w:hAnsi="Calibri" w:cs="Calibri"/>
          <w:bCs/>
          <w:szCs w:val="21"/>
        </w:rPr>
        <w:t xml:space="preserve"> gene comprises 11 exons, with </w:t>
      </w:r>
      <w:r>
        <w:rPr>
          <w:rFonts w:ascii="Calibri" w:hAnsi="Calibri" w:cs="Calibri"/>
          <w:bCs/>
          <w:i/>
          <w:iCs/>
          <w:szCs w:val="21"/>
        </w:rPr>
        <w:t>LoxP</w:t>
      </w:r>
      <w:r>
        <w:rPr>
          <w:rFonts w:ascii="Calibri" w:hAnsi="Calibri" w:cs="Calibri"/>
          <w:bCs/>
          <w:szCs w:val="21"/>
        </w:rPr>
        <w:t xml:space="preserve"> sites surrounding exons 2 and 4. CRE: CRE recombinase. </w:t>
      </w:r>
    </w:p>
    <w:p w14:paraId="0610F578" w14:textId="77777777" w:rsidR="00F577CD" w:rsidRDefault="00782FF6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szCs w:val="21"/>
        </w:rPr>
        <w:t xml:space="preserve">(B) </w:t>
      </w:r>
      <w:r>
        <w:rPr>
          <w:rFonts w:ascii="Calibri" w:hAnsi="Calibri" w:cs="Calibri"/>
          <w:bCs/>
          <w:szCs w:val="21"/>
        </w:rPr>
        <w:t xml:space="preserve">Agarose gel electrophoresis image depicts the amplified fragments of the 5' flox region (top), the 3' flox region (middle), and the region from 5' flox to 3' flox (bottom). </w:t>
      </w:r>
    </w:p>
    <w:p w14:paraId="53A5A641" w14:textId="77777777" w:rsidR="00F577CD" w:rsidRDefault="00782FF6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szCs w:val="21"/>
        </w:rPr>
        <w:t xml:space="preserve">(C) </w:t>
      </w:r>
      <w:r>
        <w:rPr>
          <w:rFonts w:ascii="Calibri" w:hAnsi="Calibri" w:cs="Calibri"/>
          <w:bCs/>
          <w:szCs w:val="21"/>
        </w:rPr>
        <w:t>Mass spectrometry quantification of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>A to unmodified adenosines in mRNA. n=3; two-tailed test. ***</w:t>
      </w:r>
      <w:r>
        <w:rPr>
          <w:rFonts w:ascii="Calibri" w:hAnsi="Calibri" w:cs="Calibri"/>
          <w:bCs/>
          <w:i/>
          <w:iCs/>
          <w:szCs w:val="21"/>
        </w:rPr>
        <w:t>P</w:t>
      </w:r>
      <w:r>
        <w:rPr>
          <w:rFonts w:ascii="Calibri" w:hAnsi="Calibri" w:cs="Calibri"/>
          <w:bCs/>
          <w:szCs w:val="21"/>
        </w:rPr>
        <w:t xml:space="preserve"> </w:t>
      </w:r>
      <w:r>
        <w:rPr>
          <w:rFonts w:ascii="Calibri" w:hAnsi="Calibri" w:cs="Calibri"/>
          <w:bCs/>
          <w:szCs w:val="21"/>
        </w:rPr>
        <w:sym w:font="Symbol" w:char="F0A3"/>
      </w:r>
      <w:r>
        <w:rPr>
          <w:rFonts w:ascii="Calibri" w:hAnsi="Calibri" w:cs="Calibri"/>
          <w:bCs/>
          <w:szCs w:val="21"/>
        </w:rPr>
        <w:t>0.001.</w:t>
      </w:r>
    </w:p>
    <w:p w14:paraId="1F4EE555" w14:textId="55D0FE96" w:rsidR="00F577CD" w:rsidRDefault="00782FF6">
      <w:pPr>
        <w:rPr>
          <w:rFonts w:ascii="Calibri" w:hAnsi="Calibri" w:cs="Calibri"/>
          <w:bCs/>
          <w:szCs w:val="21"/>
        </w:rPr>
      </w:pPr>
      <w:r>
        <w:rPr>
          <w:rFonts w:ascii="Calibri" w:hAnsi="Calibri" w:cs="Calibri"/>
          <w:bCs/>
          <w:szCs w:val="21"/>
        </w:rPr>
        <w:t xml:space="preserve">(D) Uniform manifold approximation and projection (UMAP) with 5 main cell type populations identified in </w:t>
      </w:r>
      <w:r>
        <w:rPr>
          <w:rFonts w:ascii="Calibri" w:hAnsi="Calibri" w:cs="Calibri"/>
          <w:bCs/>
          <w:i/>
          <w:iCs/>
          <w:szCs w:val="21"/>
        </w:rPr>
        <w:t xml:space="preserve">Mettl3 </w:t>
      </w:r>
      <w:r>
        <w:rPr>
          <w:rFonts w:ascii="Calibri" w:hAnsi="Calibri" w:cs="Calibri"/>
          <w:bCs/>
          <w:szCs w:val="21"/>
        </w:rPr>
        <w:t xml:space="preserve">KO mice. </w:t>
      </w:r>
      <w:r w:rsidR="00D82115">
        <w:rPr>
          <w:rFonts w:ascii="Calibri" w:hAnsi="Calibri" w:cs="Calibri"/>
          <w:bCs/>
          <w:szCs w:val="21"/>
        </w:rPr>
        <w:t xml:space="preserve">NEUR: neuronal cell lineage; </w:t>
      </w:r>
      <w:r>
        <w:rPr>
          <w:rFonts w:ascii="Calibri" w:hAnsi="Calibri" w:cs="Calibri"/>
          <w:bCs/>
          <w:szCs w:val="21"/>
        </w:rPr>
        <w:t xml:space="preserve">OLG: oligodendrocyte cell lineage; </w:t>
      </w:r>
      <w:r w:rsidR="00D82115">
        <w:rPr>
          <w:rFonts w:ascii="Calibri" w:hAnsi="Calibri" w:cs="Calibri"/>
          <w:bCs/>
          <w:szCs w:val="21"/>
        </w:rPr>
        <w:t xml:space="preserve">IMC: immune cell lineage; ASC: astrocyte cell lineage; </w:t>
      </w:r>
      <w:r>
        <w:rPr>
          <w:rFonts w:ascii="Calibri" w:hAnsi="Calibri" w:cs="Calibri"/>
          <w:bCs/>
          <w:szCs w:val="21"/>
        </w:rPr>
        <w:t>EC: endothelial cell lineage; . Numbers indicate cluster number.</w:t>
      </w:r>
    </w:p>
    <w:p w14:paraId="30C0B164" w14:textId="0BE47505" w:rsidR="00F577CD" w:rsidRDefault="00782FF6">
      <w:pPr>
        <w:rPr>
          <w:rFonts w:ascii="Calibri" w:hAnsi="Calibri" w:cs="Calibri"/>
          <w:bCs/>
          <w:szCs w:val="21"/>
        </w:rPr>
      </w:pPr>
      <w:r>
        <w:rPr>
          <w:rFonts w:ascii="Calibri" w:hAnsi="Calibri" w:cs="Calibri"/>
          <w:bCs/>
          <w:szCs w:val="21"/>
        </w:rPr>
        <w:t>(E) Violin plot showing the distribution of expression levels of well-known representative cell-type-enriched marker genes across 5 cell types, 20,471 cells in total.</w:t>
      </w:r>
    </w:p>
    <w:p w14:paraId="6B62160D" w14:textId="72C28DF6" w:rsidR="00F577CD" w:rsidRDefault="00782FF6">
      <w:pPr>
        <w:rPr>
          <w:rFonts w:ascii="Calibri" w:hAnsi="Calibri" w:cs="Calibri"/>
          <w:bCs/>
          <w:szCs w:val="21"/>
        </w:rPr>
      </w:pPr>
      <w:r>
        <w:rPr>
          <w:rFonts w:ascii="Calibri" w:hAnsi="Calibri" w:cs="Calibri"/>
          <w:bCs/>
          <w:szCs w:val="21"/>
        </w:rPr>
        <w:t xml:space="preserve">(F) UMAP with expression levels of cell-type-specific marker genes identifying all 5 major cell populations. Legend colour represents RNA density. Circles were added to visualize grouped cell populations. OLG have high expression of </w:t>
      </w:r>
      <w:r>
        <w:rPr>
          <w:rFonts w:ascii="Calibri" w:hAnsi="Calibri" w:cs="Calibri"/>
          <w:bCs/>
          <w:i/>
          <w:iCs/>
          <w:szCs w:val="21"/>
        </w:rPr>
        <w:t>Sox10</w:t>
      </w:r>
      <w:r>
        <w:rPr>
          <w:rFonts w:ascii="Calibri" w:hAnsi="Calibri" w:cs="Calibri"/>
          <w:bCs/>
          <w:szCs w:val="21"/>
        </w:rPr>
        <w:t xml:space="preserve">; NEUR have high expression of </w:t>
      </w:r>
      <w:r>
        <w:rPr>
          <w:rFonts w:ascii="Calibri" w:hAnsi="Calibri" w:cs="Calibri"/>
          <w:bCs/>
          <w:i/>
          <w:iCs/>
          <w:szCs w:val="21"/>
        </w:rPr>
        <w:t>Snap25</w:t>
      </w:r>
      <w:r>
        <w:rPr>
          <w:rFonts w:ascii="Calibri" w:hAnsi="Calibri" w:cs="Calibri"/>
          <w:bCs/>
          <w:szCs w:val="21"/>
        </w:rPr>
        <w:t xml:space="preserve">; EC have high expression of </w:t>
      </w:r>
      <w:r>
        <w:rPr>
          <w:rFonts w:ascii="Calibri" w:hAnsi="Calibri" w:cs="Calibri"/>
          <w:bCs/>
          <w:i/>
          <w:iCs/>
          <w:szCs w:val="21"/>
        </w:rPr>
        <w:t>Esam</w:t>
      </w:r>
      <w:r w:rsidR="00D82115">
        <w:rPr>
          <w:rFonts w:ascii="Calibri" w:hAnsi="Calibri" w:cs="Calibri"/>
          <w:bCs/>
          <w:szCs w:val="21"/>
        </w:rPr>
        <w:t xml:space="preserve">; IMC have high expression of </w:t>
      </w:r>
      <w:r w:rsidR="00D82115">
        <w:rPr>
          <w:rFonts w:ascii="Calibri" w:hAnsi="Calibri" w:cs="Calibri"/>
          <w:bCs/>
          <w:i/>
          <w:iCs/>
          <w:szCs w:val="21"/>
        </w:rPr>
        <w:t>Lcp1</w:t>
      </w:r>
      <w:r w:rsidR="00D82115">
        <w:rPr>
          <w:rFonts w:ascii="Calibri" w:hAnsi="Calibri" w:cs="Calibri"/>
          <w:bCs/>
          <w:szCs w:val="21"/>
        </w:rPr>
        <w:t xml:space="preserve">; ASC have high expression of </w:t>
      </w:r>
      <w:r w:rsidR="00D82115">
        <w:rPr>
          <w:rFonts w:ascii="Calibri" w:hAnsi="Calibri" w:cs="Calibri"/>
          <w:bCs/>
          <w:i/>
          <w:iCs/>
          <w:szCs w:val="21"/>
        </w:rPr>
        <w:t>Gja1</w:t>
      </w:r>
      <w:r>
        <w:rPr>
          <w:rFonts w:ascii="Calibri" w:hAnsi="Calibri" w:cs="Calibri"/>
          <w:bCs/>
          <w:szCs w:val="21"/>
        </w:rPr>
        <w:t>.</w:t>
      </w:r>
    </w:p>
    <w:p w14:paraId="2CF4F0ED" w14:textId="4D477A31" w:rsidR="00F577CD" w:rsidRDefault="00782FF6">
      <w:pPr>
        <w:rPr>
          <w:rFonts w:ascii="Calibri" w:hAnsi="Calibri" w:cs="Calibri"/>
          <w:bCs/>
          <w:szCs w:val="21"/>
        </w:rPr>
      </w:pPr>
      <w:r>
        <w:rPr>
          <w:rFonts w:ascii="Calibri" w:hAnsi="Calibri" w:cs="Calibri" w:hint="eastAsia"/>
          <w:bCs/>
          <w:szCs w:val="21"/>
        </w:rPr>
        <w:t>(</w:t>
      </w:r>
      <w:r>
        <w:rPr>
          <w:rFonts w:ascii="Calibri" w:hAnsi="Calibri" w:cs="Calibri"/>
          <w:bCs/>
          <w:szCs w:val="21"/>
        </w:rPr>
        <w:t>G) UMAP</w:t>
      </w:r>
      <w:r w:rsidR="005B49B9">
        <w:rPr>
          <w:rFonts w:ascii="Calibri" w:hAnsi="Calibri" w:cs="Calibri"/>
          <w:bCs/>
          <w:szCs w:val="21"/>
        </w:rPr>
        <w:t xml:space="preserve"> with expression levels of </w:t>
      </w:r>
      <w:r w:rsidR="005B49B9" w:rsidRPr="005B49B9">
        <w:rPr>
          <w:rFonts w:ascii="Calibri" w:hAnsi="Calibri" w:cs="Calibri"/>
          <w:i/>
          <w:iCs/>
          <w:szCs w:val="21"/>
        </w:rPr>
        <w:t>Camk2a</w:t>
      </w:r>
      <w:r>
        <w:rPr>
          <w:rFonts w:ascii="Calibri" w:hAnsi="Calibri" w:cs="Calibri"/>
          <w:bCs/>
          <w:szCs w:val="21"/>
        </w:rPr>
        <w:t xml:space="preserve"> </w:t>
      </w:r>
      <w:r w:rsidR="005B49B9">
        <w:rPr>
          <w:rFonts w:ascii="Calibri" w:hAnsi="Calibri" w:cs="Calibri"/>
          <w:bCs/>
          <w:szCs w:val="21"/>
        </w:rPr>
        <w:t>in</w:t>
      </w:r>
      <w:r>
        <w:rPr>
          <w:rFonts w:ascii="Calibri" w:hAnsi="Calibri" w:cs="Calibri"/>
          <w:bCs/>
          <w:szCs w:val="21"/>
        </w:rPr>
        <w:t xml:space="preserve"> E-YTH and E-YTH</w:t>
      </w:r>
      <w:r w:rsidRPr="005B49B9">
        <w:rPr>
          <w:rFonts w:ascii="Calibri" w:hAnsi="Calibri" w:cs="Calibri"/>
          <w:bCs/>
          <w:szCs w:val="21"/>
          <w:vertAlign w:val="superscript"/>
        </w:rPr>
        <w:t>mut</w:t>
      </w:r>
      <w:r>
        <w:rPr>
          <w:rFonts w:ascii="Calibri" w:hAnsi="Calibri" w:cs="Calibri"/>
          <w:bCs/>
          <w:szCs w:val="21"/>
        </w:rPr>
        <w:t xml:space="preserve"> </w:t>
      </w:r>
      <w:r w:rsidR="005B49B9">
        <w:rPr>
          <w:rFonts w:ascii="Calibri" w:hAnsi="Calibri" w:cs="Calibri"/>
          <w:bCs/>
          <w:szCs w:val="21"/>
        </w:rPr>
        <w:t>samples</w:t>
      </w:r>
      <w:r>
        <w:rPr>
          <w:rFonts w:ascii="Calibri" w:hAnsi="Calibri" w:cs="Calibri"/>
          <w:bCs/>
          <w:szCs w:val="21"/>
        </w:rPr>
        <w:t xml:space="preserve"> </w:t>
      </w:r>
      <w:r w:rsidR="005B49B9">
        <w:rPr>
          <w:rFonts w:ascii="Calibri" w:hAnsi="Calibri" w:cs="Calibri"/>
          <w:bCs/>
          <w:szCs w:val="21"/>
        </w:rPr>
        <w:t>for</w:t>
      </w:r>
      <w:r>
        <w:rPr>
          <w:rFonts w:ascii="Calibri" w:hAnsi="Calibri" w:cs="Calibri"/>
          <w:bCs/>
          <w:szCs w:val="21"/>
        </w:rPr>
        <w:t xml:space="preserve"> both wild-type and </w:t>
      </w:r>
      <w:r w:rsidRPr="005B49B9">
        <w:rPr>
          <w:rFonts w:ascii="Calibri" w:hAnsi="Calibri" w:cs="Calibri"/>
          <w:bCs/>
          <w:i/>
          <w:iCs/>
          <w:szCs w:val="21"/>
        </w:rPr>
        <w:t>Mettl3</w:t>
      </w:r>
      <w:r>
        <w:rPr>
          <w:rFonts w:ascii="Calibri" w:hAnsi="Calibri" w:cs="Calibri"/>
          <w:bCs/>
          <w:szCs w:val="21"/>
        </w:rPr>
        <w:t xml:space="preserve"> KO mice</w:t>
      </w:r>
      <w:r w:rsidR="005B49B9">
        <w:rPr>
          <w:rFonts w:ascii="Calibri" w:hAnsi="Calibri" w:cs="Calibri"/>
          <w:bCs/>
          <w:szCs w:val="21"/>
        </w:rPr>
        <w:t>. UMAP were</w:t>
      </w:r>
      <w:r>
        <w:rPr>
          <w:rFonts w:ascii="Calibri" w:hAnsi="Calibri" w:cs="Calibri"/>
          <w:bCs/>
          <w:szCs w:val="21"/>
        </w:rPr>
        <w:t xml:space="preserve"> derived from the integration of </w:t>
      </w:r>
      <w:r w:rsidR="005B49B9">
        <w:rPr>
          <w:rFonts w:ascii="Calibri" w:hAnsi="Calibri" w:cs="Calibri"/>
          <w:bCs/>
          <w:szCs w:val="21"/>
        </w:rPr>
        <w:t xml:space="preserve">all </w:t>
      </w:r>
      <w:r>
        <w:rPr>
          <w:rFonts w:ascii="Calibri" w:hAnsi="Calibri" w:cs="Calibri"/>
          <w:bCs/>
          <w:szCs w:val="21"/>
        </w:rPr>
        <w:t>4 samples.</w:t>
      </w:r>
      <w:r>
        <w:rPr>
          <w:rFonts w:ascii="Calibri" w:hAnsi="Calibri" w:cs="Calibri"/>
          <w:szCs w:val="21"/>
        </w:rPr>
        <w:t xml:space="preserve"> Circles visualize </w:t>
      </w:r>
      <w:r w:rsidR="00F729EA">
        <w:rPr>
          <w:rFonts w:ascii="Calibri" w:hAnsi="Calibri" w:cs="Calibri"/>
          <w:szCs w:val="21"/>
        </w:rPr>
        <w:t>CAMK2A</w:t>
      </w:r>
      <w:r>
        <w:rPr>
          <w:rFonts w:ascii="Calibri" w:hAnsi="Calibri" w:cs="Calibri"/>
          <w:szCs w:val="21"/>
        </w:rPr>
        <w:t xml:space="preserve"> </w:t>
      </w:r>
      <w:r w:rsidR="005B49B9">
        <w:rPr>
          <w:rFonts w:ascii="Calibri" w:hAnsi="Calibri" w:cs="Calibri"/>
          <w:szCs w:val="21"/>
        </w:rPr>
        <w:t>neurons</w:t>
      </w:r>
      <w:r>
        <w:rPr>
          <w:rFonts w:ascii="Calibri" w:hAnsi="Calibri" w:cs="Calibri"/>
          <w:szCs w:val="21"/>
        </w:rPr>
        <w:t>.</w:t>
      </w:r>
    </w:p>
    <w:p w14:paraId="4BCB85D8" w14:textId="01F40754" w:rsidR="00F577CD" w:rsidRDefault="00782FF6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bCs/>
          <w:szCs w:val="21"/>
        </w:rPr>
        <w:t>(</w:t>
      </w:r>
      <w:r>
        <w:rPr>
          <w:rFonts w:ascii="Calibri" w:hAnsi="Calibri" w:cs="Calibri"/>
          <w:bCs/>
          <w:szCs w:val="21"/>
        </w:rPr>
        <w:t>H)</w:t>
      </w:r>
      <w:r w:rsidR="005B49B9">
        <w:rPr>
          <w:rFonts w:ascii="Calibri" w:hAnsi="Calibri" w:cs="Calibri"/>
          <w:bCs/>
          <w:szCs w:val="21"/>
        </w:rPr>
        <w:t xml:space="preserve"> </w:t>
      </w:r>
      <w:r>
        <w:rPr>
          <w:rFonts w:ascii="Calibri" w:hAnsi="Calibri" w:cs="Calibri"/>
          <w:bCs/>
          <w:szCs w:val="21"/>
        </w:rPr>
        <w:t>Number of total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>A sites and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 xml:space="preserve">A sites per cell type detected in wild-type (WT) and </w:t>
      </w:r>
      <w:r>
        <w:rPr>
          <w:rFonts w:ascii="Calibri" w:hAnsi="Calibri" w:cs="Calibri"/>
          <w:bCs/>
          <w:i/>
          <w:iCs/>
          <w:szCs w:val="21"/>
        </w:rPr>
        <w:t>Mettl3</w:t>
      </w:r>
      <w:r>
        <w:rPr>
          <w:rFonts w:ascii="Calibri" w:hAnsi="Calibri" w:cs="Calibri"/>
          <w:bCs/>
          <w:szCs w:val="21"/>
        </w:rPr>
        <w:t xml:space="preserve"> KO mice.</w:t>
      </w:r>
    </w:p>
    <w:p w14:paraId="59DA8FD3" w14:textId="2F0C4633" w:rsidR="00F577CD" w:rsidRDefault="00782FF6">
      <w:pPr>
        <w:rPr>
          <w:rFonts w:ascii="Calibri" w:hAnsi="Calibri" w:cs="Calibri"/>
          <w:bCs/>
          <w:szCs w:val="21"/>
        </w:rPr>
      </w:pPr>
      <w:r>
        <w:rPr>
          <w:rFonts w:ascii="Calibri" w:hAnsi="Calibri" w:cs="Calibri"/>
          <w:bCs/>
          <w:szCs w:val="21"/>
        </w:rPr>
        <w:t>(I) Histograms of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>A site counts over mutation per read (m/k) ratio. For wild-type, only m/k=1 sites (homogenous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>A) are shown (left). The distribution of these originally m/k=1 (homogenous) m</w:t>
      </w:r>
      <w:r>
        <w:rPr>
          <w:rFonts w:ascii="Calibri" w:hAnsi="Calibri" w:cs="Calibri"/>
          <w:bCs/>
          <w:szCs w:val="21"/>
          <w:vertAlign w:val="superscript"/>
        </w:rPr>
        <w:t>6</w:t>
      </w:r>
      <w:r>
        <w:rPr>
          <w:rFonts w:ascii="Calibri" w:hAnsi="Calibri" w:cs="Calibri"/>
          <w:bCs/>
          <w:szCs w:val="21"/>
        </w:rPr>
        <w:t xml:space="preserve">A sites changed in </w:t>
      </w:r>
      <w:r>
        <w:rPr>
          <w:rFonts w:ascii="Calibri" w:hAnsi="Calibri" w:cs="Calibri"/>
          <w:bCs/>
          <w:i/>
          <w:iCs/>
          <w:szCs w:val="21"/>
        </w:rPr>
        <w:t>Mettl3</w:t>
      </w:r>
      <w:r>
        <w:rPr>
          <w:rFonts w:ascii="Calibri" w:hAnsi="Calibri" w:cs="Calibri"/>
          <w:bCs/>
          <w:szCs w:val="21"/>
        </w:rPr>
        <w:t xml:space="preserve"> KO (right). </w:t>
      </w:r>
    </w:p>
    <w:p w14:paraId="30CC821F" w14:textId="77777777" w:rsidR="00F577CD" w:rsidRDefault="00F577CD">
      <w:pPr>
        <w:rPr>
          <w:rFonts w:ascii="Calibri" w:hAnsi="Calibri" w:cs="Calibri"/>
          <w:szCs w:val="21"/>
        </w:rPr>
      </w:pPr>
    </w:p>
    <w:sectPr w:rsidR="00F577C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C9CA9" w14:textId="77777777" w:rsidR="00F460BE" w:rsidRDefault="00F460BE" w:rsidP="00D82115">
      <w:r>
        <w:separator/>
      </w:r>
    </w:p>
  </w:endnote>
  <w:endnote w:type="continuationSeparator" w:id="0">
    <w:p w14:paraId="7F8A38B2" w14:textId="77777777" w:rsidR="00F460BE" w:rsidRDefault="00F460BE" w:rsidP="00D8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F8BDB" w14:textId="77777777" w:rsidR="00F460BE" w:rsidRDefault="00F460BE" w:rsidP="00D82115">
      <w:r>
        <w:separator/>
      </w:r>
    </w:p>
  </w:footnote>
  <w:footnote w:type="continuationSeparator" w:id="0">
    <w:p w14:paraId="21F0B19F" w14:textId="77777777" w:rsidR="00F460BE" w:rsidRDefault="00F460BE" w:rsidP="00D82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1OWI5OGJiM2NiOTc3ZTBiZWM1NzA4ZWY0YzVmNjQifQ=="/>
  </w:docVars>
  <w:rsids>
    <w:rsidRoot w:val="00E106DB"/>
    <w:rsid w:val="00017F17"/>
    <w:rsid w:val="00021379"/>
    <w:rsid w:val="00055C13"/>
    <w:rsid w:val="000563C4"/>
    <w:rsid w:val="000748C6"/>
    <w:rsid w:val="00074DD0"/>
    <w:rsid w:val="0007517C"/>
    <w:rsid w:val="00083E23"/>
    <w:rsid w:val="00086144"/>
    <w:rsid w:val="0009149C"/>
    <w:rsid w:val="000C2E98"/>
    <w:rsid w:val="000D5689"/>
    <w:rsid w:val="000D7BDC"/>
    <w:rsid w:val="00112CC5"/>
    <w:rsid w:val="00123B77"/>
    <w:rsid w:val="001363CD"/>
    <w:rsid w:val="001451EF"/>
    <w:rsid w:val="001644B5"/>
    <w:rsid w:val="00183065"/>
    <w:rsid w:val="001B21C9"/>
    <w:rsid w:val="001C1C50"/>
    <w:rsid w:val="001C7DBF"/>
    <w:rsid w:val="001F4BAC"/>
    <w:rsid w:val="002014C6"/>
    <w:rsid w:val="0020365E"/>
    <w:rsid w:val="00233B73"/>
    <w:rsid w:val="0025442B"/>
    <w:rsid w:val="002909A3"/>
    <w:rsid w:val="002A19D3"/>
    <w:rsid w:val="002B3791"/>
    <w:rsid w:val="002B707F"/>
    <w:rsid w:val="002C147D"/>
    <w:rsid w:val="002D3061"/>
    <w:rsid w:val="002F160E"/>
    <w:rsid w:val="002F61A7"/>
    <w:rsid w:val="00301D1B"/>
    <w:rsid w:val="0032177B"/>
    <w:rsid w:val="00324EA6"/>
    <w:rsid w:val="003307DB"/>
    <w:rsid w:val="00345031"/>
    <w:rsid w:val="00356514"/>
    <w:rsid w:val="0036048A"/>
    <w:rsid w:val="00371974"/>
    <w:rsid w:val="003733A4"/>
    <w:rsid w:val="00392243"/>
    <w:rsid w:val="00395E2B"/>
    <w:rsid w:val="003B7C02"/>
    <w:rsid w:val="003C0B73"/>
    <w:rsid w:val="003E433A"/>
    <w:rsid w:val="004218BD"/>
    <w:rsid w:val="004401F5"/>
    <w:rsid w:val="00442BB1"/>
    <w:rsid w:val="00445A6F"/>
    <w:rsid w:val="00453813"/>
    <w:rsid w:val="004543ED"/>
    <w:rsid w:val="0046086E"/>
    <w:rsid w:val="004945D1"/>
    <w:rsid w:val="004A3479"/>
    <w:rsid w:val="004A60E3"/>
    <w:rsid w:val="004B6BE8"/>
    <w:rsid w:val="004C0410"/>
    <w:rsid w:val="004C0977"/>
    <w:rsid w:val="004D440A"/>
    <w:rsid w:val="004E5154"/>
    <w:rsid w:val="004F1970"/>
    <w:rsid w:val="00502505"/>
    <w:rsid w:val="005025A5"/>
    <w:rsid w:val="005026B5"/>
    <w:rsid w:val="00507769"/>
    <w:rsid w:val="00507A57"/>
    <w:rsid w:val="0054124D"/>
    <w:rsid w:val="005447FC"/>
    <w:rsid w:val="00553CFA"/>
    <w:rsid w:val="005653D3"/>
    <w:rsid w:val="00583B27"/>
    <w:rsid w:val="00584610"/>
    <w:rsid w:val="005901F1"/>
    <w:rsid w:val="00592188"/>
    <w:rsid w:val="005A1970"/>
    <w:rsid w:val="005B49B9"/>
    <w:rsid w:val="005D05E8"/>
    <w:rsid w:val="00622F3B"/>
    <w:rsid w:val="00663A9B"/>
    <w:rsid w:val="00665418"/>
    <w:rsid w:val="0067725C"/>
    <w:rsid w:val="006A4D1F"/>
    <w:rsid w:val="006B5E39"/>
    <w:rsid w:val="006B617A"/>
    <w:rsid w:val="006C468B"/>
    <w:rsid w:val="006C6CDE"/>
    <w:rsid w:val="006D208D"/>
    <w:rsid w:val="007021FD"/>
    <w:rsid w:val="00706957"/>
    <w:rsid w:val="00710651"/>
    <w:rsid w:val="00741A25"/>
    <w:rsid w:val="007445BB"/>
    <w:rsid w:val="007503A5"/>
    <w:rsid w:val="00757C4F"/>
    <w:rsid w:val="007617CE"/>
    <w:rsid w:val="00782FF6"/>
    <w:rsid w:val="00785483"/>
    <w:rsid w:val="007940D7"/>
    <w:rsid w:val="007A66D0"/>
    <w:rsid w:val="007B0DE8"/>
    <w:rsid w:val="007B3C05"/>
    <w:rsid w:val="007C437E"/>
    <w:rsid w:val="007D6797"/>
    <w:rsid w:val="007F4B1B"/>
    <w:rsid w:val="008013CC"/>
    <w:rsid w:val="00820012"/>
    <w:rsid w:val="00826243"/>
    <w:rsid w:val="00835CCC"/>
    <w:rsid w:val="0083675B"/>
    <w:rsid w:val="008419D7"/>
    <w:rsid w:val="0084539B"/>
    <w:rsid w:val="00875C96"/>
    <w:rsid w:val="008822AA"/>
    <w:rsid w:val="00886576"/>
    <w:rsid w:val="00886A9E"/>
    <w:rsid w:val="008A1906"/>
    <w:rsid w:val="008A703C"/>
    <w:rsid w:val="008A74A6"/>
    <w:rsid w:val="008B5B3A"/>
    <w:rsid w:val="008E250E"/>
    <w:rsid w:val="008E3D4C"/>
    <w:rsid w:val="008E53E4"/>
    <w:rsid w:val="008F18CF"/>
    <w:rsid w:val="009044C0"/>
    <w:rsid w:val="00921FB6"/>
    <w:rsid w:val="00966DF8"/>
    <w:rsid w:val="009825D8"/>
    <w:rsid w:val="009B157D"/>
    <w:rsid w:val="009C698C"/>
    <w:rsid w:val="009E2EA8"/>
    <w:rsid w:val="009F360D"/>
    <w:rsid w:val="00A31C28"/>
    <w:rsid w:val="00A4696C"/>
    <w:rsid w:val="00A54080"/>
    <w:rsid w:val="00A542B2"/>
    <w:rsid w:val="00A65CA1"/>
    <w:rsid w:val="00A80546"/>
    <w:rsid w:val="00A84977"/>
    <w:rsid w:val="00A87B51"/>
    <w:rsid w:val="00A92995"/>
    <w:rsid w:val="00A97459"/>
    <w:rsid w:val="00AB4B3C"/>
    <w:rsid w:val="00AD434C"/>
    <w:rsid w:val="00AE0ABC"/>
    <w:rsid w:val="00AF4FB5"/>
    <w:rsid w:val="00B122B5"/>
    <w:rsid w:val="00B15F4B"/>
    <w:rsid w:val="00B410C5"/>
    <w:rsid w:val="00B4542C"/>
    <w:rsid w:val="00B53874"/>
    <w:rsid w:val="00B542EF"/>
    <w:rsid w:val="00B607F8"/>
    <w:rsid w:val="00B831FC"/>
    <w:rsid w:val="00B951E9"/>
    <w:rsid w:val="00C033CD"/>
    <w:rsid w:val="00C1163A"/>
    <w:rsid w:val="00C12C84"/>
    <w:rsid w:val="00C135E9"/>
    <w:rsid w:val="00C20506"/>
    <w:rsid w:val="00C253D8"/>
    <w:rsid w:val="00C65472"/>
    <w:rsid w:val="00C86870"/>
    <w:rsid w:val="00C91E80"/>
    <w:rsid w:val="00CD2698"/>
    <w:rsid w:val="00CD3E76"/>
    <w:rsid w:val="00CE5ABA"/>
    <w:rsid w:val="00CF4295"/>
    <w:rsid w:val="00D06B4F"/>
    <w:rsid w:val="00D137DA"/>
    <w:rsid w:val="00D21EFA"/>
    <w:rsid w:val="00D336B5"/>
    <w:rsid w:val="00D502C9"/>
    <w:rsid w:val="00D51C50"/>
    <w:rsid w:val="00D71817"/>
    <w:rsid w:val="00D77F16"/>
    <w:rsid w:val="00D82115"/>
    <w:rsid w:val="00DA5309"/>
    <w:rsid w:val="00DC193D"/>
    <w:rsid w:val="00DC26D1"/>
    <w:rsid w:val="00DE098A"/>
    <w:rsid w:val="00DF0692"/>
    <w:rsid w:val="00DF648D"/>
    <w:rsid w:val="00E106DB"/>
    <w:rsid w:val="00E204C2"/>
    <w:rsid w:val="00E208DF"/>
    <w:rsid w:val="00E34B32"/>
    <w:rsid w:val="00E4223B"/>
    <w:rsid w:val="00E42F01"/>
    <w:rsid w:val="00E51CF7"/>
    <w:rsid w:val="00E5310A"/>
    <w:rsid w:val="00E76129"/>
    <w:rsid w:val="00E82D79"/>
    <w:rsid w:val="00EA53CE"/>
    <w:rsid w:val="00EB2F53"/>
    <w:rsid w:val="00EB3707"/>
    <w:rsid w:val="00EB7A7A"/>
    <w:rsid w:val="00EC6ABA"/>
    <w:rsid w:val="00ED50FA"/>
    <w:rsid w:val="00EE680B"/>
    <w:rsid w:val="00EF69DB"/>
    <w:rsid w:val="00F0136B"/>
    <w:rsid w:val="00F05BAE"/>
    <w:rsid w:val="00F1085E"/>
    <w:rsid w:val="00F10EEF"/>
    <w:rsid w:val="00F3675B"/>
    <w:rsid w:val="00F460BE"/>
    <w:rsid w:val="00F552DF"/>
    <w:rsid w:val="00F577CD"/>
    <w:rsid w:val="00F57B77"/>
    <w:rsid w:val="00F729EA"/>
    <w:rsid w:val="00F86B3D"/>
    <w:rsid w:val="00F91B87"/>
    <w:rsid w:val="00FF1CDC"/>
    <w:rsid w:val="05D16A00"/>
    <w:rsid w:val="5D93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43698"/>
  <w15:docId w15:val="{6D852C5A-6240-A748-91EE-211FF6BB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imSun" w:eastAsia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imSun" w:eastAsia="SimSun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2"/>
      <w:sz w:val="18"/>
      <w:szCs w:val="18"/>
    </w:rPr>
  </w:style>
  <w:style w:type="paragraph" w:styleId="Revision">
    <w:name w:val="Revision"/>
    <w:hidden/>
    <w:uiPriority w:val="99"/>
    <w:unhideWhenUsed/>
    <w:rsid w:val="004218B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0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Magdalena Koziol</cp:lastModifiedBy>
  <cp:revision>2</cp:revision>
  <cp:lastPrinted>2024-06-06T11:13:00Z</cp:lastPrinted>
  <dcterms:created xsi:type="dcterms:W3CDTF">2024-06-07T05:40:00Z</dcterms:created>
  <dcterms:modified xsi:type="dcterms:W3CDTF">2024-06-07T05:40:00Z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C8E9B5874B5D45EBB0719A99648FBD23_12</vt:lpwstr>
  </property>
</Properties>
</file>