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220" w:line="259.2000000000001" w:lineRule="auto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Supplementary Table S7: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Differential genes across CTCs of three different subtypes.</w:t>
      </w:r>
      <w:r w:rsidDel="00000000" w:rsidR="00000000" w:rsidRPr="00000000">
        <w:rPr>
          <w:rtl w:val="0"/>
        </w:rPr>
      </w:r>
    </w:p>
    <w:tbl>
      <w:tblPr>
        <w:tblStyle w:val="Table1"/>
        <w:tblW w:w="3360.0" w:type="dxa"/>
        <w:jc w:val="left"/>
        <w:tblInd w:w="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1680"/>
        <w:tblGridChange w:id="0">
          <w:tblGrid>
            <w:gridCol w:w="1680"/>
            <w:gridCol w:w="1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Gene name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Subtype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PPEF1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TNBC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C12orf29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TNBC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FOXP1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TNBC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APOL4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TNBC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LINC00620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TNBC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TBL1XR1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TNBC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CLEC2D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TNBC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GUSBP1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TNBC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C18orf26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TNBC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EIF3C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TNBC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RAD54L2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HER2+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FLT4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HER2+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EIF4E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HER2+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DIS3L2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HER2+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HMGN4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HER2+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TRIM26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HER2+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UBR7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HER2+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HEYL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HER2+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LCOR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HER2+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LOC92249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HER2+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H3F3B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b7b7b7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ER+/PR+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SCN3A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b7b7b7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ER+/PR+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PRKD3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b7b7b7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ER+/PR+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RHOF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b7b7b7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ER+/PR+</w:t>
            </w:r>
          </w:p>
        </w:tc>
      </w:tr>
      <w:tr>
        <w:trPr>
          <w:cantSplit w:val="0"/>
          <w:trHeight w:val="95.92529296875006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H3F3C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b7b7b7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ER+/PR+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LOC151658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b7b7b7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ER+/PR+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SLC25A37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b7b7b7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ER+/PR+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SHF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b7b7b7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ER+/PR+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CREBL2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b7b7b7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ER+/PR+</w:t>
            </w:r>
          </w:p>
        </w:tc>
      </w:tr>
      <w:tr>
        <w:trPr>
          <w:cantSplit w:val="0"/>
          <w:trHeight w:val="125.92529296875006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ATF6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b7b7b7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ER+/PR+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4dmMgmjEWtrghBm58Z2SBrhUnA==">AMUW2mU5gW+8h7buoq3vE6k6Mpr5ArU7b9UcZcrLXiy0NTWO/dvlhX8hj34OzAMgosdy2OyMlC1YvN8mNKy+4ESEfHbkZyHm3XtUSfukm+fvAOr3quIVC9A=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