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B60EDC" w14:textId="77777777" w:rsidR="00B13F4A" w:rsidRPr="001777BB" w:rsidRDefault="00B13F4A" w:rsidP="001777BB">
      <w:pPr>
        <w:widowControl w:val="0"/>
        <w:autoSpaceDE w:val="0"/>
        <w:autoSpaceDN w:val="0"/>
        <w:adjustRightInd w:val="0"/>
        <w:spacing w:after="240" w:line="360" w:lineRule="auto"/>
        <w:contextualSpacing/>
        <w:rPr>
          <w:rFonts w:ascii="Times New Roman" w:eastAsia="Times New Roman" w:hAnsi="Times New Roman" w:cs="Times New Roman"/>
          <w:sz w:val="40"/>
          <w:szCs w:val="28"/>
        </w:rPr>
      </w:pPr>
      <w:r w:rsidRPr="001777BB">
        <w:rPr>
          <w:rFonts w:ascii="Times New Roman" w:eastAsia="Times New Roman" w:hAnsi="Times New Roman" w:cs="Times New Roman"/>
          <w:b/>
          <w:bCs/>
          <w:color w:val="000000"/>
          <w:sz w:val="40"/>
          <w:szCs w:val="28"/>
        </w:rPr>
        <w:t>Supplementary Material</w:t>
      </w:r>
    </w:p>
    <w:p w14:paraId="732DF723" w14:textId="77777777" w:rsidR="00B13F4A" w:rsidRDefault="00B13F4A" w:rsidP="001777BB">
      <w:pPr>
        <w:spacing w:line="360" w:lineRule="auto"/>
        <w:rPr>
          <w:rFonts w:ascii="Times New Roman" w:eastAsia="Times New Roman" w:hAnsi="Times New Roman" w:cs="Times New Roman"/>
          <w:b/>
          <w:color w:val="000000"/>
          <w:sz w:val="28"/>
          <w:szCs w:val="28"/>
          <w:lang w:eastAsia="zh-TW"/>
        </w:rPr>
      </w:pPr>
    </w:p>
    <w:p w14:paraId="6158946D" w14:textId="77777777" w:rsidR="00C77228" w:rsidRPr="001777BB" w:rsidRDefault="00C77228" w:rsidP="001777BB">
      <w:pPr>
        <w:spacing w:line="276" w:lineRule="auto"/>
        <w:rPr>
          <w:rFonts w:ascii="Times New Roman" w:eastAsia="Times New Roman" w:hAnsi="Times New Roman" w:cs="Times New Roman"/>
          <w:b/>
          <w:color w:val="000000"/>
          <w:sz w:val="32"/>
          <w:szCs w:val="28"/>
          <w:lang w:eastAsia="zh-TW"/>
        </w:rPr>
      </w:pPr>
      <w:r w:rsidRPr="001777BB">
        <w:rPr>
          <w:rFonts w:ascii="Times New Roman" w:eastAsia="Times New Roman" w:hAnsi="Times New Roman" w:cs="Times New Roman"/>
          <w:b/>
          <w:color w:val="000000"/>
          <w:sz w:val="32"/>
          <w:szCs w:val="28"/>
          <w:lang w:eastAsia="zh-TW"/>
        </w:rPr>
        <w:t>Zebrafish transposable elements show extensive diversification in age, genomic distribution, and developmental expression</w:t>
      </w:r>
    </w:p>
    <w:p w14:paraId="1E304938" w14:textId="77777777" w:rsidR="00B13F4A" w:rsidRPr="006A7268" w:rsidRDefault="00B13F4A" w:rsidP="001777BB">
      <w:pPr>
        <w:spacing w:after="240" w:line="276" w:lineRule="auto"/>
        <w:contextualSpacing/>
        <w:rPr>
          <w:rFonts w:ascii="Times New Roman" w:eastAsia="Times New Roman" w:hAnsi="Times New Roman" w:cs="Times New Roman"/>
          <w:sz w:val="22"/>
          <w:szCs w:val="22"/>
          <w:vertAlign w:val="superscript"/>
        </w:rPr>
      </w:pPr>
      <w:r w:rsidRPr="006A7268">
        <w:rPr>
          <w:rFonts w:ascii="Times New Roman" w:eastAsia="Times New Roman" w:hAnsi="Times New Roman" w:cs="Times New Roman"/>
          <w:sz w:val="22"/>
          <w:szCs w:val="22"/>
        </w:rPr>
        <w:t>Ni-Chen Chang</w:t>
      </w:r>
      <w:proofErr w:type="gramStart"/>
      <w:r w:rsidRPr="006A7268">
        <w:rPr>
          <w:rFonts w:ascii="Times New Roman" w:eastAsia="Times New Roman" w:hAnsi="Times New Roman" w:cs="Times New Roman"/>
          <w:sz w:val="22"/>
          <w:szCs w:val="22"/>
          <w:vertAlign w:val="superscript"/>
        </w:rPr>
        <w:t>1,*</w:t>
      </w:r>
      <w:proofErr w:type="gramEnd"/>
      <w:r w:rsidRPr="006A7268">
        <w:rPr>
          <w:rFonts w:ascii="Times New Roman" w:eastAsia="Times New Roman" w:hAnsi="Times New Roman" w:cs="Times New Roman"/>
          <w:sz w:val="22"/>
          <w:szCs w:val="22"/>
        </w:rPr>
        <w:t>, Quirze Rovira</w:t>
      </w:r>
      <w:r w:rsidRPr="006A7268">
        <w:rPr>
          <w:rFonts w:ascii="Times New Roman" w:eastAsia="Times New Roman" w:hAnsi="Times New Roman" w:cs="Times New Roman"/>
          <w:sz w:val="22"/>
          <w:szCs w:val="22"/>
          <w:vertAlign w:val="superscript"/>
        </w:rPr>
        <w:t>2,*</w:t>
      </w:r>
      <w:r w:rsidRPr="006A7268">
        <w:rPr>
          <w:rFonts w:ascii="Times New Roman" w:eastAsia="Times New Roman" w:hAnsi="Times New Roman" w:cs="Times New Roman"/>
          <w:sz w:val="22"/>
          <w:szCs w:val="22"/>
        </w:rPr>
        <w:t>, Jonathan Wells</w:t>
      </w:r>
      <w:r w:rsidRPr="006A7268">
        <w:rPr>
          <w:rFonts w:ascii="Times New Roman" w:eastAsia="Times New Roman" w:hAnsi="Times New Roman" w:cs="Times New Roman"/>
          <w:sz w:val="22"/>
          <w:szCs w:val="22"/>
          <w:vertAlign w:val="superscript"/>
        </w:rPr>
        <w:t>1,*</w:t>
      </w:r>
      <w:r w:rsidRPr="006A7268">
        <w:rPr>
          <w:rFonts w:ascii="Times New Roman" w:eastAsia="Times New Roman" w:hAnsi="Times New Roman" w:cs="Times New Roman"/>
          <w:sz w:val="22"/>
          <w:szCs w:val="22"/>
        </w:rPr>
        <w:t>, Cédric Feschotte</w:t>
      </w:r>
      <w:r w:rsidRPr="006A7268">
        <w:rPr>
          <w:rFonts w:ascii="Times New Roman" w:eastAsia="Times New Roman" w:hAnsi="Times New Roman" w:cs="Times New Roman"/>
          <w:sz w:val="22"/>
          <w:szCs w:val="22"/>
          <w:vertAlign w:val="superscript"/>
        </w:rPr>
        <w:t>1,#</w:t>
      </w:r>
      <w:r w:rsidRPr="006A7268">
        <w:rPr>
          <w:rFonts w:ascii="Times New Roman" w:eastAsia="Times New Roman" w:hAnsi="Times New Roman" w:cs="Times New Roman"/>
          <w:sz w:val="22"/>
          <w:szCs w:val="22"/>
        </w:rPr>
        <w:t>, Juan M. Vaquerizas</w:t>
      </w:r>
      <w:r w:rsidRPr="006A7268">
        <w:rPr>
          <w:rFonts w:ascii="Times New Roman" w:eastAsia="Times New Roman" w:hAnsi="Times New Roman" w:cs="Times New Roman"/>
          <w:sz w:val="22"/>
          <w:szCs w:val="22"/>
          <w:vertAlign w:val="superscript"/>
        </w:rPr>
        <w:t>2,3,</w:t>
      </w:r>
      <w:r>
        <w:rPr>
          <w:rFonts w:ascii="Times New Roman" w:eastAsia="Times New Roman" w:hAnsi="Times New Roman" w:cs="Times New Roman"/>
          <w:sz w:val="22"/>
          <w:szCs w:val="22"/>
          <w:vertAlign w:val="superscript"/>
        </w:rPr>
        <w:t>4,</w:t>
      </w:r>
      <w:r w:rsidRPr="006A7268">
        <w:rPr>
          <w:rFonts w:ascii="Times New Roman" w:eastAsia="Times New Roman" w:hAnsi="Times New Roman" w:cs="Times New Roman"/>
          <w:sz w:val="22"/>
          <w:szCs w:val="22"/>
          <w:vertAlign w:val="superscript"/>
        </w:rPr>
        <w:t>#</w:t>
      </w:r>
    </w:p>
    <w:p w14:paraId="50C1240B" w14:textId="77777777" w:rsidR="001777BB" w:rsidRPr="006A7268" w:rsidRDefault="001777BB" w:rsidP="001777BB">
      <w:pPr>
        <w:pStyle w:val="ListParagraph"/>
        <w:numPr>
          <w:ilvl w:val="0"/>
          <w:numId w:val="1"/>
        </w:numPr>
        <w:spacing w:after="240" w:line="360" w:lineRule="auto"/>
        <w:rPr>
          <w:rFonts w:ascii="Times New Roman" w:eastAsia="Times New Roman" w:hAnsi="Times New Roman" w:cs="Times New Roman"/>
          <w:sz w:val="22"/>
          <w:szCs w:val="22"/>
        </w:rPr>
      </w:pPr>
      <w:r w:rsidRPr="006A7268">
        <w:rPr>
          <w:rFonts w:ascii="Times New Roman" w:eastAsia="Times New Roman" w:hAnsi="Times New Roman" w:cs="Times New Roman"/>
          <w:sz w:val="22"/>
          <w:szCs w:val="22"/>
        </w:rPr>
        <w:t>Department of Molecular Biology and Genetics, Cornell University, Ithaca, New York 14850, USA.</w:t>
      </w:r>
    </w:p>
    <w:p w14:paraId="1C9087ED" w14:textId="77777777" w:rsidR="001777BB" w:rsidRPr="006A7268" w:rsidRDefault="001777BB" w:rsidP="001777BB">
      <w:pPr>
        <w:pStyle w:val="ListParagraph"/>
        <w:numPr>
          <w:ilvl w:val="0"/>
          <w:numId w:val="1"/>
        </w:numPr>
        <w:spacing w:after="240" w:line="360" w:lineRule="auto"/>
        <w:rPr>
          <w:rFonts w:ascii="Times New Roman" w:eastAsia="Times New Roman" w:hAnsi="Times New Roman" w:cs="Times New Roman"/>
          <w:sz w:val="22"/>
          <w:szCs w:val="22"/>
        </w:rPr>
      </w:pPr>
      <w:r w:rsidRPr="006A7268">
        <w:rPr>
          <w:rFonts w:ascii="Times New Roman" w:eastAsia="Times New Roman" w:hAnsi="Times New Roman" w:cs="Times New Roman"/>
          <w:sz w:val="22"/>
          <w:szCs w:val="22"/>
        </w:rPr>
        <w:t xml:space="preserve">Max Planck Institute for Molecular Biomedicine, </w:t>
      </w:r>
      <w:proofErr w:type="spellStart"/>
      <w:r w:rsidRPr="006A7268">
        <w:rPr>
          <w:rFonts w:ascii="Times New Roman" w:eastAsia="Times New Roman" w:hAnsi="Times New Roman" w:cs="Times New Roman"/>
          <w:sz w:val="22"/>
          <w:szCs w:val="22"/>
        </w:rPr>
        <w:t>Roentgenstrasse</w:t>
      </w:r>
      <w:proofErr w:type="spellEnd"/>
      <w:r w:rsidRPr="006A7268">
        <w:rPr>
          <w:rFonts w:ascii="Times New Roman" w:eastAsia="Times New Roman" w:hAnsi="Times New Roman" w:cs="Times New Roman"/>
          <w:sz w:val="22"/>
          <w:szCs w:val="22"/>
        </w:rPr>
        <w:t xml:space="preserve"> 20, 48149 Muenster, Germany.</w:t>
      </w:r>
    </w:p>
    <w:p w14:paraId="6FBB3EF9" w14:textId="77777777" w:rsidR="001777BB" w:rsidRDefault="001777BB" w:rsidP="001777BB">
      <w:pPr>
        <w:pStyle w:val="ListParagraph"/>
        <w:numPr>
          <w:ilvl w:val="0"/>
          <w:numId w:val="1"/>
        </w:numPr>
        <w:spacing w:after="240" w:line="360" w:lineRule="auto"/>
        <w:rPr>
          <w:rFonts w:ascii="Times New Roman" w:eastAsia="Times New Roman" w:hAnsi="Times New Roman" w:cs="Times New Roman"/>
          <w:sz w:val="22"/>
          <w:szCs w:val="22"/>
        </w:rPr>
      </w:pPr>
      <w:r w:rsidRPr="006A7268">
        <w:rPr>
          <w:rFonts w:ascii="Times New Roman" w:eastAsia="Times New Roman" w:hAnsi="Times New Roman" w:cs="Times New Roman"/>
          <w:sz w:val="22"/>
          <w:szCs w:val="22"/>
        </w:rPr>
        <w:t xml:space="preserve">MRC London Institute of Medical Sciences, </w:t>
      </w:r>
      <w:r>
        <w:rPr>
          <w:rFonts w:ascii="Times New Roman" w:eastAsia="Times New Roman" w:hAnsi="Times New Roman" w:cs="Times New Roman"/>
          <w:sz w:val="22"/>
          <w:szCs w:val="22"/>
        </w:rPr>
        <w:t>Du Cane Road, London W12 0NN, UK.</w:t>
      </w:r>
    </w:p>
    <w:p w14:paraId="7D6BD947" w14:textId="77777777" w:rsidR="001777BB" w:rsidRPr="006A7268" w:rsidRDefault="001777BB" w:rsidP="001777BB">
      <w:pPr>
        <w:pStyle w:val="ListParagraph"/>
        <w:numPr>
          <w:ilvl w:val="0"/>
          <w:numId w:val="1"/>
        </w:numPr>
        <w:spacing w:after="240" w:line="360" w:lineRule="auto"/>
        <w:rPr>
          <w:rFonts w:ascii="Times New Roman" w:eastAsia="Times New Roman" w:hAnsi="Times New Roman" w:cs="Times New Roman"/>
          <w:sz w:val="22"/>
          <w:szCs w:val="22"/>
        </w:rPr>
      </w:pPr>
      <w:r w:rsidRPr="006A7268">
        <w:rPr>
          <w:rFonts w:ascii="Times New Roman" w:eastAsia="Times New Roman" w:hAnsi="Times New Roman" w:cs="Times New Roman"/>
          <w:sz w:val="22"/>
          <w:szCs w:val="22"/>
        </w:rPr>
        <w:t>Institute of Clinical Sciences, Faculty of Medicine, Imperial College London, Du Cane Road, London W12 0NN, UK.</w:t>
      </w:r>
    </w:p>
    <w:p w14:paraId="2D7B7EB1" w14:textId="77777777" w:rsidR="001777BB" w:rsidRPr="006A7268" w:rsidRDefault="001777BB" w:rsidP="001777BB">
      <w:pPr>
        <w:pStyle w:val="ListParagraph"/>
        <w:spacing w:after="240" w:line="360" w:lineRule="auto"/>
        <w:ind w:left="0"/>
        <w:rPr>
          <w:rFonts w:ascii="Times New Roman" w:eastAsia="Times New Roman" w:hAnsi="Times New Roman" w:cs="Times New Roman"/>
          <w:sz w:val="22"/>
          <w:szCs w:val="22"/>
        </w:rPr>
      </w:pPr>
      <w:r w:rsidRPr="006A7268">
        <w:rPr>
          <w:rFonts w:ascii="Times New Roman" w:eastAsia="Times New Roman" w:hAnsi="Times New Roman" w:cs="Times New Roman"/>
          <w:sz w:val="22"/>
          <w:szCs w:val="22"/>
        </w:rPr>
        <w:t>* These authors contributed equally</w:t>
      </w:r>
    </w:p>
    <w:p w14:paraId="75B8168D" w14:textId="77777777" w:rsidR="001777BB" w:rsidRPr="006A7268" w:rsidRDefault="001777BB" w:rsidP="001777BB">
      <w:pPr>
        <w:pStyle w:val="ListParagraph"/>
        <w:spacing w:after="240" w:line="360" w:lineRule="auto"/>
        <w:ind w:left="0"/>
        <w:rPr>
          <w:rFonts w:ascii="Times New Roman" w:eastAsia="Times New Roman" w:hAnsi="Times New Roman" w:cs="Times New Roman"/>
          <w:sz w:val="22"/>
          <w:szCs w:val="22"/>
        </w:rPr>
      </w:pPr>
      <w:r w:rsidRPr="006A7268">
        <w:rPr>
          <w:rFonts w:ascii="Times New Roman" w:eastAsia="Times New Roman" w:hAnsi="Times New Roman" w:cs="Times New Roman"/>
          <w:sz w:val="22"/>
          <w:szCs w:val="22"/>
        </w:rPr>
        <w:t># Correspondence to: C.F. (</w:t>
      </w:r>
      <w:hyperlink r:id="rId7" w:history="1">
        <w:r w:rsidRPr="006A7268">
          <w:rPr>
            <w:rStyle w:val="Hyperlink"/>
            <w:rFonts w:ascii="Times New Roman" w:eastAsia="Times New Roman" w:hAnsi="Times New Roman" w:cs="Times New Roman"/>
            <w:sz w:val="22"/>
            <w:szCs w:val="22"/>
          </w:rPr>
          <w:t>cf458@cornell.edu</w:t>
        </w:r>
      </w:hyperlink>
      <w:r w:rsidRPr="006A7268">
        <w:rPr>
          <w:rFonts w:ascii="Times New Roman" w:eastAsia="Times New Roman" w:hAnsi="Times New Roman" w:cs="Times New Roman"/>
          <w:sz w:val="22"/>
          <w:szCs w:val="22"/>
        </w:rPr>
        <w:t>), or J.M.V. (</w:t>
      </w:r>
      <w:hyperlink r:id="rId8" w:history="1">
        <w:r w:rsidRPr="006A7268">
          <w:rPr>
            <w:rStyle w:val="Hyperlink"/>
            <w:rFonts w:ascii="Times New Roman" w:eastAsia="Times New Roman" w:hAnsi="Times New Roman" w:cs="Times New Roman"/>
            <w:sz w:val="22"/>
            <w:szCs w:val="22"/>
          </w:rPr>
          <w:t>j.vaquerizas@lms.mrc.ac.uk</w:t>
        </w:r>
      </w:hyperlink>
      <w:r w:rsidRPr="006A7268">
        <w:rPr>
          <w:rFonts w:ascii="Times New Roman" w:eastAsia="Times New Roman" w:hAnsi="Times New Roman" w:cs="Times New Roman"/>
          <w:sz w:val="22"/>
          <w:szCs w:val="22"/>
        </w:rPr>
        <w:t>)</w:t>
      </w:r>
    </w:p>
    <w:p w14:paraId="5981DC6A" w14:textId="59A08E5A" w:rsidR="00B13F4A" w:rsidRDefault="00B13F4A" w:rsidP="001777BB">
      <w:pPr>
        <w:widowControl w:val="0"/>
        <w:autoSpaceDE w:val="0"/>
        <w:autoSpaceDN w:val="0"/>
        <w:adjustRightInd w:val="0"/>
        <w:spacing w:after="240" w:line="360" w:lineRule="auto"/>
        <w:contextualSpacing/>
        <w:rPr>
          <w:rFonts w:ascii="Times New Roman" w:eastAsia="Times New Roman" w:hAnsi="Times New Roman" w:cs="Times New Roman"/>
          <w:b/>
          <w:bCs/>
          <w:color w:val="000000"/>
          <w:sz w:val="22"/>
          <w:szCs w:val="22"/>
        </w:rPr>
      </w:pPr>
    </w:p>
    <w:p w14:paraId="7F820A21" w14:textId="77777777" w:rsidR="001777BB" w:rsidRDefault="001777BB" w:rsidP="001777BB">
      <w:pPr>
        <w:widowControl w:val="0"/>
        <w:autoSpaceDE w:val="0"/>
        <w:autoSpaceDN w:val="0"/>
        <w:adjustRightInd w:val="0"/>
        <w:spacing w:after="240" w:line="360" w:lineRule="auto"/>
        <w:contextualSpacing/>
        <w:rPr>
          <w:rFonts w:ascii="Times New Roman" w:eastAsia="Times New Roman" w:hAnsi="Times New Roman" w:cs="Times New Roman"/>
          <w:b/>
          <w:bCs/>
          <w:color w:val="000000"/>
          <w:sz w:val="22"/>
          <w:szCs w:val="22"/>
        </w:rPr>
      </w:pPr>
    </w:p>
    <w:p w14:paraId="1538FC34" w14:textId="17E64AC4" w:rsidR="00B13F4A" w:rsidRPr="001777BB" w:rsidRDefault="001777BB" w:rsidP="001777BB">
      <w:pPr>
        <w:widowControl w:val="0"/>
        <w:autoSpaceDE w:val="0"/>
        <w:autoSpaceDN w:val="0"/>
        <w:adjustRightInd w:val="0"/>
        <w:spacing w:after="240" w:line="360" w:lineRule="auto"/>
        <w:contextualSpacing/>
        <w:rPr>
          <w:rFonts w:ascii="Times New Roman" w:eastAsia="Times New Roman" w:hAnsi="Times New Roman" w:cs="Times New Roman"/>
          <w:b/>
          <w:bCs/>
          <w:color w:val="000000"/>
          <w:sz w:val="28"/>
        </w:rPr>
      </w:pPr>
      <w:r w:rsidRPr="001777BB">
        <w:rPr>
          <w:rFonts w:ascii="Times New Roman" w:eastAsia="Times New Roman" w:hAnsi="Times New Roman" w:cs="Times New Roman"/>
          <w:b/>
          <w:bCs/>
          <w:color w:val="000000"/>
          <w:sz w:val="28"/>
        </w:rPr>
        <w:t>Table of c</w:t>
      </w:r>
      <w:r w:rsidR="00B13F4A" w:rsidRPr="001777BB">
        <w:rPr>
          <w:rFonts w:ascii="Times New Roman" w:eastAsia="Times New Roman" w:hAnsi="Times New Roman" w:cs="Times New Roman"/>
          <w:b/>
          <w:bCs/>
          <w:color w:val="000000"/>
          <w:sz w:val="28"/>
        </w:rPr>
        <w:t>ontent</w:t>
      </w:r>
      <w:r w:rsidR="006A3BFB">
        <w:rPr>
          <w:rFonts w:ascii="Times New Roman" w:eastAsia="Times New Roman" w:hAnsi="Times New Roman" w:cs="Times New Roman"/>
          <w:b/>
          <w:bCs/>
          <w:color w:val="000000"/>
          <w:sz w:val="28"/>
        </w:rPr>
        <w:t>s</w:t>
      </w:r>
      <w:bookmarkStart w:id="0" w:name="_GoBack"/>
      <w:bookmarkEnd w:id="0"/>
    </w:p>
    <w:p w14:paraId="61625076" w14:textId="56531E4D" w:rsidR="00B13F4A" w:rsidRPr="00A85602" w:rsidRDefault="00B13F4A" w:rsidP="001777BB">
      <w:pPr>
        <w:pStyle w:val="ListParagraph"/>
        <w:widowControl w:val="0"/>
        <w:numPr>
          <w:ilvl w:val="0"/>
          <w:numId w:val="3"/>
        </w:numPr>
        <w:autoSpaceDE w:val="0"/>
        <w:autoSpaceDN w:val="0"/>
        <w:adjustRightInd w:val="0"/>
        <w:spacing w:after="240" w:line="360" w:lineRule="auto"/>
        <w:rPr>
          <w:rFonts w:ascii="Times New Roman" w:eastAsia="Times New Roman" w:hAnsi="Times New Roman" w:cs="Times New Roman"/>
          <w:bCs/>
          <w:color w:val="000000"/>
          <w:sz w:val="22"/>
          <w:szCs w:val="22"/>
        </w:rPr>
      </w:pPr>
      <w:r w:rsidRPr="00A85602">
        <w:rPr>
          <w:rFonts w:ascii="Times New Roman" w:eastAsia="Times New Roman" w:hAnsi="Times New Roman" w:cs="Times New Roman"/>
          <w:bCs/>
          <w:color w:val="000000"/>
          <w:sz w:val="22"/>
          <w:szCs w:val="22"/>
        </w:rPr>
        <w:t>Suppleme</w:t>
      </w:r>
      <w:r w:rsidR="00A85602" w:rsidRPr="00A85602">
        <w:rPr>
          <w:rFonts w:ascii="Times New Roman" w:eastAsia="Times New Roman" w:hAnsi="Times New Roman" w:cs="Times New Roman"/>
          <w:bCs/>
          <w:color w:val="000000"/>
          <w:sz w:val="22"/>
          <w:szCs w:val="22"/>
        </w:rPr>
        <w:t>ntary Figures</w:t>
      </w:r>
    </w:p>
    <w:p w14:paraId="1ECFB398" w14:textId="10D57937" w:rsidR="00A85602" w:rsidRPr="00A85602" w:rsidRDefault="00A85602" w:rsidP="001777BB">
      <w:pPr>
        <w:pStyle w:val="ListParagraph"/>
        <w:widowControl w:val="0"/>
        <w:numPr>
          <w:ilvl w:val="0"/>
          <w:numId w:val="3"/>
        </w:numPr>
        <w:autoSpaceDE w:val="0"/>
        <w:autoSpaceDN w:val="0"/>
        <w:adjustRightInd w:val="0"/>
        <w:spacing w:after="240" w:line="360" w:lineRule="auto"/>
        <w:rPr>
          <w:rFonts w:ascii="Times New Roman" w:eastAsia="Times New Roman" w:hAnsi="Times New Roman" w:cs="Times New Roman"/>
          <w:bCs/>
          <w:color w:val="000000"/>
          <w:sz w:val="22"/>
          <w:szCs w:val="22"/>
        </w:rPr>
      </w:pPr>
      <w:r w:rsidRPr="00A85602">
        <w:rPr>
          <w:rFonts w:ascii="Times New Roman" w:eastAsia="Times New Roman" w:hAnsi="Times New Roman" w:cs="Times New Roman"/>
          <w:bCs/>
          <w:color w:val="000000"/>
          <w:sz w:val="22"/>
          <w:szCs w:val="22"/>
        </w:rPr>
        <w:t>Supplementary Data</w:t>
      </w:r>
    </w:p>
    <w:p w14:paraId="08A6912A" w14:textId="0CE3CF4B" w:rsidR="00A85602" w:rsidRPr="00A85602" w:rsidRDefault="00A85602" w:rsidP="001777BB">
      <w:pPr>
        <w:pStyle w:val="ListParagraph"/>
        <w:widowControl w:val="0"/>
        <w:numPr>
          <w:ilvl w:val="0"/>
          <w:numId w:val="3"/>
        </w:numPr>
        <w:autoSpaceDE w:val="0"/>
        <w:autoSpaceDN w:val="0"/>
        <w:adjustRightInd w:val="0"/>
        <w:spacing w:after="240" w:line="360" w:lineRule="auto"/>
        <w:rPr>
          <w:rFonts w:ascii="Times New Roman" w:eastAsia="Times New Roman" w:hAnsi="Times New Roman" w:cs="Times New Roman"/>
          <w:bCs/>
          <w:color w:val="000000"/>
          <w:sz w:val="22"/>
          <w:szCs w:val="22"/>
        </w:rPr>
      </w:pPr>
      <w:r w:rsidRPr="00A85602">
        <w:rPr>
          <w:rFonts w:ascii="Times New Roman" w:eastAsia="Times New Roman" w:hAnsi="Times New Roman" w:cs="Times New Roman"/>
          <w:bCs/>
          <w:color w:val="000000"/>
          <w:sz w:val="22"/>
          <w:szCs w:val="22"/>
        </w:rPr>
        <w:t>Supplementary Code</w:t>
      </w:r>
    </w:p>
    <w:p w14:paraId="5304FE20" w14:textId="1C275980" w:rsidR="001777BB" w:rsidRDefault="001777BB">
      <w:pP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br w:type="page"/>
      </w:r>
    </w:p>
    <w:p w14:paraId="6281BD18" w14:textId="32253C2A" w:rsidR="00B13F4A" w:rsidRPr="001777BB" w:rsidRDefault="00B13F4A" w:rsidP="00B13F4A">
      <w:pPr>
        <w:widowControl w:val="0"/>
        <w:autoSpaceDE w:val="0"/>
        <w:autoSpaceDN w:val="0"/>
        <w:adjustRightInd w:val="0"/>
        <w:spacing w:after="240" w:line="360" w:lineRule="auto"/>
        <w:contextualSpacing/>
        <w:rPr>
          <w:rFonts w:ascii="Times New Roman" w:eastAsia="Times New Roman" w:hAnsi="Times New Roman" w:cs="Times New Roman"/>
          <w:sz w:val="28"/>
        </w:rPr>
      </w:pPr>
      <w:r w:rsidRPr="001777BB">
        <w:rPr>
          <w:rFonts w:ascii="Times New Roman" w:eastAsia="Times New Roman" w:hAnsi="Times New Roman" w:cs="Times New Roman"/>
          <w:b/>
          <w:bCs/>
          <w:color w:val="000000"/>
          <w:sz w:val="28"/>
        </w:rPr>
        <w:lastRenderedPageBreak/>
        <w:t>Supplementary Figures</w:t>
      </w:r>
    </w:p>
    <w:p w14:paraId="26402719" w14:textId="77777777" w:rsidR="00B13F4A" w:rsidRPr="00B96770" w:rsidRDefault="00B13F4A" w:rsidP="00B13F4A">
      <w:pPr>
        <w:spacing w:line="360" w:lineRule="auto"/>
        <w:contextualSpacing/>
        <w:rPr>
          <w:rFonts w:ascii="Times New Roman" w:eastAsia="Times New Roman" w:hAnsi="Times New Roman" w:cs="Times New Roman"/>
          <w:sz w:val="22"/>
          <w:szCs w:val="22"/>
        </w:rPr>
      </w:pPr>
    </w:p>
    <w:p w14:paraId="0628BAB5" w14:textId="6B25FEC1" w:rsidR="00B13F4A" w:rsidRPr="00B96770" w:rsidRDefault="00A85602" w:rsidP="00B13F4A">
      <w:pPr>
        <w:spacing w:line="360" w:lineRule="auto"/>
        <w:contextualSpacing/>
        <w:rPr>
          <w:rFonts w:ascii="Times New Roman" w:eastAsia="Times New Roman" w:hAnsi="Times New Roman" w:cs="Times New Roman"/>
          <w:sz w:val="22"/>
          <w:szCs w:val="22"/>
        </w:rPr>
      </w:pPr>
      <w:r>
        <w:rPr>
          <w:rFonts w:ascii="Times New Roman" w:eastAsia="Times New Roman" w:hAnsi="Times New Roman" w:cs="Times New Roman"/>
          <w:noProof/>
          <w:color w:val="000000"/>
          <w:sz w:val="22"/>
          <w:szCs w:val="22"/>
        </w:rPr>
        <w:drawing>
          <wp:inline distT="0" distB="0" distL="0" distR="0" wp14:anchorId="30A7AF69" wp14:editId="1328C5AC">
            <wp:extent cx="5943600" cy="40582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_Fig_S1.pdf"/>
                    <pic:cNvPicPr/>
                  </pic:nvPicPr>
                  <pic:blipFill>
                    <a:blip r:embed="rId9">
                      <a:extLst>
                        <a:ext uri="{28A0092B-C50C-407E-A947-70E740481C1C}">
                          <a14:useLocalDpi xmlns:a14="http://schemas.microsoft.com/office/drawing/2010/main" val="0"/>
                        </a:ext>
                      </a:extLst>
                    </a:blip>
                    <a:stretch>
                      <a:fillRect/>
                    </a:stretch>
                  </pic:blipFill>
                  <pic:spPr>
                    <a:xfrm>
                      <a:off x="0" y="0"/>
                      <a:ext cx="5943600" cy="4058285"/>
                    </a:xfrm>
                    <a:prstGeom prst="rect">
                      <a:avLst/>
                    </a:prstGeom>
                  </pic:spPr>
                </pic:pic>
              </a:graphicData>
            </a:graphic>
          </wp:inline>
        </w:drawing>
      </w:r>
    </w:p>
    <w:p w14:paraId="638F7650" w14:textId="77777777" w:rsidR="00B13F4A" w:rsidRPr="00B96770" w:rsidRDefault="00B13F4A" w:rsidP="00B13F4A">
      <w:pPr>
        <w:spacing w:line="360" w:lineRule="auto"/>
        <w:contextualSpacing/>
        <w:rPr>
          <w:rFonts w:ascii="Times New Roman" w:eastAsia="Times New Roman" w:hAnsi="Times New Roman" w:cs="Times New Roman"/>
          <w:sz w:val="22"/>
          <w:szCs w:val="22"/>
        </w:rPr>
      </w:pPr>
      <w:r w:rsidRPr="00B96770">
        <w:rPr>
          <w:rFonts w:ascii="Times New Roman" w:eastAsia="Times New Roman" w:hAnsi="Times New Roman" w:cs="Times New Roman"/>
          <w:b/>
          <w:bCs/>
          <w:i/>
          <w:iCs/>
          <w:color w:val="000000"/>
          <w:sz w:val="22"/>
          <w:szCs w:val="22"/>
        </w:rPr>
        <w:t>Supplementary Figure 1. Correlation between mean divergence from consensus and median terminal branch length.</w:t>
      </w:r>
    </w:p>
    <w:p w14:paraId="11BABC9F" w14:textId="77777777" w:rsidR="00B13F4A" w:rsidRDefault="00B13F4A" w:rsidP="00B13F4A">
      <w:pPr>
        <w:spacing w:line="360" w:lineRule="auto"/>
        <w:contextualSpacing/>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This analysis serves to validate the use of terminal branch lengths as a measure of age. It correlates strongly with the more widely used metric, “divergence from consensus sequence”, and is less sensitive to inflation as a result of TE family substructure. This can be seen in the case of LTR elements, which frequently have independently active subfamilies, and for which the divergence from consensus measure increases more rapidly than median terminal branch length.</w:t>
      </w:r>
    </w:p>
    <w:p w14:paraId="72A8BBFB" w14:textId="77777777" w:rsidR="00B13F4A" w:rsidRDefault="00B13F4A" w:rsidP="00B13F4A">
      <w:pPr>
        <w:rPr>
          <w:rFonts w:ascii="Times New Roman" w:eastAsia="Times New Roman" w:hAnsi="Times New Roman" w:cs="Times New Roman"/>
          <w:iCs/>
          <w:color w:val="000000"/>
          <w:sz w:val="22"/>
          <w:szCs w:val="22"/>
        </w:rPr>
      </w:pPr>
      <w:r>
        <w:rPr>
          <w:rFonts w:ascii="Times New Roman" w:eastAsia="Times New Roman" w:hAnsi="Times New Roman" w:cs="Times New Roman"/>
          <w:iCs/>
          <w:color w:val="000000"/>
          <w:sz w:val="22"/>
          <w:szCs w:val="22"/>
        </w:rPr>
        <w:br w:type="page"/>
      </w:r>
    </w:p>
    <w:p w14:paraId="4E4080FF" w14:textId="5D5A3958" w:rsidR="00B13F4A" w:rsidRPr="00B96770" w:rsidRDefault="00A85602" w:rsidP="00B13F4A">
      <w:pPr>
        <w:spacing w:line="360" w:lineRule="auto"/>
        <w:contextualSpacing/>
        <w:rPr>
          <w:rFonts w:ascii="Times New Roman" w:eastAsia="Times New Roman" w:hAnsi="Times New Roman" w:cs="Times New Roman"/>
          <w:sz w:val="22"/>
          <w:szCs w:val="22"/>
        </w:rPr>
      </w:pPr>
      <w:r>
        <w:rPr>
          <w:rFonts w:ascii="Times New Roman" w:eastAsia="Times New Roman" w:hAnsi="Times New Roman" w:cs="Times New Roman"/>
          <w:b/>
          <w:bCs/>
          <w:i/>
          <w:iCs/>
          <w:noProof/>
          <w:color w:val="000000"/>
          <w:sz w:val="22"/>
          <w:szCs w:val="22"/>
        </w:rPr>
        <w:lastRenderedPageBreak/>
        <w:drawing>
          <wp:inline distT="0" distB="0" distL="0" distR="0" wp14:anchorId="09A7857B" wp14:editId="1801C2BD">
            <wp:extent cx="5943600" cy="297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_Fig_S2.pdf"/>
                    <pic:cNvPicPr/>
                  </pic:nvPicPr>
                  <pic:blipFill>
                    <a:blip r:embed="rId10">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BA1975F" w14:textId="77777777" w:rsidR="00B13F4A" w:rsidRPr="00B96770" w:rsidRDefault="00B13F4A" w:rsidP="00B13F4A">
      <w:pPr>
        <w:spacing w:line="360" w:lineRule="auto"/>
        <w:contextualSpacing/>
        <w:rPr>
          <w:rFonts w:ascii="Times New Roman" w:eastAsia="Times New Roman" w:hAnsi="Times New Roman" w:cs="Times New Roman"/>
          <w:sz w:val="22"/>
          <w:szCs w:val="22"/>
        </w:rPr>
      </w:pPr>
      <w:r w:rsidRPr="00B96770">
        <w:rPr>
          <w:rFonts w:ascii="Times New Roman" w:eastAsia="Times New Roman" w:hAnsi="Times New Roman" w:cs="Times New Roman"/>
          <w:b/>
          <w:bCs/>
          <w:i/>
          <w:iCs/>
          <w:color w:val="000000"/>
          <w:sz w:val="22"/>
          <w:szCs w:val="22"/>
        </w:rPr>
        <w:t xml:space="preserve">Supplementary Figure </w:t>
      </w:r>
      <w:r>
        <w:rPr>
          <w:rFonts w:ascii="Times New Roman" w:eastAsia="Times New Roman" w:hAnsi="Times New Roman" w:cs="Times New Roman"/>
          <w:b/>
          <w:bCs/>
          <w:i/>
          <w:iCs/>
          <w:color w:val="000000"/>
          <w:sz w:val="22"/>
          <w:szCs w:val="22"/>
        </w:rPr>
        <w:t>2</w:t>
      </w:r>
      <w:r w:rsidRPr="00B96770">
        <w:rPr>
          <w:rFonts w:ascii="Times New Roman" w:eastAsia="Times New Roman" w:hAnsi="Times New Roman" w:cs="Times New Roman"/>
          <w:b/>
          <w:bCs/>
          <w:i/>
          <w:iCs/>
          <w:color w:val="000000"/>
          <w:sz w:val="22"/>
          <w:szCs w:val="22"/>
        </w:rPr>
        <w:t>. TE length correlates with age.</w:t>
      </w:r>
    </w:p>
    <w:p w14:paraId="2138DE19" w14:textId="77777777" w:rsidR="00B13F4A" w:rsidRDefault="00B13F4A" w:rsidP="00B13F4A">
      <w:pPr>
        <w:spacing w:line="360" w:lineRule="auto"/>
        <w:contextualSpacing/>
        <w:jc w:val="both"/>
        <w:rPr>
          <w:rFonts w:ascii="Times New Roman" w:eastAsia="Times New Roman" w:hAnsi="Times New Roman" w:cs="Times New Roman"/>
          <w:i/>
          <w:iCs/>
          <w:color w:val="000000"/>
          <w:sz w:val="22"/>
          <w:szCs w:val="22"/>
        </w:rPr>
      </w:pPr>
      <w:r w:rsidRPr="00B96770">
        <w:rPr>
          <w:rFonts w:ascii="Times New Roman" w:eastAsia="Times New Roman" w:hAnsi="Times New Roman" w:cs="Times New Roman"/>
          <w:i/>
          <w:iCs/>
          <w:color w:val="000000"/>
          <w:sz w:val="22"/>
          <w:szCs w:val="22"/>
        </w:rPr>
        <w:t>A. Differences in consensus sequence lengths between classes. Wilcoxon rank-sum test P-values given above boxes. B. Correlation between consensus sequence length and age for different TE classes. Values for r are calculated with Spearman’s rank correlation test.</w:t>
      </w:r>
    </w:p>
    <w:p w14:paraId="1DAD1C9B" w14:textId="77777777" w:rsidR="00B13F4A" w:rsidRDefault="00B13F4A" w:rsidP="00B13F4A">
      <w:pPr>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br w:type="page"/>
      </w:r>
    </w:p>
    <w:p w14:paraId="152F30A4" w14:textId="70DE964D" w:rsidR="00B13F4A" w:rsidRDefault="00474810" w:rsidP="00B13F4A">
      <w:pPr>
        <w:spacing w:line="360" w:lineRule="auto"/>
        <w:contextualSpacing/>
        <w:rPr>
          <w:rFonts w:ascii="Times New Roman" w:eastAsia="Times New Roman" w:hAnsi="Times New Roman" w:cs="Times New Roman"/>
          <w:b/>
          <w:bCs/>
          <w:i/>
          <w:iCs/>
          <w:color w:val="000000"/>
          <w:sz w:val="22"/>
          <w:szCs w:val="22"/>
        </w:rPr>
      </w:pPr>
      <w:r>
        <w:rPr>
          <w:rFonts w:ascii="Times New Roman" w:eastAsia="Times New Roman" w:hAnsi="Times New Roman" w:cs="Times New Roman"/>
          <w:noProof/>
          <w:sz w:val="22"/>
          <w:szCs w:val="22"/>
        </w:rPr>
        <w:lastRenderedPageBreak/>
        <w:drawing>
          <wp:inline distT="0" distB="0" distL="0" distR="0" wp14:anchorId="777B04FE" wp14:editId="4C57618B">
            <wp:extent cx="5943600" cy="70535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lementary_Fig_S3.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7053580"/>
                    </a:xfrm>
                    <a:prstGeom prst="rect">
                      <a:avLst/>
                    </a:prstGeom>
                  </pic:spPr>
                </pic:pic>
              </a:graphicData>
            </a:graphic>
          </wp:inline>
        </w:drawing>
      </w:r>
      <w:r w:rsidR="00B13F4A" w:rsidRPr="00676711">
        <w:rPr>
          <w:rFonts w:ascii="Arial" w:eastAsia="Arial" w:hAnsi="Arial" w:cs="Arial"/>
          <w:b/>
          <w:bCs/>
          <w:i/>
          <w:iCs/>
          <w:color w:val="ED7D31" w:themeColor="accent2"/>
          <w:sz w:val="22"/>
          <w:szCs w:val="22"/>
          <w:lang w:eastAsia="en-US"/>
        </w:rPr>
        <w:t xml:space="preserve"> </w:t>
      </w:r>
      <w:r w:rsidR="00B13F4A" w:rsidRPr="00676711">
        <w:rPr>
          <w:rFonts w:ascii="Times New Roman" w:eastAsia="Times New Roman" w:hAnsi="Times New Roman" w:cs="Times New Roman"/>
          <w:b/>
          <w:bCs/>
          <w:i/>
          <w:iCs/>
          <w:color w:val="000000"/>
          <w:sz w:val="22"/>
          <w:szCs w:val="22"/>
        </w:rPr>
        <w:t xml:space="preserve">Supplementary Figure </w:t>
      </w:r>
      <w:r w:rsidR="00B13F4A">
        <w:rPr>
          <w:rFonts w:ascii="Times New Roman" w:eastAsia="Times New Roman" w:hAnsi="Times New Roman" w:cs="Times New Roman"/>
          <w:b/>
          <w:bCs/>
          <w:i/>
          <w:iCs/>
          <w:color w:val="000000"/>
          <w:sz w:val="22"/>
          <w:szCs w:val="22"/>
        </w:rPr>
        <w:t>3</w:t>
      </w:r>
      <w:r w:rsidR="00B13F4A" w:rsidRPr="00676711">
        <w:rPr>
          <w:rFonts w:ascii="Times New Roman" w:eastAsia="Times New Roman" w:hAnsi="Times New Roman" w:cs="Times New Roman"/>
          <w:b/>
          <w:bCs/>
          <w:i/>
          <w:iCs/>
          <w:color w:val="000000"/>
          <w:sz w:val="22"/>
          <w:szCs w:val="22"/>
        </w:rPr>
        <w:t xml:space="preserve">. Replicate of Figure 2 with </w:t>
      </w:r>
      <w:r w:rsidR="00B13F4A">
        <w:rPr>
          <w:rFonts w:ascii="Times New Roman" w:eastAsia="Times New Roman" w:hAnsi="Times New Roman" w:cs="Times New Roman"/>
          <w:b/>
          <w:bCs/>
          <w:i/>
          <w:iCs/>
          <w:color w:val="000000"/>
          <w:sz w:val="22"/>
          <w:szCs w:val="22"/>
        </w:rPr>
        <w:t>C</w:t>
      </w:r>
      <w:r w:rsidR="00B13F4A" w:rsidRPr="00676711">
        <w:rPr>
          <w:rFonts w:ascii="Times New Roman" w:eastAsia="Times New Roman" w:hAnsi="Times New Roman" w:cs="Times New Roman"/>
          <w:b/>
          <w:bCs/>
          <w:i/>
          <w:iCs/>
          <w:color w:val="000000"/>
          <w:sz w:val="22"/>
          <w:szCs w:val="22"/>
        </w:rPr>
        <w:t xml:space="preserve">hromosome four omitted from analysis. </w:t>
      </w:r>
    </w:p>
    <w:p w14:paraId="4E69BE3F" w14:textId="77777777" w:rsidR="00B13F4A" w:rsidRPr="00676711" w:rsidRDefault="00B13F4A" w:rsidP="00B13F4A">
      <w:pPr>
        <w:spacing w:line="360" w:lineRule="auto"/>
        <w:contextualSpacing/>
        <w:rPr>
          <w:rFonts w:ascii="Times New Roman" w:eastAsia="Times New Roman" w:hAnsi="Times New Roman" w:cs="Times New Roman"/>
          <w:i/>
          <w:iCs/>
          <w:color w:val="000000"/>
          <w:sz w:val="22"/>
          <w:szCs w:val="22"/>
        </w:rPr>
      </w:pPr>
      <w:r w:rsidRPr="00676711">
        <w:rPr>
          <w:rFonts w:ascii="Times New Roman" w:eastAsia="Times New Roman" w:hAnsi="Times New Roman" w:cs="Times New Roman"/>
          <w:i/>
          <w:iCs/>
          <w:color w:val="000000"/>
          <w:sz w:val="22"/>
          <w:szCs w:val="22"/>
        </w:rPr>
        <w:t>Panels A, B and C correspond to panels C, D and E of Fig. 2 in the main body of text.</w:t>
      </w:r>
    </w:p>
    <w:p w14:paraId="49B45958" w14:textId="77777777" w:rsidR="00B13F4A" w:rsidRDefault="00B13F4A" w:rsidP="00B13F4A">
      <w:pPr>
        <w:rPr>
          <w:rFonts w:ascii="Times New Roman" w:eastAsia="Times New Roman" w:hAnsi="Times New Roman" w:cs="Times New Roman"/>
          <w:sz w:val="22"/>
          <w:szCs w:val="22"/>
        </w:rPr>
      </w:pPr>
      <w:r>
        <w:rPr>
          <w:rFonts w:ascii="Times New Roman" w:eastAsia="Times New Roman" w:hAnsi="Times New Roman" w:cs="Times New Roman"/>
          <w:sz w:val="22"/>
          <w:szCs w:val="22"/>
        </w:rPr>
        <w:br w:type="page"/>
      </w:r>
    </w:p>
    <w:p w14:paraId="26D4525F" w14:textId="53936523" w:rsidR="00B13F4A" w:rsidRPr="00B96770" w:rsidRDefault="00A85602" w:rsidP="00B13F4A">
      <w:pPr>
        <w:spacing w:line="360" w:lineRule="auto"/>
        <w:contextualSpacing/>
        <w:rPr>
          <w:rFonts w:ascii="Times New Roman" w:eastAsia="Times New Roman" w:hAnsi="Times New Roman" w:cs="Times New Roman"/>
          <w:sz w:val="22"/>
          <w:szCs w:val="22"/>
        </w:rPr>
      </w:pPr>
      <w:r>
        <w:rPr>
          <w:rFonts w:ascii="Times New Roman" w:eastAsia="Times New Roman" w:hAnsi="Times New Roman" w:cs="Times New Roman"/>
          <w:noProof/>
          <w:sz w:val="22"/>
          <w:szCs w:val="22"/>
        </w:rPr>
        <w:lastRenderedPageBreak/>
        <w:drawing>
          <wp:inline distT="0" distB="0" distL="0" distR="0" wp14:anchorId="0527D66F" wp14:editId="45DBC50F">
            <wp:extent cx="59436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lementary_Fig_S4.pdf"/>
                    <pic:cNvPicPr/>
                  </pic:nvPicPr>
                  <pic:blipFill>
                    <a:blip r:embed="rId1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A68D257" w14:textId="77777777" w:rsidR="00B13F4A" w:rsidRPr="00B96770" w:rsidRDefault="00B13F4A" w:rsidP="00B13F4A">
      <w:pPr>
        <w:spacing w:line="360" w:lineRule="auto"/>
        <w:contextualSpacing/>
        <w:rPr>
          <w:rFonts w:ascii="Times New Roman" w:eastAsia="Times New Roman" w:hAnsi="Times New Roman" w:cs="Times New Roman"/>
          <w:sz w:val="22"/>
          <w:szCs w:val="22"/>
        </w:rPr>
      </w:pPr>
      <w:r w:rsidRPr="00B96770">
        <w:rPr>
          <w:rFonts w:ascii="Times New Roman" w:eastAsia="Times New Roman" w:hAnsi="Times New Roman" w:cs="Times New Roman"/>
          <w:b/>
          <w:bCs/>
          <w:i/>
          <w:iCs/>
          <w:color w:val="000000"/>
          <w:sz w:val="22"/>
          <w:szCs w:val="22"/>
        </w:rPr>
        <w:t xml:space="preserve">Supplementary Figure </w:t>
      </w:r>
      <w:r>
        <w:rPr>
          <w:rFonts w:ascii="Times New Roman" w:eastAsia="Times New Roman" w:hAnsi="Times New Roman" w:cs="Times New Roman"/>
          <w:b/>
          <w:bCs/>
          <w:i/>
          <w:iCs/>
          <w:color w:val="000000"/>
          <w:sz w:val="22"/>
          <w:szCs w:val="22"/>
        </w:rPr>
        <w:t>4</w:t>
      </w:r>
      <w:r w:rsidRPr="00B96770">
        <w:rPr>
          <w:rFonts w:ascii="Times New Roman" w:eastAsia="Times New Roman" w:hAnsi="Times New Roman" w:cs="Times New Roman"/>
          <w:b/>
          <w:bCs/>
          <w:i/>
          <w:iCs/>
          <w:color w:val="000000"/>
          <w:sz w:val="22"/>
          <w:szCs w:val="22"/>
        </w:rPr>
        <w:t>. Genomic distribution of old and young insertions</w:t>
      </w:r>
    </w:p>
    <w:p w14:paraId="625A268D" w14:textId="77777777" w:rsidR="00B13F4A" w:rsidRPr="00B96770" w:rsidRDefault="00B13F4A" w:rsidP="00B13F4A">
      <w:pPr>
        <w:spacing w:line="360" w:lineRule="auto"/>
        <w:contextualSpacing/>
        <w:jc w:val="both"/>
        <w:rPr>
          <w:rFonts w:ascii="Times New Roman" w:eastAsia="Times New Roman" w:hAnsi="Times New Roman" w:cs="Times New Roman"/>
          <w:sz w:val="22"/>
          <w:szCs w:val="22"/>
        </w:rPr>
      </w:pPr>
      <w:r w:rsidRPr="00B96770">
        <w:rPr>
          <w:rFonts w:ascii="Times New Roman" w:eastAsia="Times New Roman" w:hAnsi="Times New Roman" w:cs="Times New Roman"/>
          <w:i/>
          <w:iCs/>
          <w:color w:val="000000"/>
          <w:sz w:val="22"/>
          <w:szCs w:val="22"/>
        </w:rPr>
        <w:t xml:space="preserve">Relates to figure 2A. A. Young insertions (&lt;2% diverged from the TE family consensus sequence) are enriched in pericentromeric regions and on the long arm of </w:t>
      </w:r>
      <w:r>
        <w:rPr>
          <w:rFonts w:ascii="Times New Roman" w:eastAsia="Times New Roman" w:hAnsi="Times New Roman" w:cs="Times New Roman"/>
          <w:i/>
          <w:iCs/>
          <w:color w:val="000000"/>
          <w:sz w:val="22"/>
          <w:szCs w:val="22"/>
        </w:rPr>
        <w:t>C</w:t>
      </w:r>
      <w:r w:rsidRPr="00B96770">
        <w:rPr>
          <w:rFonts w:ascii="Times New Roman" w:eastAsia="Times New Roman" w:hAnsi="Times New Roman" w:cs="Times New Roman"/>
          <w:i/>
          <w:iCs/>
          <w:color w:val="000000"/>
          <w:sz w:val="22"/>
          <w:szCs w:val="22"/>
        </w:rPr>
        <w:t xml:space="preserve">hromosome 4. This is consistent with TE families preferentially targeting repetitive or heterochromatic regions. B. When restricting the analysis to older insertions (&gt;15% diverged from consensus), the patterns are broadly similar, with the exception of </w:t>
      </w:r>
      <w:r>
        <w:rPr>
          <w:rFonts w:ascii="Times New Roman" w:eastAsia="Times New Roman" w:hAnsi="Times New Roman" w:cs="Times New Roman"/>
          <w:i/>
          <w:iCs/>
          <w:color w:val="000000"/>
          <w:sz w:val="22"/>
          <w:szCs w:val="22"/>
        </w:rPr>
        <w:t>C</w:t>
      </w:r>
      <w:r w:rsidRPr="00B96770">
        <w:rPr>
          <w:rFonts w:ascii="Times New Roman" w:eastAsia="Times New Roman" w:hAnsi="Times New Roman" w:cs="Times New Roman"/>
          <w:i/>
          <w:iCs/>
          <w:color w:val="000000"/>
          <w:sz w:val="22"/>
          <w:szCs w:val="22"/>
        </w:rPr>
        <w:t>hromosome 4, which is depleted</w:t>
      </w:r>
      <w:r>
        <w:rPr>
          <w:rFonts w:ascii="Times New Roman" w:eastAsia="Times New Roman" w:hAnsi="Times New Roman" w:cs="Times New Roman"/>
          <w:i/>
          <w:iCs/>
          <w:color w:val="000000"/>
          <w:sz w:val="22"/>
          <w:szCs w:val="22"/>
        </w:rPr>
        <w:t xml:space="preserve"> of TEs</w:t>
      </w:r>
      <w:r w:rsidRPr="00B96770">
        <w:rPr>
          <w:rFonts w:ascii="Times New Roman" w:eastAsia="Times New Roman" w:hAnsi="Times New Roman" w:cs="Times New Roman"/>
          <w:i/>
          <w:iCs/>
          <w:color w:val="000000"/>
          <w:sz w:val="22"/>
          <w:szCs w:val="22"/>
        </w:rPr>
        <w:t>, consistent with increased turnover of insertions.</w:t>
      </w:r>
    </w:p>
    <w:p w14:paraId="3785CBFC" w14:textId="77777777" w:rsidR="00B13F4A" w:rsidRDefault="00B13F4A" w:rsidP="00B13F4A">
      <w:pPr>
        <w:spacing w:after="240" w:line="360" w:lineRule="auto"/>
        <w:contextualSpacing/>
        <w:rPr>
          <w:rFonts w:ascii="Times New Roman" w:eastAsia="Times New Roman" w:hAnsi="Times New Roman" w:cs="Times New Roman"/>
          <w:sz w:val="22"/>
          <w:szCs w:val="22"/>
        </w:rPr>
      </w:pPr>
      <w:r>
        <w:rPr>
          <w:rFonts w:ascii="Times New Roman" w:eastAsia="Times New Roman" w:hAnsi="Times New Roman" w:cs="Times New Roman"/>
          <w:sz w:val="22"/>
          <w:szCs w:val="22"/>
        </w:rPr>
        <w:br w:type="page"/>
      </w:r>
    </w:p>
    <w:p w14:paraId="22EF5771" w14:textId="414BA9BE" w:rsidR="00B13F4A" w:rsidRDefault="000D5334" w:rsidP="00B13F4A">
      <w:pPr>
        <w:spacing w:line="360" w:lineRule="auto"/>
        <w:contextualSpacing/>
        <w:jc w:val="both"/>
        <w:rPr>
          <w:rFonts w:ascii="Times New Roman" w:eastAsia="Times New Roman" w:hAnsi="Times New Roman" w:cs="Times New Roman"/>
          <w:b/>
          <w:bCs/>
          <w:i/>
          <w:iCs/>
          <w:color w:val="000000"/>
          <w:sz w:val="22"/>
          <w:szCs w:val="22"/>
        </w:rPr>
      </w:pPr>
      <w:r>
        <w:rPr>
          <w:rFonts w:ascii="Times New Roman" w:eastAsia="Times New Roman" w:hAnsi="Times New Roman" w:cs="Times New Roman"/>
          <w:noProof/>
          <w:sz w:val="22"/>
          <w:szCs w:val="22"/>
        </w:rPr>
        <w:lastRenderedPageBreak/>
        <w:drawing>
          <wp:inline distT="0" distB="0" distL="0" distR="0" wp14:anchorId="3CE12331" wp14:editId="1DBD725A">
            <wp:extent cx="4004733" cy="653998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pplementary_Fig_S5.png"/>
                    <pic:cNvPicPr/>
                  </pic:nvPicPr>
                  <pic:blipFill>
                    <a:blip r:embed="rId13">
                      <a:extLst>
                        <a:ext uri="{28A0092B-C50C-407E-A947-70E740481C1C}">
                          <a14:useLocalDpi xmlns:a14="http://schemas.microsoft.com/office/drawing/2010/main" val="0"/>
                        </a:ext>
                      </a:extLst>
                    </a:blip>
                    <a:stretch>
                      <a:fillRect/>
                    </a:stretch>
                  </pic:blipFill>
                  <pic:spPr>
                    <a:xfrm>
                      <a:off x="0" y="0"/>
                      <a:ext cx="4025796" cy="6574385"/>
                    </a:xfrm>
                    <a:prstGeom prst="rect">
                      <a:avLst/>
                    </a:prstGeom>
                  </pic:spPr>
                </pic:pic>
              </a:graphicData>
            </a:graphic>
          </wp:inline>
        </w:drawing>
      </w:r>
    </w:p>
    <w:p w14:paraId="52FA5C2C" w14:textId="77777777" w:rsidR="00B13F4A" w:rsidRDefault="00B13F4A" w:rsidP="00B13F4A">
      <w:pPr>
        <w:spacing w:line="360" w:lineRule="auto"/>
        <w:contextualSpacing/>
        <w:jc w:val="both"/>
        <w:rPr>
          <w:rFonts w:ascii="Times New Roman" w:eastAsia="Times New Roman" w:hAnsi="Times New Roman" w:cs="Times New Roman"/>
          <w:i/>
          <w:iCs/>
          <w:color w:val="000000"/>
          <w:sz w:val="22"/>
          <w:szCs w:val="22"/>
        </w:rPr>
      </w:pPr>
      <w:r w:rsidRPr="00B96770">
        <w:rPr>
          <w:rFonts w:ascii="Times New Roman" w:eastAsia="Times New Roman" w:hAnsi="Times New Roman" w:cs="Times New Roman"/>
          <w:b/>
          <w:bCs/>
          <w:i/>
          <w:iCs/>
          <w:color w:val="000000"/>
          <w:sz w:val="22"/>
          <w:szCs w:val="22"/>
        </w:rPr>
        <w:t xml:space="preserve">Supplementary Figure </w:t>
      </w:r>
      <w:r>
        <w:rPr>
          <w:rFonts w:ascii="Times New Roman" w:eastAsia="Times New Roman" w:hAnsi="Times New Roman" w:cs="Times New Roman"/>
          <w:b/>
          <w:bCs/>
          <w:i/>
          <w:iCs/>
          <w:color w:val="000000"/>
          <w:sz w:val="22"/>
          <w:szCs w:val="22"/>
        </w:rPr>
        <w:t>5</w:t>
      </w:r>
      <w:r w:rsidRPr="00B96770">
        <w:rPr>
          <w:rFonts w:ascii="Times New Roman" w:eastAsia="Times New Roman" w:hAnsi="Times New Roman" w:cs="Times New Roman"/>
          <w:b/>
          <w:bCs/>
          <w:i/>
          <w:iCs/>
          <w:color w:val="000000"/>
          <w:sz w:val="22"/>
          <w:szCs w:val="22"/>
        </w:rPr>
        <w:t>.</w:t>
      </w:r>
      <w:r w:rsidRPr="00B96770">
        <w:rPr>
          <w:rFonts w:ascii="Times New Roman" w:eastAsia="Times New Roman" w:hAnsi="Times New Roman" w:cs="Times New Roman"/>
          <w:i/>
          <w:iCs/>
          <w:color w:val="000000"/>
          <w:sz w:val="22"/>
          <w:szCs w:val="22"/>
        </w:rPr>
        <w:t xml:space="preserve"> </w:t>
      </w:r>
    </w:p>
    <w:p w14:paraId="74F3B426" w14:textId="786BDE99" w:rsidR="00B13F4A" w:rsidRDefault="00B13F4A" w:rsidP="001777BB">
      <w:pPr>
        <w:spacing w:line="360" w:lineRule="auto"/>
        <w:contextualSpacing/>
        <w:jc w:val="both"/>
        <w:rPr>
          <w:rFonts w:ascii="Times New Roman" w:eastAsia="Times New Roman" w:hAnsi="Times New Roman" w:cs="Times New Roman"/>
          <w:i/>
          <w:iCs/>
          <w:color w:val="000000"/>
          <w:sz w:val="22"/>
          <w:szCs w:val="22"/>
        </w:rPr>
      </w:pPr>
      <w:r w:rsidRPr="00A42C0B">
        <w:rPr>
          <w:rFonts w:ascii="Times New Roman" w:eastAsia="Times New Roman" w:hAnsi="Times New Roman" w:cs="Times New Roman"/>
          <w:i/>
          <w:iCs/>
          <w:color w:val="000000"/>
          <w:sz w:val="22"/>
          <w:szCs w:val="22"/>
        </w:rPr>
        <w:t>A</w:t>
      </w:r>
      <w:r w:rsidRPr="00BD7805">
        <w:rPr>
          <w:rFonts w:ascii="Times New Roman" w:eastAsia="Times New Roman" w:hAnsi="Times New Roman" w:cs="Times New Roman"/>
          <w:i/>
          <w:iCs/>
          <w:color w:val="000000"/>
          <w:sz w:val="22"/>
          <w:szCs w:val="22"/>
        </w:rPr>
        <w:t xml:space="preserve">. </w:t>
      </w:r>
      <w:r w:rsidRPr="00A42C0B">
        <w:rPr>
          <w:rFonts w:ascii="Times New Roman" w:eastAsia="Times New Roman" w:hAnsi="Times New Roman" w:cs="Times New Roman"/>
          <w:i/>
          <w:iCs/>
          <w:color w:val="000000"/>
          <w:sz w:val="22"/>
          <w:szCs w:val="22"/>
        </w:rPr>
        <w:t>Boxplot of divergence from consensus</w:t>
      </w:r>
      <w:r>
        <w:rPr>
          <w:rFonts w:ascii="Times New Roman" w:eastAsia="Times New Roman" w:hAnsi="Times New Roman" w:cs="Times New Roman"/>
          <w:i/>
          <w:iCs/>
          <w:color w:val="000000"/>
          <w:sz w:val="22"/>
          <w:szCs w:val="22"/>
        </w:rPr>
        <w:t xml:space="preserve"> sequence</w:t>
      </w:r>
      <w:r w:rsidRPr="00A42C0B">
        <w:rPr>
          <w:rFonts w:ascii="Times New Roman" w:eastAsia="Times New Roman" w:hAnsi="Times New Roman" w:cs="Times New Roman"/>
          <w:i/>
          <w:iCs/>
          <w:color w:val="000000"/>
          <w:sz w:val="22"/>
          <w:szCs w:val="22"/>
        </w:rPr>
        <w:t xml:space="preserve"> for differentially expressed self-expressed TEs from all TE categories.</w:t>
      </w:r>
      <w:r>
        <w:rPr>
          <w:rFonts w:ascii="Times New Roman" w:eastAsia="Times New Roman" w:hAnsi="Times New Roman" w:cs="Times New Roman"/>
          <w:i/>
          <w:iCs/>
          <w:color w:val="000000"/>
          <w:sz w:val="22"/>
          <w:szCs w:val="22"/>
        </w:rPr>
        <w:t xml:space="preserve"> B. Fraction of differentially expressed gene-dependent TE loci contained in different gene components.</w:t>
      </w:r>
      <w:r w:rsidRPr="00A42C0B">
        <w:rPr>
          <w:rFonts w:ascii="Times New Roman" w:eastAsia="Times New Roman" w:hAnsi="Times New Roman" w:cs="Times New Roman"/>
          <w:i/>
          <w:iCs/>
          <w:color w:val="000000"/>
          <w:sz w:val="22"/>
          <w:szCs w:val="22"/>
        </w:rPr>
        <w:t xml:space="preserve"> </w:t>
      </w:r>
      <w:r>
        <w:rPr>
          <w:rFonts w:ascii="Times New Roman" w:eastAsia="Times New Roman" w:hAnsi="Times New Roman" w:cs="Times New Roman"/>
          <w:i/>
          <w:iCs/>
          <w:color w:val="000000"/>
          <w:sz w:val="22"/>
          <w:szCs w:val="22"/>
        </w:rPr>
        <w:t>C. Number (top) and fraction (bottom) of differentially expressed TE loci in gene-dependent or self-expressed categories split by TE family and TE class. D</w:t>
      </w:r>
      <w:r w:rsidRPr="00A42C0B">
        <w:rPr>
          <w:rFonts w:ascii="Times New Roman" w:eastAsia="Times New Roman" w:hAnsi="Times New Roman" w:cs="Times New Roman"/>
          <w:i/>
          <w:iCs/>
          <w:color w:val="000000"/>
          <w:sz w:val="22"/>
          <w:szCs w:val="22"/>
        </w:rPr>
        <w:t>.</w:t>
      </w:r>
      <w:r>
        <w:rPr>
          <w:rFonts w:ascii="Times New Roman" w:eastAsia="Times New Roman" w:hAnsi="Times New Roman" w:cs="Times New Roman"/>
          <w:i/>
          <w:iCs/>
          <w:color w:val="000000"/>
          <w:sz w:val="22"/>
          <w:szCs w:val="22"/>
        </w:rPr>
        <w:t xml:space="preserve"> Percentage</w:t>
      </w:r>
      <w:r w:rsidRPr="00A42C0B">
        <w:rPr>
          <w:rFonts w:ascii="Times New Roman" w:eastAsia="Times New Roman" w:hAnsi="Times New Roman" w:cs="Times New Roman"/>
          <w:i/>
          <w:iCs/>
          <w:color w:val="000000"/>
          <w:sz w:val="22"/>
          <w:szCs w:val="22"/>
        </w:rPr>
        <w:t xml:space="preserve"> of read counts assigned to genes or TEs for each sample. Red dashed line marks the mean </w:t>
      </w:r>
      <w:r>
        <w:rPr>
          <w:rFonts w:ascii="Times New Roman" w:eastAsia="Times New Roman" w:hAnsi="Times New Roman" w:cs="Times New Roman"/>
          <w:i/>
          <w:iCs/>
          <w:color w:val="000000"/>
          <w:sz w:val="22"/>
          <w:szCs w:val="22"/>
        </w:rPr>
        <w:t xml:space="preserve">of </w:t>
      </w:r>
      <w:r w:rsidRPr="00A42C0B">
        <w:rPr>
          <w:rFonts w:ascii="Times New Roman" w:eastAsia="Times New Roman" w:hAnsi="Times New Roman" w:cs="Times New Roman"/>
          <w:i/>
          <w:iCs/>
          <w:color w:val="000000"/>
          <w:sz w:val="22"/>
          <w:szCs w:val="22"/>
        </w:rPr>
        <w:t xml:space="preserve">TE assigned </w:t>
      </w:r>
      <w:r>
        <w:rPr>
          <w:rFonts w:ascii="Times New Roman" w:eastAsia="Times New Roman" w:hAnsi="Times New Roman" w:cs="Times New Roman"/>
          <w:i/>
          <w:iCs/>
          <w:color w:val="000000"/>
          <w:sz w:val="22"/>
          <w:szCs w:val="22"/>
        </w:rPr>
        <w:t>reads</w:t>
      </w:r>
      <w:r w:rsidRPr="00A42C0B">
        <w:rPr>
          <w:rFonts w:ascii="Times New Roman" w:eastAsia="Times New Roman" w:hAnsi="Times New Roman" w:cs="Times New Roman"/>
          <w:i/>
          <w:iCs/>
          <w:color w:val="000000"/>
          <w:sz w:val="22"/>
          <w:szCs w:val="22"/>
        </w:rPr>
        <w:t xml:space="preserve"> for pre-ZGA (lower) and post-ZGA (upper) samples.</w:t>
      </w:r>
      <w:r>
        <w:rPr>
          <w:rFonts w:ascii="Times New Roman" w:eastAsia="Times New Roman" w:hAnsi="Times New Roman" w:cs="Times New Roman"/>
          <w:i/>
          <w:iCs/>
          <w:color w:val="000000"/>
          <w:sz w:val="22"/>
          <w:szCs w:val="22"/>
        </w:rPr>
        <w:br w:type="page"/>
      </w:r>
    </w:p>
    <w:p w14:paraId="44530A2B" w14:textId="62698E15" w:rsidR="00B13F4A" w:rsidRDefault="00A85602" w:rsidP="00B13F4A">
      <w:pPr>
        <w:spacing w:line="360" w:lineRule="auto"/>
        <w:contextualSpacing/>
        <w:rPr>
          <w:rFonts w:ascii="Times New Roman" w:eastAsia="Times New Roman" w:hAnsi="Times New Roman" w:cs="Times New Roman"/>
          <w:b/>
          <w:bCs/>
          <w:i/>
          <w:iCs/>
          <w:sz w:val="22"/>
          <w:szCs w:val="22"/>
        </w:rPr>
      </w:pPr>
      <w:r>
        <w:rPr>
          <w:rFonts w:ascii="Times New Roman" w:eastAsia="Times New Roman" w:hAnsi="Times New Roman" w:cs="Times New Roman"/>
          <w:b/>
          <w:bCs/>
          <w:i/>
          <w:iCs/>
          <w:noProof/>
          <w:sz w:val="22"/>
          <w:szCs w:val="22"/>
        </w:rPr>
        <w:lastRenderedPageBreak/>
        <w:drawing>
          <wp:inline distT="0" distB="0" distL="0" distR="0" wp14:anchorId="7BDBED1F" wp14:editId="357AA88B">
            <wp:extent cx="4229100" cy="4038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ementary_Fig_S6.pdf"/>
                    <pic:cNvPicPr/>
                  </pic:nvPicPr>
                  <pic:blipFill>
                    <a:blip r:embed="rId14">
                      <a:extLst>
                        <a:ext uri="{28A0092B-C50C-407E-A947-70E740481C1C}">
                          <a14:useLocalDpi xmlns:a14="http://schemas.microsoft.com/office/drawing/2010/main" val="0"/>
                        </a:ext>
                      </a:extLst>
                    </a:blip>
                    <a:stretch>
                      <a:fillRect/>
                    </a:stretch>
                  </pic:blipFill>
                  <pic:spPr>
                    <a:xfrm>
                      <a:off x="0" y="0"/>
                      <a:ext cx="4229100" cy="4038600"/>
                    </a:xfrm>
                    <a:prstGeom prst="rect">
                      <a:avLst/>
                    </a:prstGeom>
                  </pic:spPr>
                </pic:pic>
              </a:graphicData>
            </a:graphic>
          </wp:inline>
        </w:drawing>
      </w:r>
    </w:p>
    <w:p w14:paraId="40B9F0E8" w14:textId="77777777" w:rsidR="00B13F4A" w:rsidRPr="00872A34" w:rsidRDefault="00B13F4A" w:rsidP="00B13F4A">
      <w:pPr>
        <w:spacing w:line="360" w:lineRule="auto"/>
        <w:contextualSpacing/>
        <w:rPr>
          <w:rFonts w:ascii="Times New Roman" w:eastAsia="Times New Roman" w:hAnsi="Times New Roman" w:cs="Times New Roman"/>
          <w:b/>
          <w:bCs/>
          <w:i/>
          <w:iCs/>
          <w:sz w:val="22"/>
          <w:szCs w:val="22"/>
        </w:rPr>
      </w:pPr>
      <w:r w:rsidRPr="00872A34">
        <w:rPr>
          <w:rFonts w:ascii="Times New Roman" w:eastAsia="Times New Roman" w:hAnsi="Times New Roman" w:cs="Times New Roman"/>
          <w:b/>
          <w:bCs/>
          <w:i/>
          <w:iCs/>
          <w:sz w:val="22"/>
          <w:szCs w:val="22"/>
        </w:rPr>
        <w:t xml:space="preserve">Supplementary Figure </w:t>
      </w:r>
      <w:r>
        <w:rPr>
          <w:rFonts w:ascii="Times New Roman" w:eastAsia="Times New Roman" w:hAnsi="Times New Roman" w:cs="Times New Roman"/>
          <w:b/>
          <w:bCs/>
          <w:i/>
          <w:iCs/>
          <w:sz w:val="22"/>
          <w:szCs w:val="22"/>
        </w:rPr>
        <w:t>6</w:t>
      </w:r>
      <w:r w:rsidRPr="00872A34">
        <w:rPr>
          <w:rFonts w:ascii="Times New Roman" w:eastAsia="Times New Roman" w:hAnsi="Times New Roman" w:cs="Times New Roman"/>
          <w:b/>
          <w:bCs/>
          <w:i/>
          <w:iCs/>
          <w:sz w:val="22"/>
          <w:szCs w:val="22"/>
        </w:rPr>
        <w:t xml:space="preserve">. </w:t>
      </w:r>
      <w:r>
        <w:rPr>
          <w:rFonts w:ascii="Times New Roman" w:eastAsia="Times New Roman" w:hAnsi="Times New Roman" w:cs="Times New Roman"/>
          <w:b/>
          <w:bCs/>
          <w:i/>
          <w:iCs/>
          <w:sz w:val="22"/>
          <w:szCs w:val="22"/>
        </w:rPr>
        <w:t>Transcription start sites</w:t>
      </w:r>
      <w:r w:rsidRPr="00872A34">
        <w:rPr>
          <w:rFonts w:ascii="Times New Roman" w:eastAsia="Times New Roman" w:hAnsi="Times New Roman" w:cs="Times New Roman"/>
          <w:b/>
          <w:bCs/>
          <w:i/>
          <w:iCs/>
          <w:sz w:val="22"/>
          <w:szCs w:val="22"/>
        </w:rPr>
        <w:t xml:space="preserve"> are enriched within differentially expressed, self-expressed loci. </w:t>
      </w:r>
    </w:p>
    <w:p w14:paraId="385BD397" w14:textId="77777777" w:rsidR="00B13F4A" w:rsidRPr="00872A34" w:rsidRDefault="00B13F4A" w:rsidP="00B13F4A">
      <w:pPr>
        <w:spacing w:line="360" w:lineRule="auto"/>
        <w:contextualSpacing/>
        <w:jc w:val="both"/>
        <w:rPr>
          <w:rFonts w:ascii="Times New Roman" w:eastAsia="Times New Roman" w:hAnsi="Times New Roman" w:cs="Times New Roman"/>
          <w:i/>
          <w:iCs/>
          <w:sz w:val="22"/>
          <w:szCs w:val="22"/>
          <w:lang w:val="en"/>
        </w:rPr>
      </w:pPr>
      <w:r w:rsidRPr="00872A34">
        <w:rPr>
          <w:rFonts w:ascii="Times New Roman" w:eastAsia="Times New Roman" w:hAnsi="Times New Roman" w:cs="Times New Roman"/>
          <w:i/>
          <w:iCs/>
          <w:sz w:val="22"/>
          <w:szCs w:val="22"/>
          <w:lang w:val="en"/>
        </w:rPr>
        <w:t>We defined transcription start sites as peaks of CAGE-</w:t>
      </w:r>
      <w:proofErr w:type="spellStart"/>
      <w:r w:rsidRPr="00872A34">
        <w:rPr>
          <w:rFonts w:ascii="Times New Roman" w:eastAsia="Times New Roman" w:hAnsi="Times New Roman" w:cs="Times New Roman"/>
          <w:i/>
          <w:iCs/>
          <w:sz w:val="22"/>
          <w:szCs w:val="22"/>
          <w:lang w:val="en"/>
        </w:rPr>
        <w:t>seq</w:t>
      </w:r>
      <w:proofErr w:type="spellEnd"/>
      <w:r w:rsidRPr="00872A34">
        <w:rPr>
          <w:rFonts w:ascii="Times New Roman" w:eastAsia="Times New Roman" w:hAnsi="Times New Roman" w:cs="Times New Roman"/>
          <w:i/>
          <w:iCs/>
          <w:sz w:val="22"/>
          <w:szCs w:val="22"/>
          <w:lang w:val="en"/>
        </w:rPr>
        <w:t xml:space="preserve"> that were completely contained within the boundaries of a given TE locus, and counted the peak numbers for three categories of TE loci: 1. gene-dependent, 2. self-expressed and differentially expressed, and 3. self-expressed and differentially expressed only in clusters B and C. P-values calculated with Fisher’s exact test, comparing self-expressed vs gene-dependent categories.</w:t>
      </w:r>
    </w:p>
    <w:p w14:paraId="35D1237E" w14:textId="77777777" w:rsidR="00B13F4A" w:rsidRDefault="00B13F4A" w:rsidP="00B13F4A">
      <w:pPr>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br w:type="page"/>
      </w:r>
    </w:p>
    <w:p w14:paraId="334B783C" w14:textId="26CDD045" w:rsidR="00B13F4A" w:rsidRPr="00B96770" w:rsidRDefault="00410F71" w:rsidP="00B13F4A">
      <w:pPr>
        <w:spacing w:line="360" w:lineRule="auto"/>
        <w:contextualSpacing/>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rPr>
        <w:lastRenderedPageBreak/>
        <w:drawing>
          <wp:inline distT="0" distB="0" distL="0" distR="0" wp14:anchorId="0B430D67" wp14:editId="24C63C0A">
            <wp:extent cx="5943600" cy="65322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plementary_Fig_S7.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6532245"/>
                    </a:xfrm>
                    <a:prstGeom prst="rect">
                      <a:avLst/>
                    </a:prstGeom>
                  </pic:spPr>
                </pic:pic>
              </a:graphicData>
            </a:graphic>
          </wp:inline>
        </w:drawing>
      </w:r>
    </w:p>
    <w:p w14:paraId="71505901" w14:textId="77777777" w:rsidR="00B13F4A" w:rsidRDefault="00B13F4A" w:rsidP="00B13F4A">
      <w:pPr>
        <w:spacing w:line="360" w:lineRule="auto"/>
        <w:contextualSpacing/>
        <w:jc w:val="both"/>
        <w:rPr>
          <w:rFonts w:ascii="Times New Roman" w:eastAsia="Times New Roman" w:hAnsi="Times New Roman" w:cs="Times New Roman"/>
          <w:i/>
          <w:iCs/>
          <w:color w:val="000000"/>
          <w:sz w:val="22"/>
          <w:szCs w:val="22"/>
        </w:rPr>
      </w:pPr>
      <w:r w:rsidRPr="00B96770">
        <w:rPr>
          <w:rFonts w:ascii="Times New Roman" w:eastAsia="Times New Roman" w:hAnsi="Times New Roman" w:cs="Times New Roman"/>
          <w:b/>
          <w:bCs/>
          <w:i/>
          <w:iCs/>
          <w:color w:val="000000"/>
          <w:sz w:val="22"/>
          <w:szCs w:val="22"/>
        </w:rPr>
        <w:t xml:space="preserve">Supplementary Figure </w:t>
      </w:r>
      <w:r>
        <w:rPr>
          <w:rFonts w:ascii="Times New Roman" w:eastAsia="Times New Roman" w:hAnsi="Times New Roman" w:cs="Times New Roman"/>
          <w:b/>
          <w:bCs/>
          <w:i/>
          <w:iCs/>
          <w:color w:val="000000"/>
          <w:sz w:val="22"/>
          <w:szCs w:val="22"/>
        </w:rPr>
        <w:t>7</w:t>
      </w:r>
      <w:r w:rsidRPr="00B96770">
        <w:rPr>
          <w:rFonts w:ascii="Times New Roman" w:eastAsia="Times New Roman" w:hAnsi="Times New Roman" w:cs="Times New Roman"/>
          <w:b/>
          <w:bCs/>
          <w:i/>
          <w:iCs/>
          <w:color w:val="000000"/>
          <w:sz w:val="22"/>
          <w:szCs w:val="22"/>
        </w:rPr>
        <w:t>.</w:t>
      </w:r>
      <w:r w:rsidRPr="00B96770">
        <w:rPr>
          <w:rFonts w:ascii="Times New Roman" w:eastAsia="Times New Roman" w:hAnsi="Times New Roman" w:cs="Times New Roman"/>
          <w:i/>
          <w:iCs/>
          <w:color w:val="000000"/>
          <w:sz w:val="22"/>
          <w:szCs w:val="22"/>
        </w:rPr>
        <w:t xml:space="preserve"> </w:t>
      </w:r>
    </w:p>
    <w:p w14:paraId="12F39FE1" w14:textId="2C4298FA" w:rsidR="00B13F4A" w:rsidRPr="00CD79A7" w:rsidRDefault="00B13F4A" w:rsidP="001777BB">
      <w:pPr>
        <w:spacing w:line="360" w:lineRule="auto"/>
        <w:contextualSpacing/>
        <w:jc w:val="both"/>
        <w:rPr>
          <w:rFonts w:ascii="Times New Roman" w:eastAsia="Times New Roman" w:hAnsi="Times New Roman" w:cs="Times New Roman"/>
          <w:sz w:val="22"/>
          <w:szCs w:val="22"/>
          <w:lang w:val="en"/>
        </w:rPr>
      </w:pPr>
      <w:r w:rsidRPr="00B96770">
        <w:rPr>
          <w:rFonts w:ascii="Times New Roman" w:eastAsia="Times New Roman" w:hAnsi="Times New Roman" w:cs="Times New Roman"/>
          <w:i/>
          <w:iCs/>
          <w:color w:val="000000"/>
          <w:sz w:val="22"/>
          <w:szCs w:val="22"/>
        </w:rPr>
        <w:t xml:space="preserve">A. </w:t>
      </w:r>
      <w:r w:rsidRPr="00A42C0B">
        <w:rPr>
          <w:rFonts w:ascii="Times New Roman" w:eastAsia="Times New Roman" w:hAnsi="Times New Roman" w:cs="Times New Roman"/>
          <w:i/>
          <w:iCs/>
          <w:color w:val="000000"/>
          <w:sz w:val="22"/>
          <w:szCs w:val="22"/>
        </w:rPr>
        <w:t xml:space="preserve">Genome browser snapshot of </w:t>
      </w:r>
      <w:r>
        <w:rPr>
          <w:rFonts w:ascii="Times New Roman" w:eastAsia="Times New Roman" w:hAnsi="Times New Roman" w:cs="Times New Roman"/>
          <w:i/>
          <w:iCs/>
          <w:color w:val="000000"/>
          <w:sz w:val="22"/>
          <w:szCs w:val="22"/>
        </w:rPr>
        <w:t xml:space="preserve">a </w:t>
      </w:r>
      <w:r w:rsidRPr="00A42C0B">
        <w:rPr>
          <w:rFonts w:ascii="Times New Roman" w:eastAsia="Times New Roman" w:hAnsi="Times New Roman" w:cs="Times New Roman"/>
          <w:i/>
          <w:iCs/>
          <w:color w:val="000000"/>
          <w:sz w:val="22"/>
          <w:szCs w:val="22"/>
        </w:rPr>
        <w:t>representative locus showing un-annotated 3’ UTR region on gene sox9a. RNA-</w:t>
      </w:r>
      <w:proofErr w:type="spellStart"/>
      <w:r w:rsidRPr="00A42C0B">
        <w:rPr>
          <w:rFonts w:ascii="Times New Roman" w:eastAsia="Times New Roman" w:hAnsi="Times New Roman" w:cs="Times New Roman"/>
          <w:i/>
          <w:iCs/>
          <w:color w:val="000000"/>
          <w:sz w:val="22"/>
          <w:szCs w:val="22"/>
        </w:rPr>
        <w:t>seq</w:t>
      </w:r>
      <w:proofErr w:type="spellEnd"/>
      <w:r w:rsidRPr="00A42C0B">
        <w:rPr>
          <w:rFonts w:ascii="Times New Roman" w:eastAsia="Times New Roman" w:hAnsi="Times New Roman" w:cs="Times New Roman"/>
          <w:i/>
          <w:iCs/>
          <w:color w:val="000000"/>
          <w:sz w:val="22"/>
          <w:szCs w:val="22"/>
        </w:rPr>
        <w:t xml:space="preserve"> track shows merged replicates at 20-25 </w:t>
      </w:r>
      <w:proofErr w:type="spellStart"/>
      <w:r w:rsidRPr="00A42C0B">
        <w:rPr>
          <w:rFonts w:ascii="Times New Roman" w:eastAsia="Times New Roman" w:hAnsi="Times New Roman" w:cs="Times New Roman"/>
          <w:i/>
          <w:iCs/>
          <w:color w:val="000000"/>
          <w:sz w:val="22"/>
          <w:szCs w:val="22"/>
        </w:rPr>
        <w:t>somites</w:t>
      </w:r>
      <w:proofErr w:type="spellEnd"/>
      <w:r w:rsidRPr="00A42C0B">
        <w:rPr>
          <w:rFonts w:ascii="Times New Roman" w:eastAsia="Times New Roman" w:hAnsi="Times New Roman" w:cs="Times New Roman"/>
          <w:i/>
          <w:iCs/>
          <w:color w:val="000000"/>
          <w:sz w:val="22"/>
          <w:szCs w:val="22"/>
        </w:rPr>
        <w:t xml:space="preserve">. </w:t>
      </w:r>
      <w:proofErr w:type="spellStart"/>
      <w:r w:rsidRPr="00A42C0B">
        <w:rPr>
          <w:rFonts w:ascii="Times New Roman" w:eastAsia="Times New Roman" w:hAnsi="Times New Roman" w:cs="Times New Roman"/>
          <w:i/>
          <w:iCs/>
          <w:color w:val="000000"/>
          <w:sz w:val="22"/>
          <w:szCs w:val="22"/>
        </w:rPr>
        <w:t>Ensembl</w:t>
      </w:r>
      <w:proofErr w:type="spellEnd"/>
      <w:r w:rsidRPr="00A42C0B">
        <w:rPr>
          <w:rFonts w:ascii="Times New Roman" w:eastAsia="Times New Roman" w:hAnsi="Times New Roman" w:cs="Times New Roman"/>
          <w:i/>
          <w:iCs/>
          <w:color w:val="000000"/>
          <w:sz w:val="22"/>
          <w:szCs w:val="22"/>
        </w:rPr>
        <w:t xml:space="preserve"> GRCz11.98 and Lawson et al. 2020 annotations are shown, together with extracted extended 3’ UTR region from Lawson et al. and this study. In this study, transcriptome assembly using </w:t>
      </w:r>
      <w:proofErr w:type="spellStart"/>
      <w:r>
        <w:rPr>
          <w:rFonts w:ascii="Times New Roman" w:eastAsia="Times New Roman" w:hAnsi="Times New Roman" w:cs="Times New Roman"/>
          <w:i/>
          <w:iCs/>
          <w:color w:val="000000"/>
          <w:sz w:val="22"/>
          <w:szCs w:val="22"/>
        </w:rPr>
        <w:t>StringTie</w:t>
      </w:r>
      <w:proofErr w:type="spellEnd"/>
      <w:r>
        <w:rPr>
          <w:rFonts w:ascii="Times New Roman" w:eastAsia="Times New Roman" w:hAnsi="Times New Roman" w:cs="Times New Roman"/>
          <w:i/>
          <w:iCs/>
          <w:color w:val="000000"/>
          <w:sz w:val="22"/>
          <w:szCs w:val="22"/>
        </w:rPr>
        <w:t xml:space="preserve"> </w:t>
      </w:r>
      <w:r w:rsidRPr="00A42C0B">
        <w:rPr>
          <w:rFonts w:ascii="Times New Roman" w:eastAsia="Times New Roman" w:hAnsi="Times New Roman" w:cs="Times New Roman"/>
          <w:i/>
          <w:iCs/>
          <w:color w:val="000000"/>
          <w:sz w:val="22"/>
          <w:szCs w:val="22"/>
        </w:rPr>
        <w:t>was used to find extended 3’ UTR regions using White et al. 2017 RNA-</w:t>
      </w:r>
      <w:proofErr w:type="spellStart"/>
      <w:r w:rsidRPr="00A42C0B">
        <w:rPr>
          <w:rFonts w:ascii="Times New Roman" w:eastAsia="Times New Roman" w:hAnsi="Times New Roman" w:cs="Times New Roman"/>
          <w:i/>
          <w:iCs/>
          <w:color w:val="000000"/>
          <w:sz w:val="22"/>
          <w:szCs w:val="22"/>
        </w:rPr>
        <w:t>seq</w:t>
      </w:r>
      <w:proofErr w:type="spellEnd"/>
      <w:r w:rsidRPr="00A42C0B">
        <w:rPr>
          <w:rFonts w:ascii="Times New Roman" w:eastAsia="Times New Roman" w:hAnsi="Times New Roman" w:cs="Times New Roman"/>
          <w:i/>
          <w:iCs/>
          <w:color w:val="000000"/>
          <w:sz w:val="22"/>
          <w:szCs w:val="22"/>
        </w:rPr>
        <w:t xml:space="preserve"> data. B. Overlap of extended 3’ UTR regions between Lawson et al. and this study. C. Length of extended 3’ UTR regions for Lawson et al. 2020 and this study show similar distribution.</w:t>
      </w:r>
      <w:r>
        <w:rPr>
          <w:rFonts w:ascii="Times New Roman" w:eastAsia="Times New Roman" w:hAnsi="Times New Roman" w:cs="Times New Roman"/>
          <w:i/>
          <w:iCs/>
          <w:color w:val="000000"/>
          <w:sz w:val="22"/>
          <w:szCs w:val="22"/>
        </w:rPr>
        <w:br w:type="page"/>
      </w:r>
      <w:r w:rsidR="00A85602">
        <w:rPr>
          <w:rFonts w:ascii="Times New Roman" w:eastAsia="Times New Roman" w:hAnsi="Times New Roman" w:cs="Times New Roman"/>
          <w:noProof/>
          <w:sz w:val="22"/>
          <w:szCs w:val="22"/>
          <w:lang w:val="en"/>
        </w:rPr>
        <w:lastRenderedPageBreak/>
        <w:drawing>
          <wp:inline distT="0" distB="0" distL="0" distR="0" wp14:anchorId="44CF0C5C" wp14:editId="719A3505">
            <wp:extent cx="4987948" cy="6342434"/>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lementary_Fig_S8.pdf"/>
                    <pic:cNvPicPr/>
                  </pic:nvPicPr>
                  <pic:blipFill>
                    <a:blip r:embed="rId16">
                      <a:extLst>
                        <a:ext uri="{28A0092B-C50C-407E-A947-70E740481C1C}">
                          <a14:useLocalDpi xmlns:a14="http://schemas.microsoft.com/office/drawing/2010/main" val="0"/>
                        </a:ext>
                      </a:extLst>
                    </a:blip>
                    <a:stretch>
                      <a:fillRect/>
                    </a:stretch>
                  </pic:blipFill>
                  <pic:spPr>
                    <a:xfrm>
                      <a:off x="0" y="0"/>
                      <a:ext cx="5006358" cy="6365843"/>
                    </a:xfrm>
                    <a:prstGeom prst="rect">
                      <a:avLst/>
                    </a:prstGeom>
                  </pic:spPr>
                </pic:pic>
              </a:graphicData>
            </a:graphic>
          </wp:inline>
        </w:drawing>
      </w:r>
    </w:p>
    <w:p w14:paraId="2749248D" w14:textId="77777777" w:rsidR="00B13F4A" w:rsidRPr="006A7268" w:rsidRDefault="00B13F4A" w:rsidP="00B13F4A">
      <w:pPr>
        <w:spacing w:after="240" w:line="360" w:lineRule="auto"/>
        <w:contextualSpacing/>
        <w:rPr>
          <w:rFonts w:ascii="Times New Roman" w:eastAsia="Times New Roman" w:hAnsi="Times New Roman" w:cs="Times New Roman"/>
          <w:b/>
          <w:bCs/>
          <w:i/>
          <w:sz w:val="22"/>
          <w:szCs w:val="22"/>
          <w:lang w:val="en"/>
        </w:rPr>
      </w:pPr>
      <w:r w:rsidRPr="006A7268">
        <w:rPr>
          <w:rFonts w:ascii="Times New Roman" w:eastAsia="Times New Roman" w:hAnsi="Times New Roman" w:cs="Times New Roman"/>
          <w:b/>
          <w:bCs/>
          <w:i/>
          <w:sz w:val="22"/>
          <w:szCs w:val="22"/>
          <w:lang w:val="en"/>
        </w:rPr>
        <w:t>Supplementary Figure 8. ATAC-</w:t>
      </w:r>
      <w:proofErr w:type="spellStart"/>
      <w:r w:rsidRPr="006A7268">
        <w:rPr>
          <w:rFonts w:ascii="Times New Roman" w:eastAsia="Times New Roman" w:hAnsi="Times New Roman" w:cs="Times New Roman"/>
          <w:b/>
          <w:bCs/>
          <w:i/>
          <w:sz w:val="22"/>
          <w:szCs w:val="22"/>
          <w:lang w:val="en"/>
        </w:rPr>
        <w:t>seq</w:t>
      </w:r>
      <w:proofErr w:type="spellEnd"/>
      <w:r w:rsidRPr="006A7268">
        <w:rPr>
          <w:rFonts w:ascii="Times New Roman" w:eastAsia="Times New Roman" w:hAnsi="Times New Roman" w:cs="Times New Roman"/>
          <w:b/>
          <w:bCs/>
          <w:i/>
          <w:sz w:val="22"/>
          <w:szCs w:val="22"/>
          <w:lang w:val="en"/>
        </w:rPr>
        <w:t xml:space="preserve"> signal on ERV1 TE family during early development.</w:t>
      </w:r>
    </w:p>
    <w:p w14:paraId="31F6152A" w14:textId="43F0F242" w:rsidR="00B13F4A" w:rsidRDefault="00B13F4A" w:rsidP="00A85602">
      <w:pPr>
        <w:spacing w:after="240" w:line="360" w:lineRule="auto"/>
        <w:contextualSpacing/>
        <w:jc w:val="both"/>
        <w:rPr>
          <w:rFonts w:ascii="Times New Roman" w:eastAsia="Times New Roman" w:hAnsi="Times New Roman" w:cs="Times New Roman"/>
          <w:i/>
          <w:sz w:val="22"/>
          <w:szCs w:val="22"/>
          <w:lang w:val="en"/>
        </w:rPr>
      </w:pPr>
      <w:r w:rsidRPr="006A7268">
        <w:rPr>
          <w:rFonts w:ascii="Times New Roman" w:eastAsia="Times New Roman" w:hAnsi="Times New Roman" w:cs="Times New Roman"/>
          <w:i/>
          <w:sz w:val="22"/>
          <w:szCs w:val="22"/>
          <w:lang w:val="en"/>
        </w:rPr>
        <w:t>ATAC-</w:t>
      </w:r>
      <w:proofErr w:type="spellStart"/>
      <w:r w:rsidRPr="006A7268">
        <w:rPr>
          <w:rFonts w:ascii="Times New Roman" w:eastAsia="Times New Roman" w:hAnsi="Times New Roman" w:cs="Times New Roman"/>
          <w:i/>
          <w:sz w:val="22"/>
          <w:szCs w:val="22"/>
          <w:lang w:val="en"/>
        </w:rPr>
        <w:t>seq</w:t>
      </w:r>
      <w:proofErr w:type="spellEnd"/>
      <w:r w:rsidRPr="006A7268">
        <w:rPr>
          <w:rFonts w:ascii="Times New Roman" w:eastAsia="Times New Roman" w:hAnsi="Times New Roman" w:cs="Times New Roman"/>
          <w:i/>
          <w:sz w:val="22"/>
          <w:szCs w:val="22"/>
          <w:lang w:val="en"/>
        </w:rPr>
        <w:t xml:space="preserve"> data </w:t>
      </w:r>
      <w:r w:rsidRPr="006A7268">
        <w:rPr>
          <w:rFonts w:ascii="Times New Roman" w:eastAsia="Times New Roman" w:hAnsi="Times New Roman" w:cs="Times New Roman"/>
          <w:i/>
          <w:sz w:val="22"/>
          <w:szCs w:val="22"/>
          <w:lang w:val="en"/>
        </w:rPr>
        <w:fldChar w:fldCharType="begin" w:fldLock="1"/>
      </w:r>
      <w:r>
        <w:rPr>
          <w:rFonts w:ascii="Times New Roman" w:eastAsia="Times New Roman" w:hAnsi="Times New Roman" w:cs="Times New Roman"/>
          <w:i/>
          <w:sz w:val="22"/>
          <w:szCs w:val="22"/>
          <w:lang w:val="en"/>
        </w:rPr>
        <w:instrText>ADDIN CSL_CITATION {"citationItems":[{"id":"ITEM-1","itemData":{"DOI":"10.1038/s41586-018-0734-6","ISSN":"14764687","abstract":"Vertebrates have greatly elaborated the basic chordate body plan and evolved highly distinctive genomes that have been sculpted by two whole-genome duplications. Here we sequence the genome of the Mediterranean amphioxus (Branchiostoma lanceolatum) and characterize DNA methylation, chromatin accessibility, histone modifications and transcriptomes across multiple developmental stages and adult tissues to investigate the evolution of the regulation of the chordate genome. Comparisons with vertebrates identify an intermediate stage in the evolution of differentially methylated enhancers, and a high conservation of gene expression and its cis-regulatory logic between amphioxus and vertebrates that occurs maximally at an earlier mid-embryonic phylotypic period. We analyse regulatory evolution after whole-genome duplications, and find that—in vertebrates—over 80% of broadly expressed gene families with multiple paralogues derived from whole-genome duplications have members that restricted their ancestral expression, and underwent specialization rather than subfunctionalization. Counter-intuitively, paralogues that restricted their expression increased the complexity of their regulatory landscapes. These data pave the way for a better understanding of the regulatory principles that underlie key vertebrate innovations.","author":[{"dropping-particle":"","family":"Marlétaz","given":"Ferdinand","non-dropping-particle":"","parse-names":false,"suffix":""},{"dropping-particle":"","family":"Firbas","given":"Panos N","non-dropping-particle":"","parse-names":false,"suffix":""},{"dropping-particle":"","family":"Maeso","given":"Ignacio","non-dropping-particle":"","parse-names":false,"suffix":""},{"dropping-particle":"","family":"Tena","given":"Juan J","non-dropping-particle":"","parse-names":false,"suffix":""},{"dropping-particle":"","family":"Bogdanovic","given":"Ozren","non-dropping-particle":"","parse-names":false,"suffix":""},{"dropping-particle":"","family":"Perry","given":"Malcolm","non-dropping-particle":"","parse-names":false,"suffix":""},{"dropping-particle":"","family":"Wyatt","given":"christopher D.R.","non-dropping-particle":"","parse-names":false,"suffix":""},{"dropping-particle":"","family":"la Calle-Mustienes","given":"Elisa","non-dropping-particle":"de","parse-names":false,"suffix":""},{"dropping-particle":"","family":"Bertrand","given":"Stephanie","non-dropping-particle":"","parse-names":false,"suffix":""},{"dropping-particle":"","family":"Burguera","given":"Demian","non-dropping-particle":"","parse-names":false,"suffix":""},{"dropping-particle":"","family":"Acemel","given":"rafael D","non-dropping-particle":"","parse-names":false,"suffix":""},{"dropping-particle":"","family":"Heeringen","given":"Simon J","non-dropping-particle":"van","parse-names":false,"suffix":""},{"dropping-particle":"","family":"Naranjo","given":"Silvia","non-dropping-particle":"","parse-names":false,"suffix":""},{"dropping-particle":"","family":"Herrera-Ubeda","given":"Carlos","non-dropping-particle":"","parse-names":false,"suffix":""},{"dropping-particle":"","family":"Skvortsova","given":"Ksenia","non-dropping-particle":"","parse-names":false,"suffix":""},{"dropping-particle":"","family":"Jimenez-Gancedo","given":"Sandra","non-dropping-particle":"","parse-names":false,"suffix":""},{"dropping-particle":"","family":"Aldea","given":"Daniel","non-dropping-particle":"","parse-names":false,"suffix":""},{"dropping-particle":"","family":"Marquez","given":"Yamile","non-dropping-particle":"","parse-names":false,"suffix":""},{"dropping-particle":"","family":"Buono","given":"Lorena","non-dropping-particle":"","parse-names":false,"suffix":""},{"dropping-particle":"","family":"Kozmikova","given":"Iryna","non-dropping-particle":"","parse-names":false,"suffix":""},{"dropping-particle":"","family":"Permanyer","given":"Jon","non-dropping-particle":"","parse-names":false,"suffix":""},{"dropping-particle":"","family":"Louis","given":"Alexandra","non-dropping-particle":"","parse-names":false,"suffix":""},{"dropping-particle":"","family":"Albuixech-Crespo","given":"Beatriz","non-dropping-particle":"","parse-names":false,"suffix":""},{"dropping-particle":"","family":"Petillon","given":"Yann","non-dropping-particle":"Le","parse-names":false,"suffix":""},{"dropping-particle":"","family":"Leon","given":"Anthony","non-dropping-particle":"","parse-names":false,"suffix":""},{"dropping-particle":"","family":"Subirana","given":"Lucie","non-dropping-particle":"","parse-names":false,"suffix":""},{"dropping-particle":"","family":"Balwierz","given":"Piotr J","non-dropping-particle":"","parse-names":false,"suffix":""},{"dropping-particle":"","family":"Duckett","given":"Paul Edward","non-dropping-particle":"","parse-names":false,"suffix":""},{"dropping-particle":"","family":"Farahani","given":"Ensieh","non-dropping-particle":"","parse-names":false,"suffix":""},{"dropping-particle":"","family":"Aury","given":"Jean Marc","non-dropping-particle":"","parse-names":false,"suffix":""},{"dropping-particle":"","family":"Mangenot","given":"Sophie","non-dropping-particle":"","parse-names":false,"suffix":""},{"dropping-particle":"","family":"Wincker","given":"Patrick","non-dropping-particle":"","parse-names":false,"suffix":""},{"dropping-particle":"","family":"Albalat","given":"Ricard","non-dropping-particle":"","parse-names":false,"suffix":""},{"dropping-particle":"","family":"Benito-Gutiérrez","given":"Èlia","non-dropping-particle":"","parse-names":false,"suffix":""},{"dropping-particle":"","family":"Cañestro","given":"Cristian","non-dropping-particle":"","parse-names":false,"suffix":""},{"dropping-particle":"","family":"Castro","given":"Filipe","non-dropping-particle":"","parse-names":false,"suffix":""},{"dropping-particle":"","family":"D’Aniello","given":"Salvatore","non-dropping-particle":"","parse-names":false,"suffix":""},{"dropping-particle":"","family":"Ferrier","given":"David E.K.","non-dropping-particle":"","parse-names":false,"suffix":""},{"dropping-particle":"","family":"Huang","given":"Shengfeng","non-dropping-particle":"","parse-names":false,"suffix":""},{"dropping-particle":"","family":"Laudet","given":"Vincent","non-dropping-particle":"","parse-names":false,"suffix":""},{"dropping-particle":"","family":"Marais","given":"Gabriel A.B.","non-dropping-particle":"","parse-names":false,"suffix":""},{"dropping-particle":"","family":"Pontarotti","given":"Pierre","non-dropping-particle":"","parse-names":false,"suffix":""},{"dropping-particle":"","family":"Schubert","given":"Michael","non-dropping-particle":"","parse-names":false,"suffix":""},{"dropping-particle":"","family":"Seitz","given":"Hervé","non-dropping-particle":"","parse-names":false,"suffix":""},{"dropping-particle":"","family":"Somorjai","given":"Ildiko","non-dropping-particle":"","parse-names":false,"suffix":""},{"dropping-particle":"","family":"Takahashi","given":"Tokiharu","non-dropping-particle":"","parse-names":false,"suffix":""},{"dropping-particle":"","family":"Mirabeau","given":"Olivier","non-dropping-particle":"","parse-names":false,"suffix":""},{"dropping-particle":"","family":"Xu","given":"Anlong","non-dropping-particle":"","parse-names":false,"suffix":""},{"dropping-particle":"","family":"Yu","given":"Jr Kai","non-dropping-particle":"","parse-names":false,"suffix":""},{"dropping-particle":"","family":"Carninci","given":"Piero","non-dropping-particle":"","parse-names":false,"suffix":""},{"dropping-particle":"","family":"Martinez-Morales","given":"Juan Ramon","non-dropping-particle":"","parse-names":false,"suffix":""},{"dropping-particle":"","family":"Crollius","given":"Hugues Roest","non-dropping-particle":"","parse-names":false,"suffix":""},{"dropping-particle":"","family":"Kozmik","given":"Zbynek","non-dropping-particle":"","parse-names":false,"suffix":""},{"dropping-particle":"","family":"Weirauch","given":"Matthew T.","non-dropping-particle":"","parse-names":false,"suffix":""},{"dropping-particle":"","family":"Garcia-Fernàndez","given":"Jordi","non-dropping-particle":"","parse-names":false,"suffix":""},{"dropping-particle":"","family":"Lister","given":"Ryan","non-dropping-particle":"","parse-names":false,"suffix":""},{"dropping-particle":"","family":"Lenhard","given":"Boris","non-dropping-particle":"","parse-names":false,"suffix":""},{"dropping-particle":"","family":"Holland","given":"Peter W.H.","non-dropping-particle":"","parse-names":false,"suffix":""},{"dropping-particle":"","family":"Escriva","given":"Hector","non-dropping-particle":"","parse-names":false,"suffix":""},{"dropping-particle":"","family":"Gómez-Skarmeta","given":"Jose Luis","non-dropping-particle":"","parse-names":false,"suffix":""},{"dropping-particle":"","family":"Irimia","given":"Manuel","non-dropping-particle":"","parse-names":false,"suffix":""}],"container-title":"Nature","id":"ITEM-1","issue":"7734","issued":{"date-parts":[["2018"]]},"page":"64-70","publisher":"Peter W","title":"Amphioxus functional genomics and the origins of vertebrate gene regulation","type":"article-journal","volume":"564"},"uris":["http://www.mendeley.com/documents/?uuid=c0bc812d-05bc-3c1a-8b85-126aec6c7e6b"]}],"mendeley":{"formattedCitation":"(Marlétaz et al. 2018)","plainTextFormattedCitation":"(Marlétaz et al. 2018)","previouslyFormattedCitation":"(Marlétaz et al. 2018)"},"properties":{"noteIndex":0},"schema":"https://github.com/citation-style-language/schema/raw/master/csl-citation.json"}</w:instrText>
      </w:r>
      <w:r w:rsidRPr="006A7268">
        <w:rPr>
          <w:rFonts w:ascii="Times New Roman" w:eastAsia="Times New Roman" w:hAnsi="Times New Roman" w:cs="Times New Roman"/>
          <w:i/>
          <w:sz w:val="22"/>
          <w:szCs w:val="22"/>
          <w:lang w:val="en"/>
        </w:rPr>
        <w:fldChar w:fldCharType="separate"/>
      </w:r>
      <w:r w:rsidRPr="00CE2FF8">
        <w:rPr>
          <w:rFonts w:ascii="Times New Roman" w:eastAsia="Times New Roman" w:hAnsi="Times New Roman" w:cs="Times New Roman"/>
          <w:noProof/>
          <w:sz w:val="22"/>
          <w:szCs w:val="22"/>
          <w:lang w:val="en"/>
        </w:rPr>
        <w:t>(Marlétaz et al. 2018)</w:t>
      </w:r>
      <w:r w:rsidRPr="006A7268">
        <w:rPr>
          <w:rFonts w:ascii="Times New Roman" w:eastAsia="Times New Roman" w:hAnsi="Times New Roman" w:cs="Times New Roman"/>
          <w:i/>
          <w:sz w:val="22"/>
          <w:szCs w:val="22"/>
          <w:lang w:val="en"/>
        </w:rPr>
        <w:fldChar w:fldCharType="end"/>
      </w:r>
      <w:r w:rsidRPr="006A7268">
        <w:rPr>
          <w:rFonts w:ascii="Times New Roman" w:eastAsia="Times New Roman" w:hAnsi="Times New Roman" w:cs="Times New Roman"/>
          <w:i/>
          <w:sz w:val="22"/>
          <w:szCs w:val="22"/>
          <w:lang w:val="en"/>
        </w:rPr>
        <w:t xml:space="preserve">was </w:t>
      </w:r>
      <w:proofErr w:type="spellStart"/>
      <w:r w:rsidRPr="006A7268">
        <w:rPr>
          <w:rFonts w:ascii="Times New Roman" w:eastAsia="Times New Roman" w:hAnsi="Times New Roman" w:cs="Times New Roman"/>
          <w:i/>
          <w:sz w:val="22"/>
          <w:szCs w:val="22"/>
          <w:lang w:val="en"/>
        </w:rPr>
        <w:t>analysed</w:t>
      </w:r>
      <w:proofErr w:type="spellEnd"/>
      <w:r w:rsidRPr="006A7268">
        <w:rPr>
          <w:rFonts w:ascii="Times New Roman" w:eastAsia="Times New Roman" w:hAnsi="Times New Roman" w:cs="Times New Roman"/>
          <w:i/>
          <w:sz w:val="22"/>
          <w:szCs w:val="22"/>
          <w:lang w:val="en"/>
        </w:rPr>
        <w:t xml:space="preserve"> using </w:t>
      </w:r>
      <w:proofErr w:type="spellStart"/>
      <w:r w:rsidRPr="006A7268">
        <w:rPr>
          <w:rFonts w:ascii="Times New Roman" w:eastAsia="Times New Roman" w:hAnsi="Times New Roman" w:cs="Times New Roman"/>
          <w:i/>
          <w:sz w:val="22"/>
          <w:szCs w:val="22"/>
          <w:lang w:val="en"/>
        </w:rPr>
        <w:t>Genrich</w:t>
      </w:r>
      <w:proofErr w:type="spellEnd"/>
      <w:r w:rsidRPr="006A7268">
        <w:rPr>
          <w:rFonts w:ascii="Times New Roman" w:eastAsia="Times New Roman" w:hAnsi="Times New Roman" w:cs="Times New Roman"/>
          <w:i/>
          <w:sz w:val="22"/>
          <w:szCs w:val="22"/>
          <w:lang w:val="en"/>
        </w:rPr>
        <w:t xml:space="preserve"> (see methods). Coverage over nucleosome free regions is shown for loci of the ERV1 TE family that are both self- and differentially expressed, split by cluster as in Figure 3D. The top row shows the average signal across each cluster. The column on the right depicts </w:t>
      </w:r>
      <w:proofErr w:type="spellStart"/>
      <w:r w:rsidRPr="006A7268">
        <w:rPr>
          <w:rFonts w:ascii="Times New Roman" w:eastAsia="Times New Roman" w:hAnsi="Times New Roman" w:cs="Times New Roman"/>
          <w:i/>
          <w:sz w:val="22"/>
          <w:szCs w:val="22"/>
          <w:lang w:val="en"/>
        </w:rPr>
        <w:t>mappability</w:t>
      </w:r>
      <w:proofErr w:type="spellEnd"/>
      <w:r w:rsidRPr="006A7268">
        <w:rPr>
          <w:rFonts w:ascii="Times New Roman" w:eastAsia="Times New Roman" w:hAnsi="Times New Roman" w:cs="Times New Roman"/>
          <w:i/>
          <w:sz w:val="22"/>
          <w:szCs w:val="22"/>
          <w:lang w:val="en"/>
        </w:rPr>
        <w:t xml:space="preserve"> scores calculated using the GEM library tool </w:t>
      </w:r>
      <w:r w:rsidRPr="006A7268">
        <w:rPr>
          <w:rFonts w:ascii="Times New Roman" w:eastAsia="Times New Roman" w:hAnsi="Times New Roman" w:cs="Times New Roman"/>
          <w:i/>
          <w:sz w:val="22"/>
          <w:szCs w:val="22"/>
          <w:lang w:val="en"/>
        </w:rPr>
        <w:fldChar w:fldCharType="begin" w:fldLock="1"/>
      </w:r>
      <w:r>
        <w:rPr>
          <w:rFonts w:ascii="Times New Roman" w:eastAsia="Times New Roman" w:hAnsi="Times New Roman" w:cs="Times New Roman"/>
          <w:i/>
          <w:sz w:val="22"/>
          <w:szCs w:val="22"/>
          <w:lang w:val="en"/>
        </w:rPr>
        <w:instrText>ADDIN CSL_CITATION {"citationItems":[{"id":"ITEM-1","itemData":{"DOI":"10.1371/journal.pone.0030377","ISSN":"1932-6203","author":[{"dropping-particle":"","family":"Derrien","given":"Thomas","non-dropping-particle":"","parse-names":false,"suffix":""},{"dropping-particle":"","family":"Estellé","given":"Jordi","non-dropping-particle":"","parse-names":false,"suffix":""},{"dropping-particle":"","family":"Marco Sola","given":"Santiago","non-dropping-particle":"","parse-names":false,"suffix":""},{"dropping-particle":"","family":"Knowles","given":"David G.","non-dropping-particle":"","parse-names":false,"suffix":""},{"dropping-particle":"","family":"Raineri","given":"Emanuele","non-dropping-particle":"","parse-names":false,"suffix":""},{"dropping-particle":"","family":"Guigó","given":"Roderic","non-dropping-particle":"","parse-names":false,"suffix":""},{"dropping-particle":"","family":"Ribeca","given":"Paolo","non-dropping-particle":"","parse-names":false,"suffix":""}],"container-title":"PLoS ONE","editor":[{"dropping-particle":"","family":"Ouzounis","given":"Christos A.","non-dropping-particle":"","parse-names":false,"suffix":""}],"id":"ITEM-1","issue":"1","issued":{"date-parts":[["2012","1","19"]]},"page":"e30377","title":"Fast Computation and Applications of Genome Mappability","type":"article-journal","volume":"7"},"uris":["http://www.mendeley.com/documents/?uuid=d52bfd38-4134-4d67-b163-351d03cf9222"]}],"mendeley":{"formattedCitation":"(Derrien et al. 2012)","plainTextFormattedCitation":"(Derrien et al. 2012)","previouslyFormattedCitation":"(Derrien et al. 2012)"},"properties":{"noteIndex":0},"schema":"https://github.com/citation-style-language/schema/raw/master/csl-citation.json"}</w:instrText>
      </w:r>
      <w:r w:rsidRPr="006A7268">
        <w:rPr>
          <w:rFonts w:ascii="Times New Roman" w:eastAsia="Times New Roman" w:hAnsi="Times New Roman" w:cs="Times New Roman"/>
          <w:i/>
          <w:sz w:val="22"/>
          <w:szCs w:val="22"/>
          <w:lang w:val="en"/>
        </w:rPr>
        <w:fldChar w:fldCharType="separate"/>
      </w:r>
      <w:r w:rsidRPr="00CE2FF8">
        <w:rPr>
          <w:rFonts w:ascii="Times New Roman" w:eastAsia="Times New Roman" w:hAnsi="Times New Roman" w:cs="Times New Roman"/>
          <w:noProof/>
          <w:sz w:val="22"/>
          <w:szCs w:val="22"/>
          <w:lang w:val="en"/>
        </w:rPr>
        <w:t>(Derrien et al. 2012)</w:t>
      </w:r>
      <w:r w:rsidRPr="006A7268">
        <w:rPr>
          <w:rFonts w:ascii="Times New Roman" w:eastAsia="Times New Roman" w:hAnsi="Times New Roman" w:cs="Times New Roman"/>
          <w:i/>
          <w:sz w:val="22"/>
          <w:szCs w:val="22"/>
          <w:lang w:val="en"/>
        </w:rPr>
        <w:fldChar w:fldCharType="end"/>
      </w:r>
      <w:r w:rsidRPr="006A7268">
        <w:rPr>
          <w:rFonts w:ascii="Times New Roman" w:eastAsia="Times New Roman" w:hAnsi="Times New Roman" w:cs="Times New Roman"/>
          <w:i/>
          <w:sz w:val="22"/>
          <w:szCs w:val="22"/>
          <w:lang w:val="en"/>
        </w:rPr>
        <w:t xml:space="preserve"> for a </w:t>
      </w:r>
      <w:proofErr w:type="spellStart"/>
      <w:r w:rsidRPr="006A7268">
        <w:rPr>
          <w:rFonts w:ascii="Times New Roman" w:eastAsia="Times New Roman" w:hAnsi="Times New Roman" w:cs="Times New Roman"/>
          <w:i/>
          <w:sz w:val="22"/>
          <w:szCs w:val="22"/>
          <w:lang w:val="en"/>
        </w:rPr>
        <w:t>kmer</w:t>
      </w:r>
      <w:proofErr w:type="spellEnd"/>
      <w:r w:rsidRPr="006A7268">
        <w:rPr>
          <w:rFonts w:ascii="Times New Roman" w:eastAsia="Times New Roman" w:hAnsi="Times New Roman" w:cs="Times New Roman"/>
          <w:i/>
          <w:sz w:val="22"/>
          <w:szCs w:val="22"/>
          <w:lang w:val="en"/>
        </w:rPr>
        <w:t xml:space="preserve"> length of 50bp. ERV1 loci in cluster B and C show an increased chromatin openness signal in the TE body on the development stages in which they are active.</w:t>
      </w:r>
      <w:r>
        <w:rPr>
          <w:rFonts w:ascii="Times New Roman" w:eastAsia="Times New Roman" w:hAnsi="Times New Roman" w:cs="Times New Roman"/>
          <w:i/>
          <w:sz w:val="22"/>
          <w:szCs w:val="22"/>
          <w:lang w:val="en"/>
        </w:rPr>
        <w:br w:type="page"/>
      </w:r>
    </w:p>
    <w:p w14:paraId="4896B084" w14:textId="79CE3513" w:rsidR="00B13F4A" w:rsidRDefault="001777BB" w:rsidP="00B13F4A">
      <w:pPr>
        <w:spacing w:after="240" w:line="360" w:lineRule="auto"/>
        <w:contextualSpacing/>
        <w:jc w:val="both"/>
        <w:rPr>
          <w:rFonts w:ascii="Times New Roman" w:eastAsia="Times New Roman" w:hAnsi="Times New Roman" w:cs="Times New Roman"/>
          <w:i/>
          <w:iCs/>
          <w:color w:val="000000"/>
          <w:sz w:val="22"/>
          <w:szCs w:val="22"/>
        </w:rPr>
      </w:pPr>
      <w:r>
        <w:rPr>
          <w:noProof/>
        </w:rPr>
        <w:lastRenderedPageBreak/>
        <w:drawing>
          <wp:inline distT="0" distB="0" distL="0" distR="0" wp14:anchorId="4E58FBD2" wp14:editId="31A0180E">
            <wp:extent cx="5943600" cy="5217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_Fig_S9.pdf"/>
                    <pic:cNvPicPr/>
                  </pic:nvPicPr>
                  <pic:blipFill>
                    <a:blip r:embed="rId17">
                      <a:extLst>
                        <a:ext uri="{28A0092B-C50C-407E-A947-70E740481C1C}">
                          <a14:useLocalDpi xmlns:a14="http://schemas.microsoft.com/office/drawing/2010/main" val="0"/>
                        </a:ext>
                      </a:extLst>
                    </a:blip>
                    <a:stretch>
                      <a:fillRect/>
                    </a:stretch>
                  </pic:blipFill>
                  <pic:spPr>
                    <a:xfrm>
                      <a:off x="0" y="0"/>
                      <a:ext cx="5943600" cy="5217795"/>
                    </a:xfrm>
                    <a:prstGeom prst="rect">
                      <a:avLst/>
                    </a:prstGeom>
                  </pic:spPr>
                </pic:pic>
              </a:graphicData>
            </a:graphic>
          </wp:inline>
        </w:drawing>
      </w:r>
    </w:p>
    <w:p w14:paraId="57FEA400" w14:textId="77777777" w:rsidR="00B13F4A" w:rsidRDefault="00B13F4A" w:rsidP="00B13F4A">
      <w:pPr>
        <w:spacing w:line="360" w:lineRule="auto"/>
        <w:contextualSpacing/>
        <w:jc w:val="both"/>
        <w:rPr>
          <w:rFonts w:ascii="Times New Roman" w:eastAsia="Times New Roman" w:hAnsi="Times New Roman" w:cs="Times New Roman"/>
          <w:i/>
          <w:iCs/>
          <w:color w:val="000000"/>
          <w:sz w:val="22"/>
          <w:szCs w:val="22"/>
          <w:lang w:val="en"/>
        </w:rPr>
      </w:pPr>
      <w:r w:rsidRPr="004937CF">
        <w:rPr>
          <w:rFonts w:ascii="Times New Roman" w:eastAsia="Times New Roman" w:hAnsi="Times New Roman" w:cs="Times New Roman"/>
          <w:b/>
          <w:bCs/>
          <w:i/>
          <w:iCs/>
          <w:color w:val="000000"/>
          <w:sz w:val="22"/>
          <w:szCs w:val="22"/>
        </w:rPr>
        <w:t>Suppl</w:t>
      </w:r>
      <w:r>
        <w:rPr>
          <w:rFonts w:ascii="Times New Roman" w:eastAsia="Times New Roman" w:hAnsi="Times New Roman" w:cs="Times New Roman"/>
          <w:b/>
          <w:bCs/>
          <w:i/>
          <w:iCs/>
          <w:color w:val="000000"/>
          <w:sz w:val="22"/>
          <w:szCs w:val="22"/>
        </w:rPr>
        <w:t>ementary Figure 9.</w:t>
      </w:r>
      <w:r w:rsidRPr="00750020">
        <w:rPr>
          <w:rFonts w:ascii="Arial" w:eastAsia="Arial" w:hAnsi="Arial" w:cs="Arial"/>
          <w:sz w:val="22"/>
          <w:szCs w:val="22"/>
          <w:lang w:val="en" w:eastAsia="en-US"/>
        </w:rPr>
        <w:t xml:space="preserve"> </w:t>
      </w:r>
      <w:r w:rsidRPr="00090470">
        <w:rPr>
          <w:rFonts w:ascii="Times New Roman" w:eastAsia="Times New Roman" w:hAnsi="Times New Roman" w:cs="Times New Roman"/>
          <w:b/>
          <w:bCs/>
          <w:i/>
          <w:iCs/>
          <w:color w:val="000000"/>
          <w:sz w:val="22"/>
          <w:szCs w:val="22"/>
          <w:lang w:val="en"/>
        </w:rPr>
        <w:t xml:space="preserve">Nanog-like </w:t>
      </w:r>
      <w:proofErr w:type="spellStart"/>
      <w:r w:rsidRPr="00090470">
        <w:rPr>
          <w:rFonts w:ascii="Times New Roman" w:eastAsia="Times New Roman" w:hAnsi="Times New Roman" w:cs="Times New Roman"/>
          <w:b/>
          <w:bCs/>
          <w:i/>
          <w:iCs/>
          <w:color w:val="000000"/>
          <w:sz w:val="22"/>
          <w:szCs w:val="22"/>
          <w:lang w:val="en"/>
        </w:rPr>
        <w:t>Ch</w:t>
      </w:r>
      <w:r>
        <w:rPr>
          <w:rFonts w:ascii="Times New Roman" w:eastAsia="Times New Roman" w:hAnsi="Times New Roman" w:cs="Times New Roman"/>
          <w:b/>
          <w:bCs/>
          <w:i/>
          <w:iCs/>
          <w:color w:val="000000"/>
          <w:sz w:val="22"/>
          <w:szCs w:val="22"/>
          <w:lang w:val="en"/>
        </w:rPr>
        <w:t>IP</w:t>
      </w:r>
      <w:r w:rsidRPr="00090470">
        <w:rPr>
          <w:rFonts w:ascii="Times New Roman" w:eastAsia="Times New Roman" w:hAnsi="Times New Roman" w:cs="Times New Roman"/>
          <w:b/>
          <w:bCs/>
          <w:i/>
          <w:iCs/>
          <w:color w:val="000000"/>
          <w:sz w:val="22"/>
          <w:szCs w:val="22"/>
          <w:lang w:val="en"/>
        </w:rPr>
        <w:t>-seq</w:t>
      </w:r>
      <w:proofErr w:type="spellEnd"/>
      <w:r w:rsidRPr="00090470">
        <w:rPr>
          <w:rFonts w:ascii="Times New Roman" w:eastAsia="Times New Roman" w:hAnsi="Times New Roman" w:cs="Times New Roman"/>
          <w:b/>
          <w:bCs/>
          <w:i/>
          <w:iCs/>
          <w:color w:val="000000"/>
          <w:sz w:val="22"/>
          <w:szCs w:val="22"/>
          <w:lang w:val="en"/>
        </w:rPr>
        <w:t xml:space="preserve"> analysis.</w:t>
      </w:r>
      <w:r w:rsidRPr="004937CF">
        <w:rPr>
          <w:rFonts w:ascii="Times New Roman" w:eastAsia="Times New Roman" w:hAnsi="Times New Roman" w:cs="Times New Roman"/>
          <w:i/>
          <w:iCs/>
          <w:color w:val="000000"/>
          <w:sz w:val="22"/>
          <w:szCs w:val="22"/>
          <w:lang w:val="en"/>
        </w:rPr>
        <w:t xml:space="preserve"> </w:t>
      </w:r>
    </w:p>
    <w:p w14:paraId="5EE66AFD" w14:textId="77777777" w:rsidR="00B13F4A" w:rsidRPr="00750020" w:rsidRDefault="00B13F4A" w:rsidP="00B13F4A">
      <w:pPr>
        <w:spacing w:line="360" w:lineRule="auto"/>
        <w:contextualSpacing/>
        <w:jc w:val="both"/>
        <w:rPr>
          <w:rFonts w:ascii="Times New Roman" w:eastAsia="Times New Roman" w:hAnsi="Times New Roman" w:cs="Times New Roman"/>
          <w:b/>
          <w:bCs/>
          <w:i/>
          <w:iCs/>
          <w:color w:val="000000"/>
          <w:sz w:val="22"/>
          <w:szCs w:val="22"/>
          <w:lang w:val="en"/>
        </w:rPr>
      </w:pPr>
      <w:r w:rsidRPr="004937CF">
        <w:rPr>
          <w:rFonts w:ascii="Times New Roman" w:eastAsia="Times New Roman" w:hAnsi="Times New Roman" w:cs="Times New Roman"/>
          <w:i/>
          <w:iCs/>
          <w:color w:val="000000"/>
          <w:sz w:val="22"/>
          <w:szCs w:val="22"/>
          <w:lang w:val="en"/>
        </w:rPr>
        <w:t xml:space="preserve">A. The heatmap shows a binding profile of </w:t>
      </w:r>
      <w:proofErr w:type="spellStart"/>
      <w:r w:rsidRPr="004937CF">
        <w:rPr>
          <w:rFonts w:ascii="Times New Roman" w:eastAsia="Times New Roman" w:hAnsi="Times New Roman" w:cs="Times New Roman"/>
          <w:i/>
          <w:iCs/>
          <w:color w:val="000000"/>
          <w:sz w:val="22"/>
          <w:szCs w:val="22"/>
          <w:lang w:val="en"/>
        </w:rPr>
        <w:t>nanog</w:t>
      </w:r>
      <w:proofErr w:type="spellEnd"/>
      <w:r w:rsidRPr="004937CF">
        <w:rPr>
          <w:rFonts w:ascii="Times New Roman" w:eastAsia="Times New Roman" w:hAnsi="Times New Roman" w:cs="Times New Roman"/>
          <w:i/>
          <w:iCs/>
          <w:color w:val="000000"/>
          <w:sz w:val="22"/>
          <w:szCs w:val="22"/>
          <w:lang w:val="en"/>
        </w:rPr>
        <w:t xml:space="preserve">-like transcription factor on ERV1-N6 (61 out of 188 loci). B. Screenshots of peaks of </w:t>
      </w:r>
      <w:r>
        <w:rPr>
          <w:rFonts w:ascii="Times New Roman" w:eastAsia="Times New Roman" w:hAnsi="Times New Roman" w:cs="Times New Roman"/>
          <w:i/>
          <w:iCs/>
          <w:color w:val="000000"/>
          <w:sz w:val="22"/>
          <w:szCs w:val="22"/>
          <w:lang w:val="en"/>
        </w:rPr>
        <w:t>N</w:t>
      </w:r>
      <w:r w:rsidRPr="004937CF">
        <w:rPr>
          <w:rFonts w:ascii="Times New Roman" w:eastAsia="Times New Roman" w:hAnsi="Times New Roman" w:cs="Times New Roman"/>
          <w:i/>
          <w:iCs/>
          <w:color w:val="000000"/>
          <w:sz w:val="22"/>
          <w:szCs w:val="22"/>
          <w:lang w:val="en"/>
        </w:rPr>
        <w:t xml:space="preserve">anog-like binding sites on two ERV1-N6 elements. C. The </w:t>
      </w:r>
      <w:r>
        <w:rPr>
          <w:rFonts w:ascii="Times New Roman" w:eastAsia="Times New Roman" w:hAnsi="Times New Roman" w:cs="Times New Roman"/>
          <w:i/>
          <w:iCs/>
          <w:color w:val="000000"/>
          <w:sz w:val="22"/>
          <w:szCs w:val="22"/>
          <w:lang w:val="en"/>
        </w:rPr>
        <w:t>N</w:t>
      </w:r>
      <w:r w:rsidRPr="004937CF">
        <w:rPr>
          <w:rFonts w:ascii="Times New Roman" w:eastAsia="Times New Roman" w:hAnsi="Times New Roman" w:cs="Times New Roman"/>
          <w:i/>
          <w:iCs/>
          <w:color w:val="000000"/>
          <w:sz w:val="22"/>
          <w:szCs w:val="22"/>
          <w:lang w:val="en"/>
        </w:rPr>
        <w:t>anog-like motif</w:t>
      </w:r>
      <w:r>
        <w:rPr>
          <w:rFonts w:ascii="Times New Roman" w:eastAsia="Times New Roman" w:hAnsi="Times New Roman" w:cs="Times New Roman"/>
          <w:i/>
          <w:iCs/>
          <w:color w:val="000000"/>
          <w:sz w:val="22"/>
          <w:szCs w:val="22"/>
          <w:lang w:val="en"/>
        </w:rPr>
        <w:t>s</w:t>
      </w:r>
      <w:r w:rsidRPr="004937CF">
        <w:rPr>
          <w:rFonts w:ascii="Times New Roman" w:eastAsia="Times New Roman" w:hAnsi="Times New Roman" w:cs="Times New Roman"/>
          <w:i/>
          <w:iCs/>
          <w:color w:val="000000"/>
          <w:sz w:val="22"/>
          <w:szCs w:val="22"/>
          <w:lang w:val="en"/>
        </w:rPr>
        <w:t xml:space="preserve"> are located within LTRs of ERV1-N6 and also upstream the TATA box and TSS site.</w:t>
      </w:r>
    </w:p>
    <w:p w14:paraId="48A367B1" w14:textId="77777777" w:rsidR="00B13F4A" w:rsidRDefault="00B13F4A" w:rsidP="00B13F4A">
      <w:pPr>
        <w:rPr>
          <w:rFonts w:ascii="Times New Roman" w:eastAsia="Times New Roman" w:hAnsi="Times New Roman" w:cs="Times New Roman"/>
          <w:sz w:val="22"/>
          <w:szCs w:val="22"/>
          <w:lang w:val="en"/>
        </w:rPr>
      </w:pPr>
      <w:r>
        <w:rPr>
          <w:rFonts w:ascii="Times New Roman" w:eastAsia="Times New Roman" w:hAnsi="Times New Roman" w:cs="Times New Roman"/>
          <w:sz w:val="22"/>
          <w:szCs w:val="22"/>
          <w:lang w:val="en"/>
        </w:rPr>
        <w:br w:type="page"/>
      </w:r>
    </w:p>
    <w:p w14:paraId="3FCDCDD6" w14:textId="77777777" w:rsidR="00B13F4A" w:rsidRPr="00B96770" w:rsidRDefault="00B13F4A" w:rsidP="00B13F4A">
      <w:pPr>
        <w:spacing w:line="360" w:lineRule="auto"/>
        <w:contextualSpacing/>
        <w:jc w:val="both"/>
        <w:rPr>
          <w:rFonts w:ascii="Times New Roman" w:eastAsia="Times New Roman" w:hAnsi="Times New Roman" w:cs="Times New Roman"/>
          <w:sz w:val="22"/>
          <w:szCs w:val="22"/>
        </w:rPr>
      </w:pPr>
      <w:r>
        <w:rPr>
          <w:rFonts w:ascii="Times New Roman" w:eastAsia="Times New Roman" w:hAnsi="Times New Roman" w:cs="Times New Roman"/>
          <w:b/>
          <w:bCs/>
          <w:i/>
          <w:iCs/>
          <w:noProof/>
          <w:color w:val="000000"/>
          <w:sz w:val="22"/>
          <w:szCs w:val="22"/>
        </w:rPr>
        <w:lastRenderedPageBreak/>
        <w:drawing>
          <wp:inline distT="0" distB="0" distL="0" distR="0" wp14:anchorId="4C1AC7E8" wp14:editId="60FD24E8">
            <wp:extent cx="5878195" cy="6877455"/>
            <wp:effectExtent l="0" t="0" r="190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8">
                      <a:extLst>
                        <a:ext uri="{28A0092B-C50C-407E-A947-70E740481C1C}">
                          <a14:useLocalDpi xmlns:a14="http://schemas.microsoft.com/office/drawing/2010/main" val="0"/>
                        </a:ext>
                      </a:extLst>
                    </a:blip>
                    <a:srcRect b="16430"/>
                    <a:stretch/>
                  </pic:blipFill>
                  <pic:spPr bwMode="auto">
                    <a:xfrm>
                      <a:off x="0" y="0"/>
                      <a:ext cx="5878195" cy="6877455"/>
                    </a:xfrm>
                    <a:prstGeom prst="rect">
                      <a:avLst/>
                    </a:prstGeom>
                    <a:ln>
                      <a:noFill/>
                    </a:ln>
                    <a:extLst>
                      <a:ext uri="{53640926-AAD7-44D8-BBD7-CCE9431645EC}">
                        <a14:shadowObscured xmlns:a14="http://schemas.microsoft.com/office/drawing/2010/main"/>
                      </a:ext>
                    </a:extLst>
                  </pic:spPr>
                </pic:pic>
              </a:graphicData>
            </a:graphic>
          </wp:inline>
        </w:drawing>
      </w:r>
    </w:p>
    <w:p w14:paraId="555E7118" w14:textId="77777777" w:rsidR="00B13F4A" w:rsidRDefault="00B13F4A" w:rsidP="00B13F4A">
      <w:pPr>
        <w:spacing w:line="360" w:lineRule="auto"/>
        <w:contextualSpacing/>
        <w:jc w:val="both"/>
        <w:rPr>
          <w:rFonts w:ascii="Times New Roman" w:eastAsia="Times New Roman" w:hAnsi="Times New Roman" w:cs="Times New Roman"/>
          <w:i/>
          <w:iCs/>
          <w:color w:val="000000"/>
          <w:sz w:val="22"/>
          <w:szCs w:val="22"/>
        </w:rPr>
      </w:pPr>
      <w:r w:rsidRPr="00B96770">
        <w:rPr>
          <w:rFonts w:ascii="Times New Roman" w:eastAsia="Times New Roman" w:hAnsi="Times New Roman" w:cs="Times New Roman"/>
          <w:b/>
          <w:bCs/>
          <w:i/>
          <w:iCs/>
          <w:color w:val="000000"/>
          <w:sz w:val="22"/>
          <w:szCs w:val="22"/>
        </w:rPr>
        <w:t xml:space="preserve">Supplementary Figure </w:t>
      </w:r>
      <w:r>
        <w:rPr>
          <w:rFonts w:ascii="Times New Roman" w:eastAsia="Times New Roman" w:hAnsi="Times New Roman" w:cs="Times New Roman"/>
          <w:b/>
          <w:bCs/>
          <w:i/>
          <w:iCs/>
          <w:color w:val="000000"/>
          <w:sz w:val="22"/>
          <w:szCs w:val="22"/>
        </w:rPr>
        <w:t>10</w:t>
      </w:r>
      <w:r w:rsidRPr="00B96770">
        <w:rPr>
          <w:rFonts w:ascii="Times New Roman" w:eastAsia="Times New Roman" w:hAnsi="Times New Roman" w:cs="Times New Roman"/>
          <w:b/>
          <w:bCs/>
          <w:i/>
          <w:iCs/>
          <w:color w:val="000000"/>
          <w:sz w:val="22"/>
          <w:szCs w:val="22"/>
        </w:rPr>
        <w:t>.</w:t>
      </w:r>
    </w:p>
    <w:p w14:paraId="714D9A9A" w14:textId="05CF6871" w:rsidR="00B13F4A" w:rsidRDefault="00B13F4A" w:rsidP="00A85602">
      <w:pPr>
        <w:spacing w:line="360" w:lineRule="auto"/>
        <w:contextualSpacing/>
        <w:jc w:val="both"/>
        <w:rPr>
          <w:rFonts w:ascii="Times New Roman" w:eastAsia="Times New Roman" w:hAnsi="Times New Roman" w:cs="Times New Roman"/>
          <w:sz w:val="22"/>
          <w:szCs w:val="22"/>
        </w:rPr>
      </w:pPr>
      <w:r>
        <w:rPr>
          <w:rFonts w:ascii="Times New Roman" w:eastAsia="Times New Roman" w:hAnsi="Times New Roman" w:cs="Times New Roman"/>
          <w:i/>
          <w:iCs/>
          <w:color w:val="000000"/>
          <w:sz w:val="22"/>
          <w:szCs w:val="22"/>
        </w:rPr>
        <w:t xml:space="preserve">Gene markers and development stages mark the cell lineages in UMAP from single cell sequencing. A. UMAP shows the cell lineage marked by nano3, the primordial germ cell lineage; krt4, the EVL cell lineage; </w:t>
      </w:r>
      <w:proofErr w:type="spellStart"/>
      <w:r>
        <w:rPr>
          <w:rFonts w:ascii="Times New Roman" w:eastAsia="Times New Roman" w:hAnsi="Times New Roman" w:cs="Times New Roman"/>
          <w:i/>
          <w:iCs/>
          <w:color w:val="000000"/>
          <w:sz w:val="22"/>
          <w:szCs w:val="22"/>
        </w:rPr>
        <w:t>noto</w:t>
      </w:r>
      <w:proofErr w:type="spellEnd"/>
      <w:r>
        <w:rPr>
          <w:rFonts w:ascii="Times New Roman" w:eastAsia="Times New Roman" w:hAnsi="Times New Roman" w:cs="Times New Roman"/>
          <w:i/>
          <w:iCs/>
          <w:color w:val="000000"/>
          <w:sz w:val="22"/>
          <w:szCs w:val="22"/>
        </w:rPr>
        <w:t xml:space="preserve">, the notochord lineage; </w:t>
      </w:r>
      <w:proofErr w:type="spellStart"/>
      <w:r>
        <w:rPr>
          <w:rFonts w:ascii="Times New Roman" w:eastAsia="Times New Roman" w:hAnsi="Times New Roman" w:cs="Times New Roman"/>
          <w:i/>
          <w:iCs/>
          <w:color w:val="000000"/>
          <w:sz w:val="22"/>
          <w:szCs w:val="22"/>
        </w:rPr>
        <w:t>fsta</w:t>
      </w:r>
      <w:proofErr w:type="spellEnd"/>
      <w:r>
        <w:rPr>
          <w:rFonts w:ascii="Times New Roman" w:eastAsia="Times New Roman" w:hAnsi="Times New Roman" w:cs="Times New Roman"/>
          <w:i/>
          <w:iCs/>
          <w:color w:val="000000"/>
          <w:sz w:val="22"/>
          <w:szCs w:val="22"/>
        </w:rPr>
        <w:t>, the cephalic mesoderm lineage.</w:t>
      </w:r>
      <w:r>
        <w:rPr>
          <w:rFonts w:ascii="Times New Roman" w:eastAsia="Times New Roman" w:hAnsi="Times New Roman" w:cs="Times New Roman"/>
          <w:i/>
          <w:iCs/>
          <w:color w:val="000000"/>
          <w:sz w:val="22"/>
          <w:szCs w:val="22"/>
          <w:lang w:eastAsia="zh-TW"/>
        </w:rPr>
        <w:t xml:space="preserve"> </w:t>
      </w:r>
      <w:r w:rsidRPr="00A42C0B">
        <w:rPr>
          <w:rFonts w:ascii="Times New Roman" w:eastAsia="Times New Roman" w:hAnsi="Times New Roman" w:cs="Times New Roman"/>
          <w:i/>
          <w:iCs/>
          <w:color w:val="000000"/>
          <w:sz w:val="22"/>
          <w:szCs w:val="22"/>
        </w:rPr>
        <w:t xml:space="preserve">B. </w:t>
      </w:r>
      <w:r>
        <w:rPr>
          <w:rFonts w:ascii="Times New Roman" w:eastAsia="Times New Roman" w:hAnsi="Times New Roman" w:cs="Times New Roman"/>
          <w:i/>
          <w:iCs/>
          <w:color w:val="000000"/>
          <w:sz w:val="22"/>
          <w:szCs w:val="22"/>
        </w:rPr>
        <w:t>Cells cluster together with its closet developmental stages.</w:t>
      </w:r>
      <w:r>
        <w:rPr>
          <w:rFonts w:ascii="Times New Roman" w:eastAsia="Times New Roman" w:hAnsi="Times New Roman" w:cs="Times New Roman"/>
          <w:sz w:val="22"/>
          <w:szCs w:val="22"/>
        </w:rPr>
        <w:br w:type="page"/>
      </w:r>
    </w:p>
    <w:p w14:paraId="4930EC5F" w14:textId="60CCE5BB" w:rsidR="00B13F4A" w:rsidRPr="00B96770" w:rsidRDefault="001777BB" w:rsidP="00B13F4A">
      <w:pPr>
        <w:spacing w:after="240" w:line="360" w:lineRule="auto"/>
        <w:contextualSpacing/>
        <w:rPr>
          <w:rFonts w:ascii="Times New Roman" w:eastAsia="Times New Roman" w:hAnsi="Times New Roman" w:cs="Times New Roman"/>
          <w:sz w:val="22"/>
          <w:szCs w:val="22"/>
        </w:rPr>
      </w:pPr>
      <w:r>
        <w:rPr>
          <w:rFonts w:ascii="Times New Roman" w:eastAsia="Times New Roman" w:hAnsi="Times New Roman" w:cs="Times New Roman"/>
          <w:noProof/>
          <w:sz w:val="22"/>
          <w:szCs w:val="22"/>
        </w:rPr>
        <w:lastRenderedPageBreak/>
        <w:drawing>
          <wp:inline distT="0" distB="0" distL="0" distR="0" wp14:anchorId="4C7229A0" wp14:editId="1AEC6D6A">
            <wp:extent cx="5943600" cy="563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_Fig_S11.pdf"/>
                    <pic:cNvPicPr/>
                  </pic:nvPicPr>
                  <pic:blipFill>
                    <a:blip r:embed="rId19">
                      <a:extLst>
                        <a:ext uri="{28A0092B-C50C-407E-A947-70E740481C1C}">
                          <a14:useLocalDpi xmlns:a14="http://schemas.microsoft.com/office/drawing/2010/main" val="0"/>
                        </a:ext>
                      </a:extLst>
                    </a:blip>
                    <a:stretch>
                      <a:fillRect/>
                    </a:stretch>
                  </pic:blipFill>
                  <pic:spPr>
                    <a:xfrm>
                      <a:off x="0" y="0"/>
                      <a:ext cx="5943600" cy="5632450"/>
                    </a:xfrm>
                    <a:prstGeom prst="rect">
                      <a:avLst/>
                    </a:prstGeom>
                  </pic:spPr>
                </pic:pic>
              </a:graphicData>
            </a:graphic>
          </wp:inline>
        </w:drawing>
      </w:r>
    </w:p>
    <w:p w14:paraId="74E8DE09" w14:textId="77777777" w:rsidR="00B13F4A" w:rsidRDefault="00B13F4A" w:rsidP="00B13F4A">
      <w:pPr>
        <w:spacing w:line="360" w:lineRule="auto"/>
        <w:contextualSpacing/>
        <w:jc w:val="both"/>
        <w:rPr>
          <w:rFonts w:ascii="Times New Roman" w:eastAsia="Times New Roman" w:hAnsi="Times New Roman" w:cs="Times New Roman"/>
          <w:i/>
          <w:iCs/>
          <w:color w:val="000000"/>
          <w:sz w:val="22"/>
          <w:szCs w:val="22"/>
        </w:rPr>
      </w:pPr>
      <w:r w:rsidRPr="00B96770">
        <w:rPr>
          <w:rFonts w:ascii="Times New Roman" w:eastAsia="Times New Roman" w:hAnsi="Times New Roman" w:cs="Times New Roman"/>
          <w:b/>
          <w:bCs/>
          <w:i/>
          <w:iCs/>
          <w:color w:val="000000"/>
          <w:sz w:val="22"/>
          <w:szCs w:val="22"/>
        </w:rPr>
        <w:t xml:space="preserve">Supplementary Figure </w:t>
      </w:r>
      <w:r>
        <w:rPr>
          <w:rFonts w:ascii="Times New Roman" w:eastAsia="Times New Roman" w:hAnsi="Times New Roman" w:cs="Times New Roman"/>
          <w:b/>
          <w:bCs/>
          <w:i/>
          <w:iCs/>
          <w:color w:val="000000"/>
          <w:sz w:val="22"/>
          <w:szCs w:val="22"/>
        </w:rPr>
        <w:t>11</w:t>
      </w:r>
      <w:r w:rsidRPr="00B96770">
        <w:rPr>
          <w:rFonts w:ascii="Times New Roman" w:eastAsia="Times New Roman" w:hAnsi="Times New Roman" w:cs="Times New Roman"/>
          <w:b/>
          <w:bCs/>
          <w:i/>
          <w:iCs/>
          <w:color w:val="000000"/>
          <w:sz w:val="22"/>
          <w:szCs w:val="22"/>
        </w:rPr>
        <w:t>.</w:t>
      </w:r>
    </w:p>
    <w:p w14:paraId="249B0432" w14:textId="77777777" w:rsidR="00B13F4A" w:rsidRDefault="00B13F4A" w:rsidP="00B13F4A">
      <w:pPr>
        <w:spacing w:line="360" w:lineRule="auto"/>
        <w:contextualSpacing/>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Reads mapped to individual loci of A. BHIKHARI and B. ERV1-3 in Bud stage from single-cell RNA-seq. From the 98 self-expressed loci of BHIKHARI, 97 of them are expressed. Of 45 self-expressed loci of ERV1-3, 43 are expressed, but most reads are from the 10 highly expressed loci.</w:t>
      </w:r>
    </w:p>
    <w:p w14:paraId="69FCAEA1" w14:textId="77777777" w:rsidR="00B13F4A" w:rsidRDefault="00B13F4A" w:rsidP="00B13F4A">
      <w:pPr>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br w:type="page"/>
      </w:r>
    </w:p>
    <w:p w14:paraId="1DC446BC" w14:textId="4BFB912B" w:rsidR="00B13F4A" w:rsidRPr="001777BB" w:rsidRDefault="00B13F4A" w:rsidP="00B13F4A">
      <w:pPr>
        <w:widowControl w:val="0"/>
        <w:autoSpaceDE w:val="0"/>
        <w:autoSpaceDN w:val="0"/>
        <w:adjustRightInd w:val="0"/>
        <w:spacing w:after="240" w:line="360" w:lineRule="auto"/>
        <w:contextualSpacing/>
        <w:rPr>
          <w:rFonts w:ascii="Times New Roman" w:eastAsia="Times New Roman" w:hAnsi="Times New Roman" w:cs="Times New Roman"/>
          <w:sz w:val="28"/>
        </w:rPr>
      </w:pPr>
      <w:r w:rsidRPr="001777BB">
        <w:rPr>
          <w:rFonts w:ascii="Times New Roman" w:eastAsia="Times New Roman" w:hAnsi="Times New Roman" w:cs="Times New Roman"/>
          <w:b/>
          <w:bCs/>
          <w:color w:val="000000"/>
          <w:sz w:val="28"/>
        </w:rPr>
        <w:lastRenderedPageBreak/>
        <w:t xml:space="preserve">Supplementary </w:t>
      </w:r>
      <w:r w:rsidR="00A85602" w:rsidRPr="001777BB">
        <w:rPr>
          <w:rFonts w:ascii="Times New Roman" w:eastAsia="Times New Roman" w:hAnsi="Times New Roman" w:cs="Times New Roman"/>
          <w:b/>
          <w:bCs/>
          <w:color w:val="000000"/>
          <w:sz w:val="28"/>
        </w:rPr>
        <w:t>Data</w:t>
      </w:r>
    </w:p>
    <w:p w14:paraId="0DDA5186" w14:textId="77777777" w:rsidR="00B13F4A" w:rsidRPr="006A7268" w:rsidRDefault="00B13F4A" w:rsidP="00B13F4A">
      <w:pPr>
        <w:spacing w:line="360" w:lineRule="auto"/>
        <w:contextualSpacing/>
        <w:jc w:val="both"/>
        <w:rPr>
          <w:rFonts w:ascii="Times New Roman" w:eastAsia="Times New Roman" w:hAnsi="Times New Roman" w:cs="Times New Roman"/>
          <w:b/>
          <w:bCs/>
          <w:i/>
          <w:iCs/>
          <w:color w:val="000000"/>
          <w:sz w:val="22"/>
          <w:szCs w:val="22"/>
        </w:rPr>
      </w:pPr>
    </w:p>
    <w:p w14:paraId="0B763024" w14:textId="77777777" w:rsidR="00B13F4A" w:rsidRPr="003C704F" w:rsidRDefault="00B13F4A" w:rsidP="00B13F4A">
      <w:pPr>
        <w:spacing w:line="360" w:lineRule="auto"/>
        <w:contextualSpacing/>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b/>
          <w:bCs/>
          <w:i/>
          <w:iCs/>
          <w:color w:val="000000"/>
          <w:sz w:val="22"/>
          <w:szCs w:val="22"/>
        </w:rPr>
        <w:t xml:space="preserve">Supplementary Data 1. </w:t>
      </w:r>
      <w:r>
        <w:rPr>
          <w:rFonts w:ascii="Times New Roman" w:eastAsia="Times New Roman" w:hAnsi="Times New Roman" w:cs="Times New Roman"/>
          <w:i/>
          <w:iCs/>
          <w:color w:val="000000"/>
          <w:sz w:val="22"/>
          <w:szCs w:val="22"/>
        </w:rPr>
        <w:t xml:space="preserve">Primary </w:t>
      </w:r>
      <w:proofErr w:type="spellStart"/>
      <w:r>
        <w:rPr>
          <w:rFonts w:ascii="Times New Roman" w:eastAsia="Times New Roman" w:hAnsi="Times New Roman" w:cs="Times New Roman"/>
          <w:i/>
          <w:iCs/>
          <w:color w:val="000000"/>
          <w:sz w:val="22"/>
          <w:szCs w:val="22"/>
        </w:rPr>
        <w:t>RepeatMasker</w:t>
      </w:r>
      <w:proofErr w:type="spellEnd"/>
      <w:r>
        <w:rPr>
          <w:rFonts w:ascii="Times New Roman" w:eastAsia="Times New Roman" w:hAnsi="Times New Roman" w:cs="Times New Roman"/>
          <w:i/>
          <w:iCs/>
          <w:color w:val="000000"/>
          <w:sz w:val="22"/>
          <w:szCs w:val="22"/>
        </w:rPr>
        <w:t xml:space="preserve"> output file and summary table, along with processed data generated from ParseRM.pl (see methods). All downstream analyses and RNA-</w:t>
      </w:r>
      <w:proofErr w:type="spellStart"/>
      <w:r>
        <w:rPr>
          <w:rFonts w:ascii="Times New Roman" w:eastAsia="Times New Roman" w:hAnsi="Times New Roman" w:cs="Times New Roman"/>
          <w:i/>
          <w:iCs/>
          <w:color w:val="000000"/>
          <w:sz w:val="22"/>
          <w:szCs w:val="22"/>
        </w:rPr>
        <w:t>seq</w:t>
      </w:r>
      <w:proofErr w:type="spellEnd"/>
      <w:r>
        <w:rPr>
          <w:rFonts w:ascii="Times New Roman" w:eastAsia="Times New Roman" w:hAnsi="Times New Roman" w:cs="Times New Roman"/>
          <w:i/>
          <w:iCs/>
          <w:color w:val="000000"/>
          <w:sz w:val="22"/>
          <w:szCs w:val="22"/>
        </w:rPr>
        <w:t xml:space="preserve"> mapping were performed using these TE annotations.</w:t>
      </w:r>
    </w:p>
    <w:p w14:paraId="502179DE" w14:textId="77777777" w:rsidR="00B13F4A" w:rsidRDefault="00B13F4A" w:rsidP="00B13F4A">
      <w:pPr>
        <w:spacing w:line="360" w:lineRule="auto"/>
        <w:contextualSpacing/>
        <w:jc w:val="both"/>
        <w:rPr>
          <w:rFonts w:ascii="Times New Roman" w:eastAsia="Times New Roman" w:hAnsi="Times New Roman" w:cs="Times New Roman"/>
          <w:b/>
          <w:bCs/>
          <w:i/>
          <w:iCs/>
          <w:color w:val="000000"/>
          <w:sz w:val="22"/>
          <w:szCs w:val="22"/>
        </w:rPr>
      </w:pPr>
    </w:p>
    <w:p w14:paraId="2F4D1A9B" w14:textId="77777777" w:rsidR="00B13F4A" w:rsidRPr="003C704F" w:rsidRDefault="00B13F4A" w:rsidP="00B13F4A">
      <w:pPr>
        <w:spacing w:line="360" w:lineRule="auto"/>
        <w:contextualSpacing/>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b/>
          <w:bCs/>
          <w:i/>
          <w:iCs/>
          <w:color w:val="000000"/>
          <w:sz w:val="22"/>
          <w:szCs w:val="22"/>
        </w:rPr>
        <w:t xml:space="preserve">Supplementary Data 2. </w:t>
      </w:r>
      <w:r>
        <w:rPr>
          <w:rFonts w:ascii="Times New Roman" w:eastAsia="Times New Roman" w:hAnsi="Times New Roman" w:cs="Times New Roman"/>
          <w:i/>
          <w:iCs/>
          <w:color w:val="000000"/>
          <w:sz w:val="22"/>
          <w:szCs w:val="22"/>
        </w:rPr>
        <w:t>Multiple sequence alignments and corresponding phylogenetic trees of all families with at least 10 sequences of at least 100bp in length. See methods for construction details.</w:t>
      </w:r>
    </w:p>
    <w:p w14:paraId="3C0287CC" w14:textId="77777777" w:rsidR="00B13F4A" w:rsidRDefault="00B13F4A" w:rsidP="00B13F4A">
      <w:pPr>
        <w:spacing w:line="360" w:lineRule="auto"/>
        <w:contextualSpacing/>
        <w:jc w:val="both"/>
        <w:rPr>
          <w:rFonts w:ascii="Times New Roman" w:eastAsia="Times New Roman" w:hAnsi="Times New Roman" w:cs="Times New Roman"/>
          <w:i/>
          <w:iCs/>
          <w:color w:val="000000"/>
          <w:sz w:val="22"/>
          <w:szCs w:val="22"/>
        </w:rPr>
      </w:pPr>
    </w:p>
    <w:p w14:paraId="48206EA2" w14:textId="77777777" w:rsidR="00B13F4A" w:rsidRDefault="00B13F4A" w:rsidP="00B13F4A">
      <w:pPr>
        <w:spacing w:line="360" w:lineRule="auto"/>
        <w:contextualSpacing/>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b/>
          <w:bCs/>
          <w:i/>
          <w:iCs/>
          <w:color w:val="000000"/>
          <w:sz w:val="22"/>
          <w:szCs w:val="22"/>
        </w:rPr>
        <w:t xml:space="preserve">Supplementary Data 3. </w:t>
      </w:r>
      <w:r>
        <w:rPr>
          <w:rFonts w:ascii="Times New Roman" w:eastAsia="Times New Roman" w:hAnsi="Times New Roman" w:cs="Times New Roman"/>
          <w:i/>
          <w:iCs/>
          <w:color w:val="000000"/>
          <w:sz w:val="22"/>
          <w:szCs w:val="22"/>
        </w:rPr>
        <w:t>Summary table containing genomic attributes of all TE families analyzed in this project. A README file with column descriptions is included within.</w:t>
      </w:r>
    </w:p>
    <w:p w14:paraId="1F41084F" w14:textId="77777777" w:rsidR="00B13F4A" w:rsidRDefault="00B13F4A" w:rsidP="00B13F4A">
      <w:pPr>
        <w:spacing w:line="360" w:lineRule="auto"/>
        <w:contextualSpacing/>
        <w:jc w:val="both"/>
        <w:rPr>
          <w:rFonts w:ascii="Times New Roman" w:eastAsia="Times New Roman" w:hAnsi="Times New Roman" w:cs="Times New Roman"/>
          <w:i/>
          <w:iCs/>
          <w:color w:val="000000"/>
          <w:sz w:val="22"/>
          <w:szCs w:val="22"/>
        </w:rPr>
      </w:pPr>
    </w:p>
    <w:p w14:paraId="1CE86ECE" w14:textId="77777777" w:rsidR="00B13F4A" w:rsidRPr="003C704F" w:rsidRDefault="00B13F4A" w:rsidP="00B13F4A">
      <w:pPr>
        <w:spacing w:line="360" w:lineRule="auto"/>
        <w:contextualSpacing/>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b/>
          <w:bCs/>
          <w:i/>
          <w:iCs/>
          <w:color w:val="000000"/>
          <w:sz w:val="22"/>
          <w:szCs w:val="22"/>
        </w:rPr>
        <w:t>Supplementary Data 4.</w:t>
      </w:r>
      <w:r>
        <w:rPr>
          <w:rFonts w:ascii="Times New Roman" w:eastAsia="Times New Roman" w:hAnsi="Times New Roman" w:cs="Times New Roman"/>
          <w:i/>
          <w:iCs/>
          <w:color w:val="000000"/>
          <w:sz w:val="22"/>
          <w:szCs w:val="22"/>
        </w:rPr>
        <w:t xml:space="preserve"> GTF file with TE annotations. TE classification and differential expression cluster information included in the attribute’s columns.</w:t>
      </w:r>
    </w:p>
    <w:p w14:paraId="1BEF9FD7" w14:textId="77777777" w:rsidR="00B13F4A" w:rsidRDefault="00B13F4A" w:rsidP="00B13F4A">
      <w:pPr>
        <w:spacing w:line="360" w:lineRule="auto"/>
        <w:contextualSpacing/>
        <w:jc w:val="both"/>
        <w:rPr>
          <w:rFonts w:ascii="Times New Roman" w:eastAsia="Times New Roman" w:hAnsi="Times New Roman" w:cs="Times New Roman"/>
          <w:i/>
          <w:iCs/>
          <w:color w:val="000000"/>
          <w:sz w:val="22"/>
          <w:szCs w:val="22"/>
        </w:rPr>
      </w:pPr>
    </w:p>
    <w:p w14:paraId="52D3CE20" w14:textId="77777777" w:rsidR="00B13F4A" w:rsidRDefault="00B13F4A" w:rsidP="00B13F4A">
      <w:pPr>
        <w:spacing w:line="360" w:lineRule="auto"/>
        <w:contextualSpacing/>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b/>
          <w:bCs/>
          <w:i/>
          <w:iCs/>
          <w:color w:val="000000"/>
          <w:sz w:val="22"/>
          <w:szCs w:val="22"/>
        </w:rPr>
        <w:t xml:space="preserve">Supplementary Data 5. </w:t>
      </w:r>
      <w:r>
        <w:rPr>
          <w:rFonts w:ascii="Times New Roman" w:eastAsia="Times New Roman" w:hAnsi="Times New Roman" w:cs="Times New Roman"/>
          <w:i/>
          <w:iCs/>
          <w:color w:val="000000"/>
          <w:sz w:val="22"/>
          <w:szCs w:val="22"/>
        </w:rPr>
        <w:t>Count tables from Telescope with number of raw counts or normalized counts assigned to each TE.</w:t>
      </w:r>
    </w:p>
    <w:p w14:paraId="2297855B" w14:textId="77777777" w:rsidR="00B13F4A" w:rsidRDefault="00B13F4A" w:rsidP="00B13F4A">
      <w:pPr>
        <w:spacing w:line="360" w:lineRule="auto"/>
        <w:contextualSpacing/>
        <w:jc w:val="both"/>
        <w:rPr>
          <w:rFonts w:ascii="Times New Roman" w:eastAsia="Times New Roman" w:hAnsi="Times New Roman" w:cs="Times New Roman"/>
          <w:i/>
          <w:iCs/>
          <w:color w:val="000000"/>
          <w:sz w:val="22"/>
          <w:szCs w:val="22"/>
        </w:rPr>
      </w:pPr>
    </w:p>
    <w:p w14:paraId="29E3C4D5" w14:textId="77777777" w:rsidR="00B13F4A" w:rsidRPr="003C704F" w:rsidRDefault="00B13F4A" w:rsidP="00B13F4A">
      <w:pPr>
        <w:spacing w:line="360" w:lineRule="auto"/>
        <w:contextualSpacing/>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b/>
          <w:bCs/>
          <w:i/>
          <w:iCs/>
          <w:color w:val="000000"/>
          <w:sz w:val="22"/>
          <w:szCs w:val="22"/>
        </w:rPr>
        <w:t xml:space="preserve">Supplementary Data 6. </w:t>
      </w:r>
      <w:r>
        <w:rPr>
          <w:rFonts w:ascii="Times New Roman" w:eastAsia="Times New Roman" w:hAnsi="Times New Roman" w:cs="Times New Roman"/>
          <w:i/>
          <w:iCs/>
          <w:color w:val="000000"/>
          <w:sz w:val="22"/>
          <w:szCs w:val="22"/>
        </w:rPr>
        <w:t xml:space="preserve">Processed data from </w:t>
      </w:r>
      <w:proofErr w:type="spellStart"/>
      <w:r>
        <w:rPr>
          <w:rFonts w:ascii="Times New Roman" w:eastAsia="Times New Roman" w:hAnsi="Times New Roman" w:cs="Times New Roman"/>
          <w:i/>
          <w:iCs/>
          <w:color w:val="000000"/>
          <w:sz w:val="22"/>
          <w:szCs w:val="22"/>
        </w:rPr>
        <w:t>scRNA-seq</w:t>
      </w:r>
      <w:proofErr w:type="spellEnd"/>
      <w:r>
        <w:rPr>
          <w:rFonts w:ascii="Times New Roman" w:eastAsia="Times New Roman" w:hAnsi="Times New Roman" w:cs="Times New Roman"/>
          <w:i/>
          <w:iCs/>
          <w:color w:val="000000"/>
          <w:sz w:val="22"/>
          <w:szCs w:val="22"/>
        </w:rPr>
        <w:t xml:space="preserve"> analysis. Included files are raw counts for each cell, UMAP coordinated and cell markers for each cell cluster.</w:t>
      </w:r>
    </w:p>
    <w:p w14:paraId="3C515259" w14:textId="0EBF4CB2" w:rsidR="00AD2BBA" w:rsidRDefault="000D56F9" w:rsidP="00EC1147">
      <w:pPr>
        <w:spacing w:line="360" w:lineRule="auto"/>
      </w:pPr>
    </w:p>
    <w:p w14:paraId="5BEE0A26" w14:textId="19D00463" w:rsidR="00A85602" w:rsidRDefault="00A85602" w:rsidP="00EC1147">
      <w:pPr>
        <w:spacing w:line="360" w:lineRule="auto"/>
      </w:pPr>
    </w:p>
    <w:p w14:paraId="1263DDE6" w14:textId="4EBCB63C" w:rsidR="00A85602" w:rsidRPr="001777BB" w:rsidRDefault="00A85602" w:rsidP="00EC1147">
      <w:pPr>
        <w:widowControl w:val="0"/>
        <w:autoSpaceDE w:val="0"/>
        <w:autoSpaceDN w:val="0"/>
        <w:adjustRightInd w:val="0"/>
        <w:spacing w:after="240" w:line="360" w:lineRule="auto"/>
        <w:contextualSpacing/>
        <w:rPr>
          <w:rFonts w:ascii="Times New Roman" w:eastAsia="Times New Roman" w:hAnsi="Times New Roman" w:cs="Times New Roman"/>
          <w:sz w:val="28"/>
        </w:rPr>
      </w:pPr>
      <w:r w:rsidRPr="001777BB">
        <w:rPr>
          <w:rFonts w:ascii="Times New Roman" w:eastAsia="Times New Roman" w:hAnsi="Times New Roman" w:cs="Times New Roman"/>
          <w:b/>
          <w:bCs/>
          <w:color w:val="000000"/>
          <w:sz w:val="28"/>
        </w:rPr>
        <w:t>Supplementary Code</w:t>
      </w:r>
    </w:p>
    <w:p w14:paraId="5C451CC2" w14:textId="21DFD95A" w:rsidR="00A85602" w:rsidRDefault="00A85602" w:rsidP="00EC1147">
      <w:pPr>
        <w:spacing w:line="360" w:lineRule="auto"/>
      </w:pPr>
    </w:p>
    <w:p w14:paraId="23A20446" w14:textId="5C1D080D" w:rsidR="00A85602" w:rsidRDefault="00A85602" w:rsidP="00EC1147">
      <w:pPr>
        <w:spacing w:line="360" w:lineRule="auto"/>
      </w:pPr>
      <w:r>
        <w:rPr>
          <w:rFonts w:ascii="Times New Roman" w:eastAsia="Times New Roman" w:hAnsi="Times New Roman" w:cs="Times New Roman"/>
          <w:sz w:val="22"/>
          <w:szCs w:val="22"/>
        </w:rPr>
        <w:t xml:space="preserve">Scripts and analyses for genomic analyses are available </w:t>
      </w:r>
      <w:r w:rsidR="00EC1147">
        <w:rPr>
          <w:rFonts w:ascii="Times New Roman" w:eastAsia="Times New Roman" w:hAnsi="Times New Roman" w:cs="Times New Roman"/>
          <w:sz w:val="22"/>
          <w:szCs w:val="22"/>
        </w:rPr>
        <w:t xml:space="preserve">as Supplemental Code, which and </w:t>
      </w:r>
      <w:r>
        <w:rPr>
          <w:rFonts w:ascii="Times New Roman" w:eastAsia="Times New Roman" w:hAnsi="Times New Roman" w:cs="Times New Roman"/>
          <w:sz w:val="22"/>
          <w:szCs w:val="22"/>
        </w:rPr>
        <w:t>at GitHub</w:t>
      </w:r>
      <w:r w:rsidR="00EC1147">
        <w:rPr>
          <w:rFonts w:ascii="Times New Roman" w:eastAsia="Times New Roman" w:hAnsi="Times New Roman" w:cs="Times New Roman"/>
          <w:sz w:val="22"/>
          <w:szCs w:val="22"/>
        </w:rPr>
        <w:t xml:space="preserve">: </w:t>
      </w:r>
      <w:hyperlink r:id="rId20" w:history="1">
        <w:r w:rsidRPr="00D571BF">
          <w:rPr>
            <w:rStyle w:val="Hyperlink"/>
            <w:rFonts w:ascii="Times New Roman" w:eastAsia="Times New Roman" w:hAnsi="Times New Roman" w:cs="Times New Roman"/>
            <w:sz w:val="22"/>
            <w:szCs w:val="22"/>
          </w:rPr>
          <w:t>https://github.com/vaquerizaslab/Chang_et_al_Zebrafish_TEs</w:t>
        </w:r>
      </w:hyperlink>
      <w:r>
        <w:rPr>
          <w:rFonts w:ascii="Times New Roman" w:eastAsia="Times New Roman" w:hAnsi="Times New Roman" w:cs="Times New Roman"/>
          <w:sz w:val="22"/>
          <w:szCs w:val="22"/>
        </w:rPr>
        <w:t>.</w:t>
      </w:r>
    </w:p>
    <w:sectPr w:rsidR="00A85602" w:rsidSect="006A7268">
      <w:footerReference w:type="even" r:id="rId21"/>
      <w:footerReference w:type="default" r:id="rId22"/>
      <w:pgSz w:w="12240" w:h="15840"/>
      <w:pgMar w:top="1440" w:right="1440" w:bottom="1440" w:left="1440" w:header="720" w:footer="720" w:gutter="0"/>
      <w:lnNumType w:countBy="5"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3DEFAD" w14:textId="77777777" w:rsidR="000D56F9" w:rsidRDefault="000D56F9">
      <w:r>
        <w:separator/>
      </w:r>
    </w:p>
  </w:endnote>
  <w:endnote w:type="continuationSeparator" w:id="0">
    <w:p w14:paraId="2647B709" w14:textId="77777777" w:rsidR="000D56F9" w:rsidRDefault="000D5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63578962"/>
      <w:docPartObj>
        <w:docPartGallery w:val="Page Numbers (Bottom of Page)"/>
        <w:docPartUnique/>
      </w:docPartObj>
    </w:sdtPr>
    <w:sdtEndPr>
      <w:rPr>
        <w:rStyle w:val="PageNumber"/>
      </w:rPr>
    </w:sdtEndPr>
    <w:sdtContent>
      <w:p w14:paraId="05F00F04" w14:textId="77777777" w:rsidR="00D14EBA" w:rsidRDefault="00474810" w:rsidP="006A726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7CC53F" w14:textId="77777777" w:rsidR="00D14EBA" w:rsidRDefault="000D56F9" w:rsidP="006A72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22"/>
        <w:szCs w:val="22"/>
      </w:rPr>
      <w:id w:val="113651767"/>
      <w:docPartObj>
        <w:docPartGallery w:val="Page Numbers (Bottom of Page)"/>
        <w:docPartUnique/>
      </w:docPartObj>
    </w:sdtPr>
    <w:sdtEndPr>
      <w:rPr>
        <w:rStyle w:val="PageNumber"/>
        <w:rFonts w:ascii="Times New Roman" w:hAnsi="Times New Roman" w:cs="Times New Roman"/>
      </w:rPr>
    </w:sdtEndPr>
    <w:sdtContent>
      <w:p w14:paraId="0C9352FB" w14:textId="77777777" w:rsidR="00D14EBA" w:rsidRPr="006A7268" w:rsidRDefault="00474810" w:rsidP="006A7268">
        <w:pPr>
          <w:pStyle w:val="Footer"/>
          <w:framePr w:wrap="none" w:vAnchor="text" w:hAnchor="margin" w:xAlign="right" w:y="1"/>
          <w:rPr>
            <w:rStyle w:val="PageNumber"/>
            <w:rFonts w:ascii="Times New Roman" w:hAnsi="Times New Roman" w:cs="Times New Roman"/>
            <w:sz w:val="22"/>
            <w:szCs w:val="22"/>
          </w:rPr>
        </w:pPr>
        <w:r w:rsidRPr="006A7268">
          <w:rPr>
            <w:rStyle w:val="PageNumber"/>
            <w:rFonts w:ascii="Times New Roman" w:hAnsi="Times New Roman" w:cs="Times New Roman"/>
            <w:sz w:val="22"/>
            <w:szCs w:val="22"/>
          </w:rPr>
          <w:fldChar w:fldCharType="begin"/>
        </w:r>
        <w:r w:rsidRPr="006A7268">
          <w:rPr>
            <w:rStyle w:val="PageNumber"/>
            <w:rFonts w:ascii="Times New Roman" w:hAnsi="Times New Roman" w:cs="Times New Roman"/>
            <w:sz w:val="22"/>
            <w:szCs w:val="22"/>
          </w:rPr>
          <w:instrText xml:space="preserve"> PAGE </w:instrText>
        </w:r>
        <w:r w:rsidRPr="006A7268">
          <w:rPr>
            <w:rStyle w:val="PageNumber"/>
            <w:rFonts w:ascii="Times New Roman" w:hAnsi="Times New Roman" w:cs="Times New Roman"/>
            <w:sz w:val="22"/>
            <w:szCs w:val="22"/>
          </w:rPr>
          <w:fldChar w:fldCharType="separate"/>
        </w:r>
        <w:r w:rsidRPr="006A7268">
          <w:rPr>
            <w:rStyle w:val="PageNumber"/>
            <w:rFonts w:ascii="Times New Roman" w:hAnsi="Times New Roman" w:cs="Times New Roman"/>
            <w:noProof/>
            <w:sz w:val="22"/>
            <w:szCs w:val="22"/>
          </w:rPr>
          <w:t>1</w:t>
        </w:r>
        <w:r w:rsidRPr="006A7268">
          <w:rPr>
            <w:rStyle w:val="PageNumber"/>
            <w:rFonts w:ascii="Times New Roman" w:hAnsi="Times New Roman" w:cs="Times New Roman"/>
            <w:sz w:val="22"/>
            <w:szCs w:val="22"/>
          </w:rPr>
          <w:fldChar w:fldCharType="end"/>
        </w:r>
      </w:p>
    </w:sdtContent>
  </w:sdt>
  <w:p w14:paraId="0AE329A6" w14:textId="77777777" w:rsidR="00D14EBA" w:rsidRPr="006A7268" w:rsidRDefault="000D56F9" w:rsidP="006A7268">
    <w:pPr>
      <w:pStyle w:val="Footer"/>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B24A0C" w14:textId="77777777" w:rsidR="000D56F9" w:rsidRDefault="000D56F9">
      <w:r>
        <w:separator/>
      </w:r>
    </w:p>
  </w:footnote>
  <w:footnote w:type="continuationSeparator" w:id="0">
    <w:p w14:paraId="049A27D4" w14:textId="77777777" w:rsidR="000D56F9" w:rsidRDefault="000D56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E06FD6"/>
    <w:multiLevelType w:val="hybridMultilevel"/>
    <w:tmpl w:val="62746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BD1C60"/>
    <w:multiLevelType w:val="hybridMultilevel"/>
    <w:tmpl w:val="6A2EDD7C"/>
    <w:lvl w:ilvl="0" w:tplc="27BEEE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2601713"/>
    <w:multiLevelType w:val="hybridMultilevel"/>
    <w:tmpl w:val="524CC2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F4A"/>
    <w:rsid w:val="00007AAB"/>
    <w:rsid w:val="00012515"/>
    <w:rsid w:val="000D5334"/>
    <w:rsid w:val="000D56F9"/>
    <w:rsid w:val="00146BCB"/>
    <w:rsid w:val="001777BB"/>
    <w:rsid w:val="002337F6"/>
    <w:rsid w:val="0031106C"/>
    <w:rsid w:val="00401E43"/>
    <w:rsid w:val="00410F71"/>
    <w:rsid w:val="00474810"/>
    <w:rsid w:val="004847CA"/>
    <w:rsid w:val="00504A50"/>
    <w:rsid w:val="00524748"/>
    <w:rsid w:val="00526187"/>
    <w:rsid w:val="005344B1"/>
    <w:rsid w:val="00556D33"/>
    <w:rsid w:val="006A3BFB"/>
    <w:rsid w:val="00740DC5"/>
    <w:rsid w:val="00796A22"/>
    <w:rsid w:val="007F1A01"/>
    <w:rsid w:val="00964033"/>
    <w:rsid w:val="00A22014"/>
    <w:rsid w:val="00A60C8E"/>
    <w:rsid w:val="00A85602"/>
    <w:rsid w:val="00B13F4A"/>
    <w:rsid w:val="00B810AF"/>
    <w:rsid w:val="00C77228"/>
    <w:rsid w:val="00CE3BA1"/>
    <w:rsid w:val="00E1714D"/>
    <w:rsid w:val="00EC1147"/>
    <w:rsid w:val="00EF16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8FAC896"/>
  <w14:defaultImageDpi w14:val="32767"/>
  <w15:chartTrackingRefBased/>
  <w15:docId w15:val="{D7D4550A-6CEA-8645-9AD0-024A54785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3F4A"/>
    <w:rPr>
      <w:rFonts w:eastAsiaTheme="minorEastAsia"/>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13F4A"/>
    <w:pPr>
      <w:tabs>
        <w:tab w:val="center" w:pos="4680"/>
        <w:tab w:val="right" w:pos="9360"/>
      </w:tabs>
    </w:pPr>
  </w:style>
  <w:style w:type="character" w:customStyle="1" w:styleId="FooterChar">
    <w:name w:val="Footer Char"/>
    <w:basedOn w:val="DefaultParagraphFont"/>
    <w:link w:val="Footer"/>
    <w:uiPriority w:val="99"/>
    <w:rsid w:val="00B13F4A"/>
    <w:rPr>
      <w:rFonts w:eastAsiaTheme="minorEastAsia"/>
      <w:lang w:val="en-US" w:eastAsia="zh-CN"/>
    </w:rPr>
  </w:style>
  <w:style w:type="character" w:styleId="PageNumber">
    <w:name w:val="page number"/>
    <w:basedOn w:val="DefaultParagraphFont"/>
    <w:uiPriority w:val="99"/>
    <w:semiHidden/>
    <w:unhideWhenUsed/>
    <w:rsid w:val="00B13F4A"/>
  </w:style>
  <w:style w:type="character" w:styleId="LineNumber">
    <w:name w:val="line number"/>
    <w:basedOn w:val="DefaultParagraphFont"/>
    <w:uiPriority w:val="99"/>
    <w:semiHidden/>
    <w:unhideWhenUsed/>
    <w:rsid w:val="00B13F4A"/>
  </w:style>
  <w:style w:type="character" w:styleId="Hyperlink">
    <w:name w:val="Hyperlink"/>
    <w:basedOn w:val="DefaultParagraphFont"/>
    <w:uiPriority w:val="99"/>
    <w:unhideWhenUsed/>
    <w:rsid w:val="00B13F4A"/>
    <w:rPr>
      <w:color w:val="0000FF"/>
      <w:u w:val="single"/>
    </w:rPr>
  </w:style>
  <w:style w:type="paragraph" w:styleId="ListParagraph">
    <w:name w:val="List Paragraph"/>
    <w:basedOn w:val="Normal"/>
    <w:uiPriority w:val="34"/>
    <w:qFormat/>
    <w:rsid w:val="00B13F4A"/>
    <w:pPr>
      <w:ind w:left="720"/>
      <w:contextualSpacing/>
    </w:pPr>
  </w:style>
  <w:style w:type="character" w:styleId="CommentReference">
    <w:name w:val="annotation reference"/>
    <w:basedOn w:val="DefaultParagraphFont"/>
    <w:uiPriority w:val="99"/>
    <w:semiHidden/>
    <w:unhideWhenUsed/>
    <w:rsid w:val="00A85602"/>
    <w:rPr>
      <w:sz w:val="16"/>
      <w:szCs w:val="16"/>
    </w:rPr>
  </w:style>
  <w:style w:type="paragraph" w:styleId="CommentText">
    <w:name w:val="annotation text"/>
    <w:basedOn w:val="Normal"/>
    <w:link w:val="CommentTextChar"/>
    <w:uiPriority w:val="99"/>
    <w:semiHidden/>
    <w:unhideWhenUsed/>
    <w:rsid w:val="00A85602"/>
    <w:rPr>
      <w:sz w:val="20"/>
      <w:szCs w:val="20"/>
    </w:rPr>
  </w:style>
  <w:style w:type="character" w:customStyle="1" w:styleId="CommentTextChar">
    <w:name w:val="Comment Text Char"/>
    <w:basedOn w:val="DefaultParagraphFont"/>
    <w:link w:val="CommentText"/>
    <w:uiPriority w:val="99"/>
    <w:semiHidden/>
    <w:rsid w:val="00A85602"/>
    <w:rPr>
      <w:rFonts w:eastAsiaTheme="minorEastAsia"/>
      <w:sz w:val="20"/>
      <w:szCs w:val="20"/>
      <w:lang w:val="en-US" w:eastAsia="zh-CN"/>
    </w:rPr>
  </w:style>
  <w:style w:type="paragraph" w:styleId="CommentSubject">
    <w:name w:val="annotation subject"/>
    <w:basedOn w:val="CommentText"/>
    <w:next w:val="CommentText"/>
    <w:link w:val="CommentSubjectChar"/>
    <w:uiPriority w:val="99"/>
    <w:semiHidden/>
    <w:unhideWhenUsed/>
    <w:rsid w:val="00A85602"/>
    <w:rPr>
      <w:b/>
      <w:bCs/>
    </w:rPr>
  </w:style>
  <w:style w:type="character" w:customStyle="1" w:styleId="CommentSubjectChar">
    <w:name w:val="Comment Subject Char"/>
    <w:basedOn w:val="CommentTextChar"/>
    <w:link w:val="CommentSubject"/>
    <w:uiPriority w:val="99"/>
    <w:semiHidden/>
    <w:rsid w:val="00A85602"/>
    <w:rPr>
      <w:rFonts w:eastAsiaTheme="minorEastAsia"/>
      <w:b/>
      <w:bCs/>
      <w:sz w:val="20"/>
      <w:szCs w:val="20"/>
      <w:lang w:val="en-US" w:eastAsia="zh-CN"/>
    </w:rPr>
  </w:style>
  <w:style w:type="paragraph" w:styleId="BalloonText">
    <w:name w:val="Balloon Text"/>
    <w:basedOn w:val="Normal"/>
    <w:link w:val="BalloonTextChar"/>
    <w:uiPriority w:val="99"/>
    <w:semiHidden/>
    <w:unhideWhenUsed/>
    <w:rsid w:val="00A8560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85602"/>
    <w:rPr>
      <w:rFonts w:ascii="Times New Roman" w:eastAsiaTheme="minorEastAsia" w:hAnsi="Times New Roman" w:cs="Times New Roman"/>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Users/jonwells/Downloads/j.vaquerizas@lms.mrc.ac.uk"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cf458@cornell.edu" TargetMode="Externa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github.com/vaquerizaslab/Chang_et_al_Zebrafish_T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2788</Words>
  <Characters>15895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Quirze Rovira</dc:creator>
  <cp:keywords/>
  <dc:description/>
  <cp:lastModifiedBy>Juanma Vaquerizas</cp:lastModifiedBy>
  <cp:revision>4</cp:revision>
  <cp:lastPrinted>2021-11-24T19:04:00Z</cp:lastPrinted>
  <dcterms:created xsi:type="dcterms:W3CDTF">2021-11-24T19:04:00Z</dcterms:created>
  <dcterms:modified xsi:type="dcterms:W3CDTF">2021-12-12T08:57:00Z</dcterms:modified>
</cp:coreProperties>
</file>