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747D" w14:textId="1A3CFC94" w:rsidR="00C15C95" w:rsidRPr="00C15C95" w:rsidRDefault="00C15C95" w:rsidP="00C15C95">
      <w:pPr>
        <w:jc w:val="center"/>
        <w:rPr>
          <w:rFonts w:ascii="Times New Roman" w:hAnsi="Times New Roman" w:cs="Times New Roman"/>
          <w:sz w:val="32"/>
          <w:szCs w:val="32"/>
        </w:rPr>
      </w:pPr>
      <w:r w:rsidRPr="00C15C95">
        <w:rPr>
          <w:rFonts w:ascii="Times New Roman" w:hAnsi="Times New Roman" w:cs="Times New Roman"/>
          <w:sz w:val="32"/>
          <w:szCs w:val="32"/>
        </w:rPr>
        <w:t xml:space="preserve">Supplemental </w:t>
      </w:r>
      <w:r>
        <w:rPr>
          <w:rFonts w:ascii="Times New Roman" w:hAnsi="Times New Roman" w:cs="Times New Roman"/>
          <w:sz w:val="32"/>
          <w:szCs w:val="32"/>
        </w:rPr>
        <w:t>Methods</w:t>
      </w:r>
    </w:p>
    <w:p w14:paraId="4F60DBB7" w14:textId="77777777" w:rsidR="00C15C95" w:rsidRPr="00C15C95" w:rsidRDefault="00C15C95" w:rsidP="00C15C95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51D9E26E" w14:textId="77777777" w:rsidR="00C15C95" w:rsidRPr="00C15C95" w:rsidRDefault="00C15C95" w:rsidP="00C15C95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15C95">
        <w:rPr>
          <w:rFonts w:ascii="Times New Roman" w:hAnsi="Times New Roman" w:cs="Times New Roman"/>
          <w:b/>
          <w:color w:val="000000"/>
          <w:sz w:val="32"/>
          <w:szCs w:val="32"/>
        </w:rPr>
        <w:t>Intergenic ORFs as elementary structural modules of de novo gene birth and protein evolution</w:t>
      </w:r>
    </w:p>
    <w:p w14:paraId="2ED085D5" w14:textId="77777777" w:rsidR="00C15C95" w:rsidRPr="00C15C95" w:rsidRDefault="00C15C95" w:rsidP="00C15C95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10AAF720" w14:textId="77777777" w:rsidR="00C15C95" w:rsidRPr="00C15C95" w:rsidRDefault="00C15C95" w:rsidP="00C15C95">
      <w:pPr>
        <w:spacing w:line="360" w:lineRule="auto"/>
        <w:jc w:val="center"/>
        <w:rPr>
          <w:rFonts w:ascii="Times New Roman" w:hAnsi="Times New Roman" w:cs="Times New Roman"/>
          <w:vertAlign w:val="superscript"/>
        </w:rPr>
      </w:pPr>
      <w:r w:rsidRPr="00C15C95">
        <w:rPr>
          <w:rFonts w:ascii="Times New Roman" w:hAnsi="Times New Roman" w:cs="Times New Roman"/>
        </w:rPr>
        <w:t>Chris Papadopoulos</w:t>
      </w:r>
      <w:r w:rsidRPr="00C15C95">
        <w:rPr>
          <w:rFonts w:ascii="Times New Roman" w:hAnsi="Times New Roman" w:cs="Times New Roman"/>
          <w:vertAlign w:val="superscript"/>
        </w:rPr>
        <w:t>1</w:t>
      </w:r>
      <w:r w:rsidRPr="00C15C95">
        <w:rPr>
          <w:rFonts w:ascii="Times New Roman" w:hAnsi="Times New Roman" w:cs="Times New Roman"/>
        </w:rPr>
        <w:t>, Isabelle Callebaut</w:t>
      </w:r>
      <w:r w:rsidRPr="00C15C95">
        <w:rPr>
          <w:rFonts w:ascii="Times New Roman" w:hAnsi="Times New Roman" w:cs="Times New Roman"/>
          <w:vertAlign w:val="superscript"/>
        </w:rPr>
        <w:t>2</w:t>
      </w:r>
      <w:r w:rsidRPr="00C15C95">
        <w:rPr>
          <w:rFonts w:ascii="Times New Roman" w:hAnsi="Times New Roman" w:cs="Times New Roman"/>
        </w:rPr>
        <w:t>, Jean-Christophe Gelly</w:t>
      </w:r>
      <w:r w:rsidRPr="00C15C95">
        <w:rPr>
          <w:rFonts w:ascii="Times New Roman" w:hAnsi="Times New Roman" w:cs="Times New Roman"/>
          <w:vertAlign w:val="superscript"/>
        </w:rPr>
        <w:t>3,4,5</w:t>
      </w:r>
      <w:r w:rsidRPr="00C15C95">
        <w:rPr>
          <w:rFonts w:ascii="Times New Roman" w:hAnsi="Times New Roman" w:cs="Times New Roman"/>
        </w:rPr>
        <w:t>, Isabelle Hatin</w:t>
      </w:r>
      <w:r w:rsidRPr="00C15C95">
        <w:rPr>
          <w:rFonts w:ascii="Times New Roman" w:hAnsi="Times New Roman" w:cs="Times New Roman"/>
          <w:vertAlign w:val="superscript"/>
        </w:rPr>
        <w:t>1</w:t>
      </w:r>
      <w:r w:rsidRPr="00C15C95">
        <w:rPr>
          <w:rFonts w:ascii="Times New Roman" w:hAnsi="Times New Roman" w:cs="Times New Roman"/>
        </w:rPr>
        <w:t>, Olivier Namy</w:t>
      </w:r>
      <w:r w:rsidRPr="00C15C95">
        <w:rPr>
          <w:rFonts w:ascii="Times New Roman" w:hAnsi="Times New Roman" w:cs="Times New Roman"/>
          <w:vertAlign w:val="superscript"/>
        </w:rPr>
        <w:t>1</w:t>
      </w:r>
      <w:r w:rsidRPr="00C15C95">
        <w:rPr>
          <w:rFonts w:ascii="Times New Roman" w:hAnsi="Times New Roman" w:cs="Times New Roman"/>
        </w:rPr>
        <w:t>, Maxime Renard</w:t>
      </w:r>
      <w:r w:rsidRPr="00C15C95">
        <w:rPr>
          <w:rFonts w:ascii="Times New Roman" w:hAnsi="Times New Roman" w:cs="Times New Roman"/>
          <w:vertAlign w:val="superscript"/>
        </w:rPr>
        <w:t>1</w:t>
      </w:r>
      <w:r w:rsidRPr="00C15C95">
        <w:rPr>
          <w:rFonts w:ascii="Times New Roman" w:hAnsi="Times New Roman" w:cs="Times New Roman"/>
        </w:rPr>
        <w:t>, Olivier Lespinet</w:t>
      </w:r>
      <w:r w:rsidRPr="00C15C95">
        <w:rPr>
          <w:rFonts w:ascii="Times New Roman" w:hAnsi="Times New Roman" w:cs="Times New Roman"/>
          <w:vertAlign w:val="superscript"/>
        </w:rPr>
        <w:t>1</w:t>
      </w:r>
      <w:r w:rsidRPr="00C15C95">
        <w:rPr>
          <w:rFonts w:ascii="Times New Roman" w:hAnsi="Times New Roman" w:cs="Times New Roman"/>
        </w:rPr>
        <w:t>, Anne Lopes</w:t>
      </w:r>
      <w:r w:rsidRPr="00C15C95">
        <w:rPr>
          <w:rFonts w:ascii="Times New Roman" w:hAnsi="Times New Roman" w:cs="Times New Roman"/>
          <w:vertAlign w:val="superscript"/>
        </w:rPr>
        <w:t>1</w:t>
      </w:r>
    </w:p>
    <w:p w14:paraId="09D749B1" w14:textId="77777777" w:rsidR="00C15C95" w:rsidRPr="00C15C95" w:rsidRDefault="00C15C95" w:rsidP="00C15C95">
      <w:pPr>
        <w:rPr>
          <w:rFonts w:ascii="Times New Roman" w:hAnsi="Times New Roman" w:cs="Times New Roman"/>
          <w:color w:val="000000"/>
        </w:rPr>
      </w:pPr>
    </w:p>
    <w:p w14:paraId="2332AE38" w14:textId="77777777" w:rsidR="00C15C95" w:rsidRPr="00C15C95" w:rsidRDefault="00C15C95" w:rsidP="00C15C95">
      <w:pPr>
        <w:pStyle w:val="NormalWeb"/>
        <w:spacing w:before="0" w:beforeAutospacing="0" w:after="0" w:afterAutospacing="0" w:line="360" w:lineRule="auto"/>
        <w:rPr>
          <w:sz w:val="18"/>
          <w:szCs w:val="18"/>
          <w:lang w:val="en-US"/>
        </w:rPr>
      </w:pPr>
      <w:r w:rsidRPr="00C15C95">
        <w:rPr>
          <w:sz w:val="18"/>
          <w:szCs w:val="18"/>
          <w:vertAlign w:val="superscript"/>
          <w:lang w:val="en-US"/>
        </w:rPr>
        <w:t>1</w:t>
      </w:r>
      <w:r w:rsidRPr="00C15C95">
        <w:rPr>
          <w:sz w:val="18"/>
          <w:szCs w:val="18"/>
          <w:lang w:val="en-US"/>
        </w:rPr>
        <w:t xml:space="preserve"> </w:t>
      </w:r>
      <w:proofErr w:type="spellStart"/>
      <w:r w:rsidRPr="00C15C95">
        <w:rPr>
          <w:sz w:val="18"/>
          <w:szCs w:val="18"/>
          <w:lang w:val="en-US"/>
        </w:rPr>
        <w:t>Université</w:t>
      </w:r>
      <w:proofErr w:type="spellEnd"/>
      <w:r w:rsidRPr="00C15C95">
        <w:rPr>
          <w:sz w:val="18"/>
          <w:szCs w:val="18"/>
          <w:lang w:val="en-US"/>
        </w:rPr>
        <w:t xml:space="preserve"> Paris-</w:t>
      </w:r>
      <w:proofErr w:type="spellStart"/>
      <w:r w:rsidRPr="00C15C95">
        <w:rPr>
          <w:sz w:val="18"/>
          <w:szCs w:val="18"/>
          <w:lang w:val="en-US"/>
        </w:rPr>
        <w:t>Saclay</w:t>
      </w:r>
      <w:proofErr w:type="spellEnd"/>
      <w:r w:rsidRPr="00C15C95">
        <w:rPr>
          <w:sz w:val="18"/>
          <w:szCs w:val="18"/>
          <w:lang w:val="en-US"/>
        </w:rPr>
        <w:t>, CEA, CNRS, Institute for Integrative Biology of the Cell (I2BC), 91198, Gif-sur-Yvette, France.</w:t>
      </w:r>
    </w:p>
    <w:p w14:paraId="6A52668B" w14:textId="77777777" w:rsidR="00C15C95" w:rsidRPr="00C15C95" w:rsidRDefault="00C15C95" w:rsidP="00C15C95">
      <w:pPr>
        <w:spacing w:line="360" w:lineRule="auto"/>
        <w:rPr>
          <w:rFonts w:ascii="Times New Roman" w:hAnsi="Times New Roman" w:cs="Times New Roman"/>
          <w:sz w:val="18"/>
          <w:szCs w:val="18"/>
          <w:lang w:val="fr-FR" w:eastAsia="fr-FR"/>
        </w:rPr>
      </w:pPr>
      <w:r w:rsidRPr="00C15C95">
        <w:rPr>
          <w:rFonts w:ascii="Times New Roman" w:hAnsi="Times New Roman" w:cs="Times New Roman"/>
          <w:sz w:val="18"/>
          <w:szCs w:val="18"/>
          <w:vertAlign w:val="superscript"/>
          <w:lang w:val="fr-FR"/>
        </w:rPr>
        <w:t>2</w:t>
      </w:r>
      <w:r w:rsidRPr="00C15C95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r w:rsidRPr="00C15C95">
        <w:rPr>
          <w:rFonts w:ascii="Times New Roman" w:hAnsi="Times New Roman" w:cs="Times New Roman"/>
          <w:sz w:val="18"/>
          <w:szCs w:val="18"/>
          <w:lang w:val="fr-FR" w:eastAsia="fr-FR"/>
        </w:rPr>
        <w:t xml:space="preserve">Sorbonne Université, Muséum National d'Histoire Naturelle, UMR CNRS 7590, Institut de Minéralogie, de Physique des Matériaux et de </w:t>
      </w:r>
      <w:proofErr w:type="spellStart"/>
      <w:r w:rsidRPr="00C15C95">
        <w:rPr>
          <w:rFonts w:ascii="Times New Roman" w:hAnsi="Times New Roman" w:cs="Times New Roman"/>
          <w:sz w:val="18"/>
          <w:szCs w:val="18"/>
          <w:lang w:val="fr-FR" w:eastAsia="fr-FR"/>
        </w:rPr>
        <w:t>Cosmochimie</w:t>
      </w:r>
      <w:proofErr w:type="spellEnd"/>
      <w:r w:rsidRPr="00C15C95">
        <w:rPr>
          <w:rFonts w:ascii="Times New Roman" w:hAnsi="Times New Roman" w:cs="Times New Roman"/>
          <w:sz w:val="18"/>
          <w:szCs w:val="18"/>
          <w:lang w:val="fr-FR" w:eastAsia="fr-FR"/>
        </w:rPr>
        <w:t>, IMPMC, 75005, Paris, France</w:t>
      </w:r>
    </w:p>
    <w:p w14:paraId="7634D848" w14:textId="77777777" w:rsidR="00C15C95" w:rsidRPr="00C15C95" w:rsidRDefault="00C15C95" w:rsidP="00C15C95">
      <w:pPr>
        <w:spacing w:line="360" w:lineRule="auto"/>
        <w:rPr>
          <w:rFonts w:ascii="Times New Roman" w:hAnsi="Times New Roman" w:cs="Times New Roman"/>
          <w:sz w:val="18"/>
          <w:szCs w:val="18"/>
          <w:vertAlign w:val="superscript"/>
          <w:lang w:val="fr-FR" w:eastAsia="fr-FR"/>
        </w:rPr>
      </w:pPr>
      <w:r w:rsidRPr="00C15C95">
        <w:rPr>
          <w:rFonts w:ascii="Times New Roman" w:hAnsi="Times New Roman" w:cs="Times New Roman"/>
          <w:sz w:val="18"/>
          <w:szCs w:val="18"/>
          <w:vertAlign w:val="superscript"/>
          <w:lang w:val="fr-FR" w:eastAsia="fr-FR"/>
        </w:rPr>
        <w:t xml:space="preserve">3 </w:t>
      </w:r>
      <w:r w:rsidRPr="00C15C95">
        <w:rPr>
          <w:rFonts w:ascii="Times New Roman" w:hAnsi="Times New Roman" w:cs="Times New Roman"/>
          <w:sz w:val="18"/>
          <w:szCs w:val="18"/>
          <w:lang w:val="fr-FR" w:eastAsia="fr-FR"/>
        </w:rPr>
        <w:t>Université de Paris, Biologie Intégrée du Globule Rouge, UMR_S1134, BIGR, INSERM, F-75015, Paris, France.</w:t>
      </w:r>
    </w:p>
    <w:p w14:paraId="645A30AC" w14:textId="77777777" w:rsidR="00C15C95" w:rsidRPr="00C15C95" w:rsidRDefault="00C15C95" w:rsidP="00C15C95">
      <w:pPr>
        <w:spacing w:line="360" w:lineRule="auto"/>
        <w:rPr>
          <w:rFonts w:ascii="Times New Roman" w:hAnsi="Times New Roman" w:cs="Times New Roman"/>
          <w:sz w:val="18"/>
          <w:szCs w:val="18"/>
          <w:lang w:val="fr-FR" w:eastAsia="fr-FR"/>
        </w:rPr>
      </w:pPr>
      <w:r w:rsidRPr="00C15C95">
        <w:rPr>
          <w:rFonts w:ascii="Times New Roman" w:hAnsi="Times New Roman" w:cs="Times New Roman"/>
          <w:sz w:val="18"/>
          <w:szCs w:val="18"/>
          <w:vertAlign w:val="superscript"/>
          <w:lang w:val="fr-FR" w:eastAsia="fr-FR"/>
        </w:rPr>
        <w:t xml:space="preserve">4 </w:t>
      </w:r>
      <w:r w:rsidRPr="00C15C95">
        <w:rPr>
          <w:rFonts w:ascii="Times New Roman" w:hAnsi="Times New Roman" w:cs="Times New Roman"/>
          <w:sz w:val="18"/>
          <w:szCs w:val="18"/>
          <w:lang w:val="fr-FR" w:eastAsia="fr-FR"/>
        </w:rPr>
        <w:t>Laboratoire d’Excellence GR-Ex, Paris, France </w:t>
      </w:r>
    </w:p>
    <w:p w14:paraId="730A33B0" w14:textId="77777777" w:rsidR="00C15C95" w:rsidRPr="00C15C95" w:rsidRDefault="00C15C95" w:rsidP="00C15C95">
      <w:pPr>
        <w:spacing w:line="360" w:lineRule="auto"/>
        <w:rPr>
          <w:rFonts w:ascii="Times New Roman" w:hAnsi="Times New Roman" w:cs="Times New Roman"/>
          <w:sz w:val="18"/>
          <w:szCs w:val="18"/>
          <w:lang w:val="fr-FR" w:eastAsia="fr-FR"/>
        </w:rPr>
      </w:pPr>
      <w:r w:rsidRPr="00C15C95">
        <w:rPr>
          <w:rFonts w:ascii="Times New Roman" w:hAnsi="Times New Roman" w:cs="Times New Roman"/>
          <w:sz w:val="18"/>
          <w:szCs w:val="18"/>
          <w:vertAlign w:val="superscript"/>
          <w:lang w:val="fr-FR" w:eastAsia="fr-FR"/>
        </w:rPr>
        <w:t xml:space="preserve">5 </w:t>
      </w:r>
      <w:r w:rsidRPr="00C15C95">
        <w:rPr>
          <w:rFonts w:ascii="Times New Roman" w:hAnsi="Times New Roman" w:cs="Times New Roman"/>
          <w:sz w:val="18"/>
          <w:szCs w:val="18"/>
          <w:lang w:val="fr-FR" w:eastAsia="fr-FR"/>
        </w:rPr>
        <w:t>Institut National de la Transfusion Sanguine, F-75015, Paris, France</w:t>
      </w:r>
    </w:p>
    <w:p w14:paraId="0EC828BD" w14:textId="696DD4C8" w:rsidR="00236A8E" w:rsidRDefault="00236A8E">
      <w:pPr>
        <w:rPr>
          <w:lang w:val="fr-FR"/>
        </w:rPr>
      </w:pPr>
    </w:p>
    <w:p w14:paraId="1A89D141" w14:textId="77777777" w:rsidR="00C15C95" w:rsidRPr="008F3A4A" w:rsidRDefault="00C15C95">
      <w:pPr>
        <w:rPr>
          <w:b/>
          <w:i/>
          <w:color w:val="000000" w:themeColor="text1"/>
          <w:sz w:val="22"/>
          <w:szCs w:val="22"/>
          <w:lang w:val="fr-FR"/>
        </w:rPr>
      </w:pPr>
    </w:p>
    <w:p w14:paraId="4FEED6F1" w14:textId="77777777" w:rsidR="00C15C95" w:rsidRPr="008F3A4A" w:rsidRDefault="00C15C95">
      <w:pPr>
        <w:rPr>
          <w:b/>
          <w:i/>
          <w:color w:val="000000" w:themeColor="text1"/>
          <w:sz w:val="22"/>
          <w:szCs w:val="22"/>
          <w:lang w:val="fr-FR"/>
        </w:rPr>
      </w:pPr>
    </w:p>
    <w:p w14:paraId="1C247205" w14:textId="77777777" w:rsidR="00C15C95" w:rsidRPr="008F3A4A" w:rsidRDefault="00C15C95" w:rsidP="008F3A4A">
      <w:pPr>
        <w:pStyle w:val="Heading2"/>
        <w:spacing w:line="48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en-US"/>
        </w:rPr>
      </w:pPr>
      <w:r w:rsidRPr="008F3A4A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 xml:space="preserve">Estimation of the fold potential, the aggregation, disorder and TM propensities  </w:t>
      </w:r>
      <w:bookmarkStart w:id="0" w:name="_b06yfdtfv59c" w:colFirst="0" w:colLast="0"/>
      <w:bookmarkEnd w:id="0"/>
    </w:p>
    <w:p w14:paraId="2D61CEEB" w14:textId="2147B21C" w:rsidR="00C15C95" w:rsidRPr="00C15C95" w:rsidRDefault="00C15C95" w:rsidP="008F3A4A">
      <w:pPr>
        <w:spacing w:line="480" w:lineRule="auto"/>
        <w:jc w:val="both"/>
        <w:rPr>
          <w:rFonts w:eastAsia="Times New Roman"/>
        </w:rPr>
      </w:pPr>
      <w:r w:rsidRPr="00C15C9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The  foldability potential was estimated using a score derived from the HCA (Hydrophobic Cluster Analysis) approach </w:t>
      </w:r>
      <w:r w:rsidRPr="00C15C95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white"/>
        </w:rPr>
        <w:t xml:space="preserve">using the </w:t>
      </w:r>
      <w:proofErr w:type="spellStart"/>
      <w:r w:rsidRPr="00C15C95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white"/>
        </w:rPr>
        <w:t>HCAtk</w:t>
      </w:r>
      <w:proofErr w:type="spellEnd"/>
      <w:r w:rsidRPr="00C15C95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white"/>
        </w:rPr>
        <w:t xml:space="preserve"> </w:t>
      </w:r>
      <w:r w:rsidRPr="00C15C95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white"/>
        </w:rPr>
        <w:fldChar w:fldCharType="begin"/>
      </w:r>
      <w:r w:rsidRPr="00C15C95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white"/>
        </w:rPr>
        <w:instrText xml:space="preserve"> ADDIN ZOTERO_ITEM CSL_CITATION {"citationID":"G0vqFsax","properties":{"formattedCitation":"(Bitard-Feildel and Callebaut 2018; Bitard\\uc0\\u8208{}Feildel et al. 2018)","plainCitation":"(Bitard-Feildel and Callebaut 2018; Bitard‐Feildel et al. 2018)","noteIndex":0},"citationItems":[{"id":184,"uris":["http://zotero.org/users/local/8ZIBqKOY/items/THZKMBJ6"],"uri":["http://zotero.org/users/local/8ZIBqKOY/items/THZKMBJ6"],"itemData":{"id":184,"type":"article-journal","container-title":"bioRxiv","journalAbbreviation":"bioRxiv","page":"249995","title":"HCAtk and pyHCA: A Toolkit and Python API for the Hydrophobic Cluster Analysis of Protein Sequences.","author":[{"family":"Bitard-Feildel","given":"Tristan"},{"family":"Callebaut","given":"Isabelle"}],"issued":{"date-parts":[["2018"]]}},"label":"page"},{"id":436,"uris":["http://zotero.org/users/local/8ZIBqKOY/items/ZV7JNZ4F"],"uri":["http://zotero.org/users/local/8ZIBqKOY/items/ZV7JNZ4F"],"itemData":{"id":436,"type":"article-journal","container-title":"Proteomics","ISSN":"1615-9853","issue":"21-22","journalAbbreviation":"Proteomics","note":"publisher: Wiley Online Library","page":"1800054","title":"Order in disorder as observed by the “hydrophobic cluster analysis” of protein sequences","volume":"18","author":[{"family":"Bitard‐Feildel","given":"Tristan"},{"family":"Lamiable","given":"Alexis"},{"family":"Mornon","given":"Jean‐Paul"},{"family":"Callebaut","given":"Isabelle"}],"issued":{"date-parts":[["2018"]]}},"label":"page"}],"schema":"https://github.com/citation-style-language/schema/raw/master/csl-citation.json"} </w:instrText>
      </w:r>
      <w:r w:rsidRPr="00C15C95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white"/>
        </w:rPr>
        <w:fldChar w:fldCharType="separate"/>
      </w:r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proofErr w:type="spellStart"/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t>Bitard-Feildel</w:t>
      </w:r>
      <w:proofErr w:type="spellEnd"/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Callebaut 2018; Bitard‐Feildel et al. 2018)</w:t>
      </w:r>
      <w:r w:rsidRPr="00C15C95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white"/>
        </w:rPr>
        <w:fldChar w:fldCharType="end"/>
      </w:r>
      <w:r w:rsidRPr="00C15C9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 HCA divides a protein sequence into (</w:t>
      </w:r>
      <w:proofErr w:type="spellStart"/>
      <w:r w:rsidRPr="00C15C9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</w:t>
      </w:r>
      <w:proofErr w:type="spellEnd"/>
      <w:r w:rsidRPr="00C15C9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 clusters gathering strong hydrophobic residues (V, I, L, F, M, Y, W) or cysteines, and (ii) linkers composed of at least 4 non-hydrophobic residues (or a proline). The fold potential of a sequence is determined by its density in hydrophobic clusters but also by the density of hydrophobic amino acids within these</w:t>
      </w:r>
      <w:r w:rsidRPr="00C15C9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C15C9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clusters. It is reflected with the HCA score which ranges from -10 to +10 where low and high HCA scores indicate sequences which are likely to be disordered or expected to form aggregates in solution. respectively. The aggregation propensity of a sequence was assessed with TANGO </w:t>
      </w:r>
      <w:r w:rsidRPr="00C15C9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fldChar w:fldCharType="begin"/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instrText xml:space="preserve"> ADDIN ZOTERO_ITEM CSL_CITATION {"citationID":"g7iEkvAJ","properties":{"formattedCitation":"(Linding et al. 2004; Fernandez-Escamilla et al. 2004; Rousseau et al. 2006)","plainCitation":"(Linding et al. 2004; Fernandez-Escamilla et al. 2004; Rousseau et al. 2006)","noteIndex":0},"citationItems":[{"id":137,"uris":["http://zotero.org/users/local/8ZIBqKOY/items/X6X3EGIC"],"uri":["http://zotero.org/users/local/8ZIBqKOY/items/X6X3EGIC"],"itemData":{"id":137,"type":"article-journal","container-title":"Journal of molecular biology","ISSN":"0022-2836","issue":"1","journalAbbreviation":"Journal of molecular biology","page":"345-353","title":"A comparative study of the relationship between protein structure and β-aggregation in globular and intrinsically disordered proteins","volume":"342","author":[{"family":"Linding","given":"Rune"},{"family":"Schymkowitz","given":"Joost"},{"family":"Rousseau","given":"Frederic"},{"family":"Diella","g</w:instrText>
      </w:r>
      <w:r w:rsidRPr="008F3A4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fr-FR"/>
        </w:rPr>
        <w:instrText>iven":"Francesca"},{"family":"Serrano","given":"Luis"}],"issued":{"date-parts":[["2004"]]}},"label":"page"},{"id":139,"uris":["http://zotero.org/users/local/8ZIBqKOY/items/X9XFN4PY"],"uri":["http://zotero.org/users/local/8ZIBqKOY/items/X9XFN4PY"],"itemData":{"id":139,"type":"article-journal","container-title":"Nature biotechnology","ISSN":"1546-1696","issue":"10","journalAbbreviation":"Nature biotechnology","page":"1302-1306","title":"Prediction of sequence-dependent and mutational effects</w:instrText>
      </w:r>
      <w:r w:rsidRPr="00C15C9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fr-FR"/>
        </w:rPr>
        <w:instrText xml:space="preserve"> on the aggregation of peptides and proteins","volume":"22","author":[{"family":"Fernandez-Escamilla","given":"Ana-Maria"},{"family":"Rousseau","given":"Frederic"},{"family":"Schymkowitz","given":"Joost"},{"family":"Serrano","given":"Luis"}],"issued":{"date-parts":[["2004"]]}},"label":"page"},{"id":141,"uris":["http://zotero.org/users/local/8ZIBqKOY/items/MK46MWMH"],"uri":["http://zotero.org/users/local/8ZIBqKOY/items/MK46MWMH"],"itemData":{"id":141,"type":"article-journal","container-title":"Current opinion in structural biology","ISSN":"0959-440X","issue":"1","journalAbbreviation":"Current opinion in structural biology","page":"118-126","title":"Protein aggregation and amyloidosis: confusion of the kinds?","volume":"16","author":[{"family":"Rousseau","given":"Frederic"},{"family":"Schymkowitz","given":"Joost"},{"family":"Serrano","given":"Luis"}],"issued":{"date-parts":[["2006"]]}},"label":"page"}],"schema":"https://github.com/citation-style-language/schema/raw/master/csl-citation.json"} </w:instrText>
      </w:r>
      <w:r w:rsidRPr="00C15C9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 w:themeColor="text1"/>
          <w:sz w:val="22"/>
          <w:szCs w:val="22"/>
          <w:lang w:val="fr-FR"/>
        </w:rPr>
        <w:t>(Linding et al. 2004; Fernandez-Escamilla et al. 2004; Rousseau et al. 2006)</w:t>
      </w:r>
      <w:r w:rsidRPr="00C15C9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fldChar w:fldCharType="end"/>
      </w:r>
      <w:r w:rsidRPr="00C15C9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fr-FR"/>
        </w:rPr>
        <w:t xml:space="preserve">. </w:t>
      </w:r>
      <w:r w:rsidRPr="00C15C9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Following the criteria presented in </w:t>
      </w:r>
      <w:r w:rsidRPr="00C15C9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fldChar w:fldCharType="begin"/>
      </w:r>
      <w:r w:rsidRPr="00C15C9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instrText xml:space="preserve"> ADDIN ZOTERO_ITEM CSL_CITATION {"citationID":"8KHPaxLm","properties":{"formattedCitation":"(Linding et al. 2004)","plainCitation":"(Linding et al. 2004)","dontUpdate":true,"noteIndex":0},"citationItems":[{"id":137,"uris":["http://zotero.org/users/local/8ZIBqKOY/items/X6X3EGIC"],"uri":["http://zotero.org/users/local/8ZIBqKOY/items/X6X3EGIC"],"itemData":{"id":137,"type":"article-journal","container-title":"Journal of molecular biology","ISSN":"0022-2836","issue":"1","journalAbbreviation":"Journal of molecular biology","page":"345-353","title":"A comparative study of the relationship between protein structure and β-aggregation in globular and intrinsically disordered proteins","volume":"342","author":[{"family":"Linding","given":"Rune"},{"family":"Schymkowitz","given":"Joost"},{"family":"Rousseau","given":"Frederic"},{"family":"Diella","given":"Francesca"},{"family":"Serrano","given":"Luis"}],"issued":{"date-parts":[["2004"]]}}}],"schema":"https://github.com/citation-style-language/schema/raw/master/csl-citation.json"} </w:instrText>
      </w:r>
      <w:r w:rsidRPr="00C15C9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fldChar w:fldCharType="separate"/>
      </w:r>
      <w:r w:rsidRPr="00C15C95">
        <w:rPr>
          <w:rFonts w:ascii="Times New Roman" w:eastAsia="Times New Roman" w:hAnsi="Times New Roman" w:cs="Times New Roman"/>
          <w:noProof/>
          <w:color w:val="000000" w:themeColor="text1"/>
          <w:sz w:val="22"/>
          <w:szCs w:val="22"/>
        </w:rPr>
        <w:t>Linding et al. (2004)</w:t>
      </w:r>
      <w:r w:rsidRPr="00C15C9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fldChar w:fldCharType="end"/>
      </w:r>
      <w:r w:rsidRPr="00C15C9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 residue was considered as participating in an aggregation prone region if it was located in a segment of at least five consecutive residues which were predicted as populating a b-aggregated conformation for more than 5%. Then, the aggregation propensity of each sequence is defined as the fraction of residues predicted in aggregation prone segments. The disorder propensity was probed with </w:t>
      </w:r>
      <w:proofErr w:type="spellStart"/>
      <w:r w:rsidRPr="00C15C9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IUPred</w:t>
      </w:r>
      <w:proofErr w:type="spellEnd"/>
      <w:r w:rsidRPr="00C15C9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15C9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fldChar w:fldCharType="begin"/>
      </w:r>
      <w:r w:rsidRPr="00C15C9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instrText xml:space="preserve"> ADDIN ZOTERO_ITEM CSL_CITATION {"citationID":"qRcLr2yt","properties":{"formattedCitation":"(Dosztanyi et al. 2005; M\\uc0\\u233{}sz\\uc0\\u225{}ros et al. 2009; Doszt\\uc0\\u225{}nyi 2018; M\\uc0\\u233{}sz\\uc0\\u225{}ros et al. 2018)","plainCitation":"(Dosztanyi et al. 2005; Mészáros et al. 2009; Dosztányi 2018; Mészáros et al. 2018)","noteIndex":0},"citationItems":[{"id":135,"uris":["http://zotero.org/users/local/8ZIBqKOY/items/MQXLKZ2R"],"uri":["http://zotero.org/users/local/8ZIBqKOY/items/MQXLKZ2R"],"itemData":{"id":135,"type":"article-journal","container-title":"Journal of molecular biology","ISSN":"0022-2836","issue":"4","journalAbbreviation":"Journal of molecular biology","page":"827-839","title":"The pairwise energy content estimated from amino acid composition discriminates between folded and intrinsically unstructured proteins","volume":"347","author":[{"family":"Dosztanyi","given":"Zsuzsanna"},{"family":"Csizmok","given":"Veronika"},{"family":"Tompa","given":"Peter"},{"family":"Simon","given":"Istvan"}],"issued":{"date-parts":[["2005"]]}},"label":"page"},{"id":325,"uris":["http://zotero.org/users/local/8ZIBqKOY/items/WXAF3LXU"],"uri":["http://zotero.org/users/local/8ZIBqKOY/items/WXAF3LXU"],"itemData":{"id":325,"type":"article-journal","container-title":"PLoS Comput Biol","ISSN":"1553-7358","issue":"5","journalAbbreviation":"PLoS Comput Biol","note":"publisher: Public Library of Science","page":"e1000376","title":"Prediction of protein binding regions in disordered proteins","volume":"5","author":[{"family":"Mészáros","given":"Bálint"},{"family":"Simon","given":"István"},{"family":"Dosztányi","given":"Zsuzsanna"}],"issued":{"date-parts":[["2009"]]}},"label":"page"},{"id":133,"uris":["http://zotero.org/users/local/8ZIBqKOY/items/ARET5P83"],"uri":["http://zotero.org/users/local/8ZIBqKOY/items/ARET5P83"],"itemData":{"id":133,"type":"article-journal","container-title":"Protein Science","ISSN":"0961-8368","issue":"1","journalAbbreviation":"Protein Science","page":"331-340","title":"Prediction of protein disorder based on IUPred","volume":"27","author":[{"family":"Dosztányi","given":"Zsuzsanna"}],"issued":{"date-parts":[["2018"]]}},"label":"page"},{"id":131,"uris":["http://zotero.org/users/local/8ZIBqKOY/items/FCLPCQSY"],"uri":["http://zotero.org/users/local/8ZIBqKOY/items/FCLPCQSY"],"itemData":{"id":131,"type":"article-journal","container-title":"Nucleic acids research","ISSN":"0305-1048","issue":"W1","journalAbbreviation":"Nucleic acids research","page":"W329-W337","title":"IUPred2A: context-dependent prediction of protein disorder as a function of redox state and protein binding","volume":"46","author":[{"family":"Mészáros","given":"Bálint"},{"family":"Erdős","given":"Gábor"},{"family":"Dosztányi","given":"Zsuzsanna"}],"issued":{"date-parts":[["2018"]]}},"label":"page"}],"schema":"https://github.com/citation-style-language/schema/raw/master/csl-citation.json"} </w:instrText>
      </w:r>
      <w:r w:rsidRPr="00C15C9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fldChar w:fldCharType="separate"/>
      </w:r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proofErr w:type="spellStart"/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t>Dosztanyi</w:t>
      </w:r>
      <w:proofErr w:type="spellEnd"/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et al. 2005; Mészáros et al. </w:t>
      </w:r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2009; Dosztányi 2018; Mészáros et al. 2018)</w:t>
      </w:r>
      <w:r w:rsidRPr="00C15C9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fldChar w:fldCharType="end"/>
      </w:r>
      <w:r w:rsidRPr="00C15C9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using the short prediction option. To be consistent with the criteria used for assessing the aggregation propensity, we considered a residue as participating in a disordered region if it is located in a segment of at least five consecutive residues, each presenting a disorder probability higher than 0.5. Then, the disorder propensity of each sequence is defined as the fraction of residues predicted in disordered prone segments. </w:t>
      </w:r>
    </w:p>
    <w:p w14:paraId="0446CA25" w14:textId="77777777" w:rsidR="00C15C95" w:rsidRPr="00C15C95" w:rsidRDefault="00C15C95" w:rsidP="008F3A4A">
      <w:pPr>
        <w:spacing w:line="48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</w:pPr>
    </w:p>
    <w:p w14:paraId="2D765B02" w14:textId="77777777" w:rsidR="00C15C95" w:rsidRPr="008F3A4A" w:rsidRDefault="00C15C95" w:rsidP="008F3A4A">
      <w:pPr>
        <w:pStyle w:val="Heading2"/>
        <w:spacing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8F3A4A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Ribosome Profiling analyses </w:t>
      </w:r>
    </w:p>
    <w:p w14:paraId="3588E196" w14:textId="440E359B" w:rsidR="00C15C95" w:rsidRDefault="00C15C95" w:rsidP="008F3A4A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5C95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Ribosome profiling experiments:</w:t>
      </w:r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Cells were grown overnight in 0.5 liter of liquid glucose-YPD till an OD</w:t>
      </w:r>
      <w:r w:rsidRPr="00C15C95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600</w:t>
      </w:r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0.6, 50 microg/</w:t>
      </w:r>
      <w:proofErr w:type="spellStart"/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t>microl</w:t>
      </w:r>
      <w:proofErr w:type="spellEnd"/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cycloheximide were added to the culture and incubated during 5 min and kept at + 4°C. The pellet of yeast cells was recovered by centrifugation during 5 min at 5000 rpm in Beckman F10 rotor at + 4°C. Total RNA and polysomes were extracted as previously described </w:t>
      </w:r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begin"/>
      </w:r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instrText xml:space="preserve"> ADDIN ZOTERO_ITEM CSL_CITATION {"citationID":"vKDvJxEu","properties":{"formattedCitation":"(Baudin-Baillieu et al. 2014)","plainCitation":"(Baudin-Baillieu et al. 2014)","noteIndex":0},"citationItems":[{"id":467,"uris":["http://zotero.org/users/local/8ZIBqKOY/items/DWMZL7KA"],"uri":["http://zotero.org/users/local/8ZIBqKOY/items/DWMZL7KA"],"itemData":{"id":467,"type":"article-journal","container-title":"Cell reports","ISSN":"2211-1247","issue":"2","journalAbbreviation":"Cell reports","note":"publisher: Elsevier","page":"439-448","title":"Genome-wide translational changes induced by the prion [PSI+]","volume":"8","author":[{"family":"Baudin-Baillieu","given":"Agnes"},{"family":"Legendre","given":"Rachel"},{"family":"Kuchly","given":"Claire"},{"family":"Hatin","given":"Isabelle"},{"family":"Demais","given":"Stéphane"},{"family":"Mestdagh","given":"Claire"},{"family":"Gautheret","given":"Daniel"},{"family":"Namy","given":"Olivier"}],"issued":{"date-parts":[["2014"]]}}}],"schema":"https://github.com/citation-style-language/schema/raw/master/csl-citation.json"} </w:instrText>
      </w:r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separate"/>
      </w:r>
      <w:r w:rsidRPr="00C15C95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(Baudin-Baillieu et al. 2014)</w:t>
      </w:r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end"/>
      </w:r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Briefly, cells were </w:t>
      </w:r>
      <w:proofErr w:type="spellStart"/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t>lysated</w:t>
      </w:r>
      <w:proofErr w:type="spellEnd"/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by vortex during 15 min in 500 </w:t>
      </w:r>
      <w:proofErr w:type="spellStart"/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t>microl</w:t>
      </w:r>
      <w:proofErr w:type="spellEnd"/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polysome buffer (10 mM Tris-acetate pH7.5 ; 0.1M NaCl and 30 mM Mg-acetate) in presence of glass beads in Eppendorf tube, followed by 5 min of centrifugation at 16 </w:t>
      </w:r>
      <w:proofErr w:type="spellStart"/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t>krcf</w:t>
      </w:r>
      <w:proofErr w:type="spellEnd"/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at + 4°C. Ribosome-protected mRNA fragments (RPFs) were generated by the treatment following the ratio of 1 OD</w:t>
      </w:r>
      <w:r w:rsidRPr="00C15C95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260nm</w:t>
      </w:r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extract with 15 U of RNase I during 1 h at 25°C. Monosomes were collected by 2h15 min centrifugation on a 24% sucrose cushion at +4°C on TLA 110 rotor at 110 </w:t>
      </w:r>
      <w:proofErr w:type="spellStart"/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t>krpm</w:t>
      </w:r>
      <w:proofErr w:type="spellEnd"/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The monosomes were resuspended with 500 </w:t>
      </w:r>
      <w:proofErr w:type="spellStart"/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t>microl</w:t>
      </w:r>
      <w:proofErr w:type="spellEnd"/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polysome buffer. RNA was purified by phenol–chloroform extraction and 28-34 nucleotides RPFs were recovered by electrophoresis in a 17% acrylamide (19/1) 7M urea in 1x TAE gel. These RPFs were depleted of ribosomal RNA by treatment with the </w:t>
      </w:r>
      <w:proofErr w:type="spellStart"/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t>Ribo</w:t>
      </w:r>
      <w:proofErr w:type="spellEnd"/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-Zero Gold rRNA removal kit for yeast from Illumina company. RPF libraries were generated with </w:t>
      </w:r>
      <w:proofErr w:type="spellStart"/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t>NEBNext</w:t>
      </w:r>
      <w:proofErr w:type="spellEnd"/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Small RNA Sample Prep Kit, according to the manufacturer’s protocol, and were checked with the </w:t>
      </w:r>
      <w:proofErr w:type="spellStart"/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t>bioanalyser</w:t>
      </w:r>
      <w:proofErr w:type="spellEnd"/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small RNA kit. Sequencing was performed by a </w:t>
      </w:r>
      <w:proofErr w:type="spellStart"/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t>HighSeq</w:t>
      </w:r>
      <w:proofErr w:type="spellEnd"/>
      <w:r w:rsidRPr="00C15C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2000 (Illumina) 75-nucleotide single-read protocol.</w:t>
      </w:r>
    </w:p>
    <w:p w14:paraId="702B5F8F" w14:textId="4AFDF280" w:rsidR="00C15C95" w:rsidRDefault="00C15C95" w:rsidP="00C15C95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B4CF497" w14:textId="568894AB" w:rsidR="00C15C95" w:rsidRDefault="00C15C95" w:rsidP="00C15C95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0BC3C50" w14:textId="77777777" w:rsidR="00C15C95" w:rsidRDefault="00C15C95" w:rsidP="00C15C95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25276E6" w14:textId="56491C6F" w:rsidR="00C15C95" w:rsidRDefault="00C15C95" w:rsidP="00C15C95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C15C95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lastRenderedPageBreak/>
        <w:t>References</w:t>
      </w:r>
    </w:p>
    <w:p w14:paraId="028DA84E" w14:textId="77777777" w:rsidR="00C15C95" w:rsidRPr="00C15C95" w:rsidRDefault="00C15C95" w:rsidP="00C15C95">
      <w:pPr>
        <w:pStyle w:val="Bibliography"/>
        <w:rPr>
          <w:rFonts w:ascii="Times New Roman" w:hAnsi="Times New Roman" w:cs="Times New Roman"/>
          <w:sz w:val="22"/>
          <w:szCs w:val="22"/>
        </w:rPr>
      </w:pPr>
      <w:r w:rsidRPr="00C15C95">
        <w:rPr>
          <w:rFonts w:ascii="Times New Roman" w:hAnsi="Times New Roman" w:cs="Times New Roman"/>
          <w:b/>
          <w:bCs/>
          <w:sz w:val="22"/>
          <w:szCs w:val="22"/>
        </w:rPr>
        <w:fldChar w:fldCharType="begin"/>
      </w:r>
      <w:r w:rsidRPr="00C15C95">
        <w:rPr>
          <w:rFonts w:ascii="Times New Roman" w:hAnsi="Times New Roman" w:cs="Times New Roman"/>
          <w:b/>
          <w:bCs/>
          <w:sz w:val="22"/>
          <w:szCs w:val="22"/>
        </w:rPr>
        <w:instrText xml:space="preserve"> ADDIN ZOTERO_BIBL {"uncited":[],"omitted":[],"custom":[]} CSL_BIBLIOGRAPHY </w:instrText>
      </w:r>
      <w:r w:rsidRPr="00C15C95">
        <w:rPr>
          <w:rFonts w:ascii="Times New Roman" w:hAnsi="Times New Roman" w:cs="Times New Roman"/>
          <w:b/>
          <w:bCs/>
          <w:sz w:val="22"/>
          <w:szCs w:val="22"/>
        </w:rPr>
        <w:fldChar w:fldCharType="separate"/>
      </w:r>
      <w:r w:rsidRPr="00C15C95">
        <w:rPr>
          <w:rFonts w:ascii="Times New Roman" w:hAnsi="Times New Roman" w:cs="Times New Roman"/>
          <w:sz w:val="22"/>
          <w:szCs w:val="22"/>
        </w:rPr>
        <w:t xml:space="preserve">Baudin-Baillieu A, Legendre R, Kuchly C, Hatin I, Demais S, Mestdagh C, Gautheret D, Namy O. 2014. Genome-wide translational changes induced by the prion [PSI+]. </w:t>
      </w:r>
      <w:r w:rsidRPr="00C15C95">
        <w:rPr>
          <w:rFonts w:ascii="Times New Roman" w:hAnsi="Times New Roman" w:cs="Times New Roman"/>
          <w:i/>
          <w:iCs/>
          <w:sz w:val="22"/>
          <w:szCs w:val="22"/>
        </w:rPr>
        <w:t>Cell Rep</w:t>
      </w:r>
      <w:r w:rsidRPr="00C15C95">
        <w:rPr>
          <w:rFonts w:ascii="Times New Roman" w:hAnsi="Times New Roman" w:cs="Times New Roman"/>
          <w:sz w:val="22"/>
          <w:szCs w:val="22"/>
        </w:rPr>
        <w:t xml:space="preserve"> </w:t>
      </w:r>
      <w:r w:rsidRPr="00C15C95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C15C95">
        <w:rPr>
          <w:rFonts w:ascii="Times New Roman" w:hAnsi="Times New Roman" w:cs="Times New Roman"/>
          <w:sz w:val="22"/>
          <w:szCs w:val="22"/>
        </w:rPr>
        <w:t>: 439–448.</w:t>
      </w:r>
    </w:p>
    <w:p w14:paraId="0F7E5ABB" w14:textId="77777777" w:rsidR="00C15C95" w:rsidRPr="00C15C95" w:rsidRDefault="00C15C95" w:rsidP="00C15C95">
      <w:pPr>
        <w:pStyle w:val="Bibliography"/>
        <w:rPr>
          <w:rFonts w:ascii="Times New Roman" w:hAnsi="Times New Roman" w:cs="Times New Roman"/>
          <w:sz w:val="22"/>
          <w:szCs w:val="22"/>
        </w:rPr>
      </w:pPr>
      <w:r w:rsidRPr="00C15C95">
        <w:rPr>
          <w:rFonts w:ascii="Times New Roman" w:hAnsi="Times New Roman" w:cs="Times New Roman"/>
          <w:sz w:val="22"/>
          <w:szCs w:val="22"/>
        </w:rPr>
        <w:t xml:space="preserve">Bitard-Feildel T, Callebaut I. 2018. HCAtk and pyHCA: A Toolkit and Python API for the Hydrophobic Cluster Analysis of Protein Sequences. </w:t>
      </w:r>
      <w:r w:rsidRPr="00C15C95">
        <w:rPr>
          <w:rFonts w:ascii="Times New Roman" w:hAnsi="Times New Roman" w:cs="Times New Roman"/>
          <w:i/>
          <w:iCs/>
          <w:sz w:val="22"/>
          <w:szCs w:val="22"/>
        </w:rPr>
        <w:t>bioRxiv</w:t>
      </w:r>
      <w:r w:rsidRPr="00C15C95">
        <w:rPr>
          <w:rFonts w:ascii="Times New Roman" w:hAnsi="Times New Roman" w:cs="Times New Roman"/>
          <w:sz w:val="22"/>
          <w:szCs w:val="22"/>
        </w:rPr>
        <w:t xml:space="preserve"> 249995.</w:t>
      </w:r>
    </w:p>
    <w:p w14:paraId="7D6B79B8" w14:textId="77777777" w:rsidR="00C15C95" w:rsidRPr="00C15C95" w:rsidRDefault="00C15C95" w:rsidP="00C15C95">
      <w:pPr>
        <w:pStyle w:val="Bibliography"/>
        <w:rPr>
          <w:rFonts w:ascii="Times New Roman" w:hAnsi="Times New Roman" w:cs="Times New Roman"/>
          <w:sz w:val="22"/>
          <w:szCs w:val="22"/>
        </w:rPr>
      </w:pPr>
      <w:r w:rsidRPr="00C15C95">
        <w:rPr>
          <w:rFonts w:ascii="Times New Roman" w:hAnsi="Times New Roman" w:cs="Times New Roman"/>
          <w:sz w:val="22"/>
          <w:szCs w:val="22"/>
        </w:rPr>
        <w:t xml:space="preserve">Bitard‐Feildel T, Lamiable A, Mornon J, Callebaut I. 2018. Order in disorder as observed by the “hydrophobic cluster analysis” of protein sequences. </w:t>
      </w:r>
      <w:r w:rsidRPr="00C15C95">
        <w:rPr>
          <w:rFonts w:ascii="Times New Roman" w:hAnsi="Times New Roman" w:cs="Times New Roman"/>
          <w:i/>
          <w:iCs/>
          <w:sz w:val="22"/>
          <w:szCs w:val="22"/>
        </w:rPr>
        <w:t>Proteomics</w:t>
      </w:r>
      <w:r w:rsidRPr="00C15C95">
        <w:rPr>
          <w:rFonts w:ascii="Times New Roman" w:hAnsi="Times New Roman" w:cs="Times New Roman"/>
          <w:sz w:val="22"/>
          <w:szCs w:val="22"/>
        </w:rPr>
        <w:t xml:space="preserve"> </w:t>
      </w:r>
      <w:r w:rsidRPr="00C15C95">
        <w:rPr>
          <w:rFonts w:ascii="Times New Roman" w:hAnsi="Times New Roman" w:cs="Times New Roman"/>
          <w:b/>
          <w:bCs/>
          <w:sz w:val="22"/>
          <w:szCs w:val="22"/>
        </w:rPr>
        <w:t>18</w:t>
      </w:r>
      <w:r w:rsidRPr="00C15C95">
        <w:rPr>
          <w:rFonts w:ascii="Times New Roman" w:hAnsi="Times New Roman" w:cs="Times New Roman"/>
          <w:sz w:val="22"/>
          <w:szCs w:val="22"/>
        </w:rPr>
        <w:t>: 1800054.</w:t>
      </w:r>
    </w:p>
    <w:p w14:paraId="1F298B1F" w14:textId="77777777" w:rsidR="00C15C95" w:rsidRPr="00C15C95" w:rsidRDefault="00C15C95" w:rsidP="00C15C95">
      <w:pPr>
        <w:pStyle w:val="Bibliography"/>
        <w:rPr>
          <w:rFonts w:ascii="Times New Roman" w:hAnsi="Times New Roman" w:cs="Times New Roman"/>
          <w:sz w:val="22"/>
          <w:szCs w:val="22"/>
          <w:lang w:val="fr-FR"/>
        </w:rPr>
      </w:pPr>
      <w:r w:rsidRPr="00C15C95">
        <w:rPr>
          <w:rFonts w:ascii="Times New Roman" w:hAnsi="Times New Roman" w:cs="Times New Roman"/>
          <w:sz w:val="22"/>
          <w:szCs w:val="22"/>
        </w:rPr>
        <w:t xml:space="preserve">Dosztányi Z. 2018. Prediction of protein disorder based on IUPred. </w:t>
      </w:r>
      <w:r w:rsidRPr="00C15C95">
        <w:rPr>
          <w:rFonts w:ascii="Times New Roman" w:hAnsi="Times New Roman" w:cs="Times New Roman"/>
          <w:i/>
          <w:iCs/>
          <w:sz w:val="22"/>
          <w:szCs w:val="22"/>
          <w:lang w:val="fr-FR"/>
        </w:rPr>
        <w:t>Protein Sci</w:t>
      </w:r>
      <w:r w:rsidRPr="00C15C95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C15C95">
        <w:rPr>
          <w:rFonts w:ascii="Times New Roman" w:hAnsi="Times New Roman" w:cs="Times New Roman"/>
          <w:b/>
          <w:bCs/>
          <w:sz w:val="22"/>
          <w:szCs w:val="22"/>
          <w:lang w:val="fr-FR"/>
        </w:rPr>
        <w:t>27</w:t>
      </w:r>
      <w:r w:rsidRPr="00C15C95">
        <w:rPr>
          <w:rFonts w:ascii="Times New Roman" w:hAnsi="Times New Roman" w:cs="Times New Roman"/>
          <w:sz w:val="22"/>
          <w:szCs w:val="22"/>
          <w:lang w:val="fr-FR"/>
        </w:rPr>
        <w:t>: 331–340.</w:t>
      </w:r>
    </w:p>
    <w:p w14:paraId="17CAE0BB" w14:textId="77777777" w:rsidR="00C15C95" w:rsidRPr="00C15C95" w:rsidRDefault="00C15C95" w:rsidP="00C15C95">
      <w:pPr>
        <w:pStyle w:val="Bibliography"/>
        <w:rPr>
          <w:rFonts w:ascii="Times New Roman" w:hAnsi="Times New Roman" w:cs="Times New Roman"/>
          <w:sz w:val="22"/>
          <w:szCs w:val="22"/>
          <w:lang w:val="fr-FR"/>
        </w:rPr>
      </w:pPr>
      <w:r w:rsidRPr="00C15C95">
        <w:rPr>
          <w:rFonts w:ascii="Times New Roman" w:hAnsi="Times New Roman" w:cs="Times New Roman"/>
          <w:sz w:val="22"/>
          <w:szCs w:val="22"/>
          <w:lang w:val="fr-FR"/>
        </w:rPr>
        <w:t xml:space="preserve">Dosztanyi Z, Csizmok V, Tompa P, Simon I. 2005. </w:t>
      </w:r>
      <w:r w:rsidRPr="00C15C95">
        <w:rPr>
          <w:rFonts w:ascii="Times New Roman" w:hAnsi="Times New Roman" w:cs="Times New Roman"/>
          <w:sz w:val="22"/>
          <w:szCs w:val="22"/>
        </w:rPr>
        <w:t xml:space="preserve">The pairwise energy content estimated from amino acid composition discriminates between folded and intrinsically unstructured proteins. </w:t>
      </w:r>
      <w:r w:rsidRPr="00C15C95">
        <w:rPr>
          <w:rFonts w:ascii="Times New Roman" w:hAnsi="Times New Roman" w:cs="Times New Roman"/>
          <w:i/>
          <w:iCs/>
          <w:sz w:val="22"/>
          <w:szCs w:val="22"/>
          <w:lang w:val="fr-FR"/>
        </w:rPr>
        <w:t>J Mol Biol</w:t>
      </w:r>
      <w:r w:rsidRPr="00C15C95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C15C95">
        <w:rPr>
          <w:rFonts w:ascii="Times New Roman" w:hAnsi="Times New Roman" w:cs="Times New Roman"/>
          <w:b/>
          <w:bCs/>
          <w:sz w:val="22"/>
          <w:szCs w:val="22"/>
          <w:lang w:val="fr-FR"/>
        </w:rPr>
        <w:t>347</w:t>
      </w:r>
      <w:r w:rsidRPr="00C15C95">
        <w:rPr>
          <w:rFonts w:ascii="Times New Roman" w:hAnsi="Times New Roman" w:cs="Times New Roman"/>
          <w:sz w:val="22"/>
          <w:szCs w:val="22"/>
          <w:lang w:val="fr-FR"/>
        </w:rPr>
        <w:t>: 827–839.</w:t>
      </w:r>
    </w:p>
    <w:p w14:paraId="5D1C2FD0" w14:textId="77777777" w:rsidR="00C15C95" w:rsidRPr="00C15C95" w:rsidRDefault="00C15C95" w:rsidP="00C15C95">
      <w:pPr>
        <w:pStyle w:val="Bibliography"/>
        <w:rPr>
          <w:rFonts w:ascii="Times New Roman" w:hAnsi="Times New Roman" w:cs="Times New Roman"/>
          <w:sz w:val="22"/>
          <w:szCs w:val="22"/>
          <w:lang w:val="fr-FR"/>
        </w:rPr>
      </w:pPr>
      <w:r w:rsidRPr="00C15C95">
        <w:rPr>
          <w:rFonts w:ascii="Times New Roman" w:hAnsi="Times New Roman" w:cs="Times New Roman"/>
          <w:sz w:val="22"/>
          <w:szCs w:val="22"/>
          <w:lang w:val="fr-FR"/>
        </w:rPr>
        <w:t xml:space="preserve">Fernandez-Escamilla A-M, Rousseau F, Schymkowitz J, Serrano L. 2004. </w:t>
      </w:r>
      <w:r w:rsidRPr="00C15C95">
        <w:rPr>
          <w:rFonts w:ascii="Times New Roman" w:hAnsi="Times New Roman" w:cs="Times New Roman"/>
          <w:sz w:val="22"/>
          <w:szCs w:val="22"/>
        </w:rPr>
        <w:t xml:space="preserve">Prediction of sequence-dependent and mutational effects on the aggregation of peptides and proteins. </w:t>
      </w:r>
      <w:r w:rsidRPr="00C15C95">
        <w:rPr>
          <w:rFonts w:ascii="Times New Roman" w:hAnsi="Times New Roman" w:cs="Times New Roman"/>
          <w:i/>
          <w:iCs/>
          <w:sz w:val="22"/>
          <w:szCs w:val="22"/>
          <w:lang w:val="fr-FR"/>
        </w:rPr>
        <w:t>Nat Biotechnol</w:t>
      </w:r>
      <w:r w:rsidRPr="00C15C95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C15C95">
        <w:rPr>
          <w:rFonts w:ascii="Times New Roman" w:hAnsi="Times New Roman" w:cs="Times New Roman"/>
          <w:b/>
          <w:bCs/>
          <w:sz w:val="22"/>
          <w:szCs w:val="22"/>
          <w:lang w:val="fr-FR"/>
        </w:rPr>
        <w:t>22</w:t>
      </w:r>
      <w:r w:rsidRPr="00C15C95">
        <w:rPr>
          <w:rFonts w:ascii="Times New Roman" w:hAnsi="Times New Roman" w:cs="Times New Roman"/>
          <w:sz w:val="22"/>
          <w:szCs w:val="22"/>
          <w:lang w:val="fr-FR"/>
        </w:rPr>
        <w:t>: 1302–1306.</w:t>
      </w:r>
    </w:p>
    <w:p w14:paraId="1D631C26" w14:textId="77777777" w:rsidR="00C15C95" w:rsidRPr="00C15C95" w:rsidRDefault="00C15C95" w:rsidP="00C15C95">
      <w:pPr>
        <w:pStyle w:val="Bibliography"/>
        <w:rPr>
          <w:rFonts w:ascii="Times New Roman" w:hAnsi="Times New Roman" w:cs="Times New Roman"/>
          <w:sz w:val="22"/>
          <w:szCs w:val="22"/>
        </w:rPr>
      </w:pPr>
      <w:r w:rsidRPr="00C15C95">
        <w:rPr>
          <w:rFonts w:ascii="Times New Roman" w:hAnsi="Times New Roman" w:cs="Times New Roman"/>
          <w:sz w:val="22"/>
          <w:szCs w:val="22"/>
          <w:lang w:val="fr-FR"/>
        </w:rPr>
        <w:t xml:space="preserve">Linding R, Schymkowitz J, Rousseau F, Diella F, Serrano L. 2004. </w:t>
      </w:r>
      <w:r w:rsidRPr="00C15C95">
        <w:rPr>
          <w:rFonts w:ascii="Times New Roman" w:hAnsi="Times New Roman" w:cs="Times New Roman"/>
          <w:sz w:val="22"/>
          <w:szCs w:val="22"/>
        </w:rPr>
        <w:t xml:space="preserve">A comparative study of the relationship between protein structure and β-aggregation in globular and intrinsically disordered proteins. </w:t>
      </w:r>
      <w:r w:rsidRPr="00C15C95">
        <w:rPr>
          <w:rFonts w:ascii="Times New Roman" w:hAnsi="Times New Roman" w:cs="Times New Roman"/>
          <w:i/>
          <w:iCs/>
          <w:sz w:val="22"/>
          <w:szCs w:val="22"/>
        </w:rPr>
        <w:t>J Mol Biol</w:t>
      </w:r>
      <w:r w:rsidRPr="00C15C95">
        <w:rPr>
          <w:rFonts w:ascii="Times New Roman" w:hAnsi="Times New Roman" w:cs="Times New Roman"/>
          <w:sz w:val="22"/>
          <w:szCs w:val="22"/>
        </w:rPr>
        <w:t xml:space="preserve"> </w:t>
      </w:r>
      <w:r w:rsidRPr="00C15C95">
        <w:rPr>
          <w:rFonts w:ascii="Times New Roman" w:hAnsi="Times New Roman" w:cs="Times New Roman"/>
          <w:b/>
          <w:bCs/>
          <w:sz w:val="22"/>
          <w:szCs w:val="22"/>
        </w:rPr>
        <w:t>342</w:t>
      </w:r>
      <w:r w:rsidRPr="00C15C95">
        <w:rPr>
          <w:rFonts w:ascii="Times New Roman" w:hAnsi="Times New Roman" w:cs="Times New Roman"/>
          <w:sz w:val="22"/>
          <w:szCs w:val="22"/>
        </w:rPr>
        <w:t>: 345–353.</w:t>
      </w:r>
    </w:p>
    <w:p w14:paraId="7E3BB29F" w14:textId="77777777" w:rsidR="00C15C95" w:rsidRPr="00C15C95" w:rsidRDefault="00C15C95" w:rsidP="00C15C95">
      <w:pPr>
        <w:pStyle w:val="Bibliography"/>
        <w:rPr>
          <w:rFonts w:ascii="Times New Roman" w:hAnsi="Times New Roman" w:cs="Times New Roman"/>
          <w:sz w:val="22"/>
          <w:szCs w:val="22"/>
        </w:rPr>
      </w:pPr>
      <w:r w:rsidRPr="00C15C95">
        <w:rPr>
          <w:rFonts w:ascii="Times New Roman" w:hAnsi="Times New Roman" w:cs="Times New Roman"/>
          <w:sz w:val="22"/>
          <w:szCs w:val="22"/>
        </w:rPr>
        <w:t xml:space="preserve">Mészáros B, Erdős G, Dosztányi Z. 2018. IUPred2A: context-dependent prediction of protein disorder as a function of redox state and protein binding. </w:t>
      </w:r>
      <w:r w:rsidRPr="00C15C95">
        <w:rPr>
          <w:rFonts w:ascii="Times New Roman" w:hAnsi="Times New Roman" w:cs="Times New Roman"/>
          <w:i/>
          <w:iCs/>
          <w:sz w:val="22"/>
          <w:szCs w:val="22"/>
        </w:rPr>
        <w:t>Nucleic Acids Res</w:t>
      </w:r>
      <w:r w:rsidRPr="00C15C95">
        <w:rPr>
          <w:rFonts w:ascii="Times New Roman" w:hAnsi="Times New Roman" w:cs="Times New Roman"/>
          <w:sz w:val="22"/>
          <w:szCs w:val="22"/>
        </w:rPr>
        <w:t xml:space="preserve"> </w:t>
      </w:r>
      <w:r w:rsidRPr="00C15C95">
        <w:rPr>
          <w:rFonts w:ascii="Times New Roman" w:hAnsi="Times New Roman" w:cs="Times New Roman"/>
          <w:b/>
          <w:bCs/>
          <w:sz w:val="22"/>
          <w:szCs w:val="22"/>
        </w:rPr>
        <w:t>46</w:t>
      </w:r>
      <w:r w:rsidRPr="00C15C95">
        <w:rPr>
          <w:rFonts w:ascii="Times New Roman" w:hAnsi="Times New Roman" w:cs="Times New Roman"/>
          <w:sz w:val="22"/>
          <w:szCs w:val="22"/>
        </w:rPr>
        <w:t>: W329–W337.</w:t>
      </w:r>
    </w:p>
    <w:p w14:paraId="53406F47" w14:textId="77777777" w:rsidR="00C15C95" w:rsidRPr="00C15C95" w:rsidRDefault="00C15C95" w:rsidP="00C15C95">
      <w:pPr>
        <w:pStyle w:val="Bibliography"/>
        <w:rPr>
          <w:rFonts w:ascii="Times New Roman" w:hAnsi="Times New Roman" w:cs="Times New Roman"/>
          <w:sz w:val="22"/>
          <w:szCs w:val="22"/>
          <w:lang w:val="fr-FR"/>
        </w:rPr>
      </w:pPr>
      <w:r w:rsidRPr="00C15C95">
        <w:rPr>
          <w:rFonts w:ascii="Times New Roman" w:hAnsi="Times New Roman" w:cs="Times New Roman"/>
          <w:sz w:val="22"/>
          <w:szCs w:val="22"/>
        </w:rPr>
        <w:t xml:space="preserve">Mészáros B, Simon I, Dosztányi Z. 2009. Prediction of protein binding regions in disordered proteins. </w:t>
      </w:r>
      <w:r w:rsidRPr="00C15C95">
        <w:rPr>
          <w:rFonts w:ascii="Times New Roman" w:hAnsi="Times New Roman" w:cs="Times New Roman"/>
          <w:i/>
          <w:iCs/>
          <w:sz w:val="22"/>
          <w:szCs w:val="22"/>
          <w:lang w:val="fr-FR"/>
        </w:rPr>
        <w:t>PLoS Comput Biol</w:t>
      </w:r>
      <w:r w:rsidRPr="00C15C95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C15C95">
        <w:rPr>
          <w:rFonts w:ascii="Times New Roman" w:hAnsi="Times New Roman" w:cs="Times New Roman"/>
          <w:b/>
          <w:bCs/>
          <w:sz w:val="22"/>
          <w:szCs w:val="22"/>
          <w:lang w:val="fr-FR"/>
        </w:rPr>
        <w:t>5</w:t>
      </w:r>
      <w:r w:rsidRPr="00C15C95">
        <w:rPr>
          <w:rFonts w:ascii="Times New Roman" w:hAnsi="Times New Roman" w:cs="Times New Roman"/>
          <w:sz w:val="22"/>
          <w:szCs w:val="22"/>
          <w:lang w:val="fr-FR"/>
        </w:rPr>
        <w:t>: e1000376.</w:t>
      </w:r>
    </w:p>
    <w:p w14:paraId="69F9D7D3" w14:textId="77777777" w:rsidR="00C15C95" w:rsidRPr="00C15C95" w:rsidRDefault="00C15C95" w:rsidP="00C15C95">
      <w:pPr>
        <w:pStyle w:val="Bibliography"/>
        <w:rPr>
          <w:rFonts w:ascii="Times New Roman" w:hAnsi="Times New Roman" w:cs="Times New Roman"/>
          <w:sz w:val="22"/>
          <w:szCs w:val="22"/>
        </w:rPr>
      </w:pPr>
      <w:r w:rsidRPr="00C15C95">
        <w:rPr>
          <w:rFonts w:ascii="Times New Roman" w:hAnsi="Times New Roman" w:cs="Times New Roman"/>
          <w:sz w:val="22"/>
          <w:szCs w:val="22"/>
          <w:lang w:val="fr-FR"/>
        </w:rPr>
        <w:t xml:space="preserve">Rousseau F, Schymkowitz J, Serrano L. 2006. </w:t>
      </w:r>
      <w:r w:rsidRPr="00C15C95">
        <w:rPr>
          <w:rFonts w:ascii="Times New Roman" w:hAnsi="Times New Roman" w:cs="Times New Roman"/>
          <w:sz w:val="22"/>
          <w:szCs w:val="22"/>
        </w:rPr>
        <w:t xml:space="preserve">Protein aggregation and amyloidosis: confusion of the kinds? </w:t>
      </w:r>
      <w:r w:rsidRPr="00C15C95">
        <w:rPr>
          <w:rFonts w:ascii="Times New Roman" w:hAnsi="Times New Roman" w:cs="Times New Roman"/>
          <w:i/>
          <w:iCs/>
          <w:sz w:val="22"/>
          <w:szCs w:val="22"/>
        </w:rPr>
        <w:t>Curr Opin Struct Biol</w:t>
      </w:r>
      <w:r w:rsidRPr="00C15C95">
        <w:rPr>
          <w:rFonts w:ascii="Times New Roman" w:hAnsi="Times New Roman" w:cs="Times New Roman"/>
          <w:sz w:val="22"/>
          <w:szCs w:val="22"/>
        </w:rPr>
        <w:t xml:space="preserve"> </w:t>
      </w:r>
      <w:r w:rsidRPr="00C15C95">
        <w:rPr>
          <w:rFonts w:ascii="Times New Roman" w:hAnsi="Times New Roman" w:cs="Times New Roman"/>
          <w:b/>
          <w:bCs/>
          <w:sz w:val="22"/>
          <w:szCs w:val="22"/>
        </w:rPr>
        <w:t>16</w:t>
      </w:r>
      <w:r w:rsidRPr="00C15C95">
        <w:rPr>
          <w:rFonts w:ascii="Times New Roman" w:hAnsi="Times New Roman" w:cs="Times New Roman"/>
          <w:sz w:val="22"/>
          <w:szCs w:val="22"/>
        </w:rPr>
        <w:t>: 118–126.</w:t>
      </w:r>
    </w:p>
    <w:p w14:paraId="4DD4A7F0" w14:textId="2746AB93" w:rsidR="00C15C95" w:rsidRPr="00C15C95" w:rsidRDefault="00C15C95" w:rsidP="00C15C95">
      <w:pPr>
        <w:spacing w:line="48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C15C95">
        <w:rPr>
          <w:rFonts w:ascii="Times New Roman" w:hAnsi="Times New Roman" w:cs="Times New Roman"/>
          <w:b/>
          <w:bCs/>
          <w:sz w:val="22"/>
          <w:szCs w:val="22"/>
        </w:rPr>
        <w:fldChar w:fldCharType="end"/>
      </w:r>
    </w:p>
    <w:sectPr w:rsidR="00C15C95" w:rsidRPr="00C15C95" w:rsidSect="00C15C95">
      <w:pgSz w:w="11900" w:h="168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95"/>
    <w:rsid w:val="00236A8E"/>
    <w:rsid w:val="00491514"/>
    <w:rsid w:val="008F3A4A"/>
    <w:rsid w:val="00B85F16"/>
    <w:rsid w:val="00C15C95"/>
    <w:rsid w:val="00E9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30D609"/>
  <w15:chartTrackingRefBased/>
  <w15:docId w15:val="{7FCC6F13-33E3-0341-9057-E468F01E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5C95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5C9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C15C95"/>
    <w:rPr>
      <w:rFonts w:ascii="Arial" w:eastAsia="Arial" w:hAnsi="Arial" w:cs="Arial"/>
      <w:sz w:val="32"/>
      <w:szCs w:val="32"/>
      <w:lang w:val="fr"/>
    </w:rPr>
  </w:style>
  <w:style w:type="paragraph" w:styleId="Bibliography">
    <w:name w:val="Bibliography"/>
    <w:basedOn w:val="Normal"/>
    <w:next w:val="Normal"/>
    <w:uiPriority w:val="37"/>
    <w:unhideWhenUsed/>
    <w:rsid w:val="00C15C95"/>
    <w:pPr>
      <w:spacing w:after="240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2328</Words>
  <Characters>12876</Characters>
  <Application>Microsoft Office Word</Application>
  <DocSecurity>0</DocSecurity>
  <Lines>585</Lines>
  <Paragraphs>106</Paragraphs>
  <ScaleCrop>false</ScaleCrop>
  <Company/>
  <LinksUpToDate>false</LinksUpToDate>
  <CharactersWithSpaces>15098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Papadopoulos</dc:creator>
  <cp:keywords/>
  <dc:description/>
  <cp:lastModifiedBy>Christos Papadopoulos</cp:lastModifiedBy>
  <cp:revision>2</cp:revision>
  <dcterms:created xsi:type="dcterms:W3CDTF">2021-09-14T09:04:00Z</dcterms:created>
  <dcterms:modified xsi:type="dcterms:W3CDTF">2021-09-14T12:44:00Z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zotero-version="5.0.96.2"&gt;&lt;session id="sgEDrzad"/&gt;&lt;style id="http://www.zotero.org/styles/genome-research" hasBibliography="1" bibliographyStyleHasBeenSet="1"/&gt;&lt;prefs&gt;&lt;pref name="fieldType" value="Field"/&gt;&lt;pref name="automaticJourna</vt:lpwstr>
  </property>
  <property fmtid="{D5CDD505-2E9C-101B-9397-08002B2CF9AE}" pid="3" name="ZOTERO_PREF_2">
    <vt:lpwstr>lAbbreviations" value="true"/&gt;&lt;/prefs&gt;&lt;/data&gt;</vt:lpwstr>
  </property>
</Properties>
</file>