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EB0C8" w14:textId="77777777" w:rsidR="005834ED" w:rsidRDefault="00E757E7">
      <w:pPr>
        <w:jc w:val="both"/>
        <w:rPr>
          <w:b/>
          <w:sz w:val="22"/>
          <w:szCs w:val="22"/>
        </w:rPr>
      </w:pPr>
      <w:r>
        <w:rPr>
          <w:b/>
          <w:sz w:val="22"/>
          <w:szCs w:val="22"/>
        </w:rPr>
        <w:t>Supplemental Material</w:t>
      </w:r>
    </w:p>
    <w:p w14:paraId="3D40EB8E" w14:textId="77777777" w:rsidR="005834ED" w:rsidRDefault="005834ED">
      <w:pPr>
        <w:jc w:val="both"/>
        <w:rPr>
          <w:b/>
          <w:sz w:val="22"/>
          <w:szCs w:val="22"/>
        </w:rPr>
      </w:pPr>
    </w:p>
    <w:p w14:paraId="7E998D02" w14:textId="77777777" w:rsidR="005834ED" w:rsidRDefault="00E757E7">
      <w:pPr>
        <w:spacing w:before="120" w:line="240" w:lineRule="auto"/>
        <w:jc w:val="both"/>
        <w:rPr>
          <w:sz w:val="28"/>
          <w:szCs w:val="28"/>
        </w:rPr>
      </w:pPr>
      <w:r>
        <w:rPr>
          <w:b/>
          <w:sz w:val="28"/>
          <w:szCs w:val="28"/>
        </w:rPr>
        <w:t xml:space="preserve">Evidence of widespread, independent sequence signature for transcription factor </w:t>
      </w:r>
      <w:proofErr w:type="spellStart"/>
      <w:r>
        <w:rPr>
          <w:b/>
          <w:sz w:val="28"/>
          <w:szCs w:val="28"/>
        </w:rPr>
        <w:t>cobinding</w:t>
      </w:r>
      <w:proofErr w:type="spellEnd"/>
    </w:p>
    <w:p w14:paraId="63C3918A" w14:textId="77777777" w:rsidR="005834ED" w:rsidRDefault="005834ED">
      <w:pPr>
        <w:jc w:val="both"/>
        <w:rPr>
          <w:b/>
          <w:sz w:val="28"/>
          <w:szCs w:val="28"/>
        </w:rPr>
      </w:pPr>
    </w:p>
    <w:p w14:paraId="60B3593C" w14:textId="77777777" w:rsidR="005834ED" w:rsidRDefault="005834ED">
      <w:pPr>
        <w:jc w:val="both"/>
        <w:rPr>
          <w:sz w:val="22"/>
          <w:szCs w:val="22"/>
        </w:rPr>
      </w:pPr>
    </w:p>
    <w:p w14:paraId="5B734789" w14:textId="77777777" w:rsidR="005834ED" w:rsidRDefault="00E757E7">
      <w:pPr>
        <w:spacing w:before="120" w:line="240" w:lineRule="auto"/>
        <w:jc w:val="both"/>
        <w:rPr>
          <w:sz w:val="22"/>
          <w:szCs w:val="22"/>
        </w:rPr>
      </w:pPr>
      <w:proofErr w:type="spellStart"/>
      <w:r>
        <w:rPr>
          <w:sz w:val="22"/>
          <w:szCs w:val="22"/>
        </w:rPr>
        <w:t>Manqi</w:t>
      </w:r>
      <w:proofErr w:type="spellEnd"/>
      <w:r>
        <w:rPr>
          <w:sz w:val="22"/>
          <w:szCs w:val="22"/>
        </w:rPr>
        <w:t xml:space="preserve"> Zhou</w:t>
      </w:r>
      <w:r>
        <w:rPr>
          <w:sz w:val="22"/>
          <w:szCs w:val="22"/>
          <w:vertAlign w:val="superscript"/>
        </w:rPr>
        <w:t>1,+</w:t>
      </w:r>
      <w:r>
        <w:rPr>
          <w:sz w:val="22"/>
          <w:szCs w:val="22"/>
        </w:rPr>
        <w:t xml:space="preserve">, </w:t>
      </w:r>
      <w:proofErr w:type="spellStart"/>
      <w:r>
        <w:rPr>
          <w:sz w:val="22"/>
          <w:szCs w:val="22"/>
        </w:rPr>
        <w:t>Hongyang</w:t>
      </w:r>
      <w:proofErr w:type="spellEnd"/>
      <w:r>
        <w:rPr>
          <w:sz w:val="22"/>
          <w:szCs w:val="22"/>
        </w:rPr>
        <w:t xml:space="preserve"> Li</w:t>
      </w:r>
      <w:r>
        <w:rPr>
          <w:sz w:val="22"/>
          <w:szCs w:val="22"/>
          <w:vertAlign w:val="superscript"/>
        </w:rPr>
        <w:t>1,+</w:t>
      </w:r>
      <w:r>
        <w:rPr>
          <w:sz w:val="22"/>
          <w:szCs w:val="22"/>
        </w:rPr>
        <w:t xml:space="preserve">, </w:t>
      </w:r>
      <w:proofErr w:type="spellStart"/>
      <w:r>
        <w:rPr>
          <w:sz w:val="22"/>
          <w:szCs w:val="22"/>
        </w:rPr>
        <w:t>Xueqing</w:t>
      </w:r>
      <w:proofErr w:type="spellEnd"/>
      <w:r>
        <w:rPr>
          <w:sz w:val="22"/>
          <w:szCs w:val="22"/>
        </w:rPr>
        <w:t xml:space="preserve"> Wang</w:t>
      </w:r>
      <w:r>
        <w:rPr>
          <w:sz w:val="22"/>
          <w:szCs w:val="22"/>
          <w:vertAlign w:val="superscript"/>
        </w:rPr>
        <w:t>1</w:t>
      </w:r>
      <w:r>
        <w:rPr>
          <w:sz w:val="22"/>
          <w:szCs w:val="22"/>
        </w:rPr>
        <w:t xml:space="preserve">, </w:t>
      </w:r>
      <w:proofErr w:type="spellStart"/>
      <w:r>
        <w:rPr>
          <w:sz w:val="22"/>
          <w:szCs w:val="22"/>
        </w:rPr>
        <w:t>Yuanfang</w:t>
      </w:r>
      <w:proofErr w:type="spellEnd"/>
      <w:r>
        <w:rPr>
          <w:sz w:val="22"/>
          <w:szCs w:val="22"/>
        </w:rPr>
        <w:t xml:space="preserve"> Guan</w:t>
      </w:r>
      <w:r>
        <w:rPr>
          <w:sz w:val="22"/>
          <w:szCs w:val="22"/>
          <w:vertAlign w:val="superscript"/>
        </w:rPr>
        <w:t>1,*</w:t>
      </w:r>
    </w:p>
    <w:p w14:paraId="708C2C75" w14:textId="77777777" w:rsidR="005834ED" w:rsidRDefault="005834ED">
      <w:pPr>
        <w:spacing w:before="120" w:line="240" w:lineRule="auto"/>
        <w:jc w:val="both"/>
        <w:rPr>
          <w:sz w:val="22"/>
          <w:szCs w:val="22"/>
          <w:highlight w:val="white"/>
        </w:rPr>
      </w:pPr>
    </w:p>
    <w:p w14:paraId="4C926E9A" w14:textId="77777777" w:rsidR="005834ED" w:rsidRDefault="00E757E7">
      <w:pPr>
        <w:spacing w:before="120" w:line="240" w:lineRule="auto"/>
        <w:jc w:val="both"/>
        <w:rPr>
          <w:sz w:val="22"/>
          <w:szCs w:val="22"/>
        </w:rPr>
      </w:pPr>
      <w:r>
        <w:rPr>
          <w:sz w:val="22"/>
          <w:szCs w:val="22"/>
        </w:rPr>
        <w:t>1. Department of Computational Medicine and Bioinformatics, University of Michigan, 100 Washtenaw Avenue, Ann Arbor, MI 48109, USA</w:t>
      </w:r>
    </w:p>
    <w:p w14:paraId="28A9EB94" w14:textId="77777777" w:rsidR="005834ED" w:rsidRDefault="005834ED">
      <w:pPr>
        <w:spacing w:before="120" w:line="240" w:lineRule="auto"/>
        <w:jc w:val="both"/>
        <w:rPr>
          <w:sz w:val="22"/>
          <w:szCs w:val="22"/>
        </w:rPr>
      </w:pPr>
    </w:p>
    <w:p w14:paraId="19BF5A3F" w14:textId="77777777" w:rsidR="005834ED" w:rsidRDefault="00E757E7">
      <w:pPr>
        <w:spacing w:before="120" w:line="240" w:lineRule="auto"/>
        <w:jc w:val="both"/>
        <w:rPr>
          <w:sz w:val="22"/>
          <w:szCs w:val="22"/>
        </w:rPr>
      </w:pPr>
      <w:r>
        <w:rPr>
          <w:sz w:val="22"/>
          <w:szCs w:val="22"/>
        </w:rPr>
        <w:t>+ These authors contributed the same to this work.</w:t>
      </w:r>
    </w:p>
    <w:p w14:paraId="5CF5CF51" w14:textId="77777777" w:rsidR="005834ED" w:rsidRDefault="00E757E7">
      <w:pPr>
        <w:spacing w:before="120" w:line="240" w:lineRule="auto"/>
        <w:jc w:val="both"/>
        <w:rPr>
          <w:b/>
          <w:sz w:val="22"/>
          <w:szCs w:val="22"/>
        </w:rPr>
      </w:pPr>
      <w:r>
        <w:rPr>
          <w:sz w:val="22"/>
          <w:szCs w:val="22"/>
        </w:rPr>
        <w:t>* Contact: gyuanfan@umich.edu</w:t>
      </w:r>
    </w:p>
    <w:p w14:paraId="5D1F4B9D" w14:textId="77777777" w:rsidR="005834ED" w:rsidRDefault="005834ED">
      <w:pPr>
        <w:jc w:val="both"/>
        <w:rPr>
          <w:sz w:val="22"/>
          <w:szCs w:val="22"/>
        </w:rPr>
      </w:pPr>
    </w:p>
    <w:p w14:paraId="14A4A32D" w14:textId="77777777" w:rsidR="005834ED" w:rsidRDefault="00E757E7">
      <w:pPr>
        <w:jc w:val="both"/>
        <w:rPr>
          <w:b/>
          <w:sz w:val="22"/>
          <w:szCs w:val="22"/>
        </w:rPr>
      </w:pPr>
      <w:r>
        <w:rPr>
          <w:b/>
          <w:sz w:val="22"/>
          <w:szCs w:val="22"/>
        </w:rPr>
        <w:t>Contents</w:t>
      </w:r>
    </w:p>
    <w:p w14:paraId="0B14A05C" w14:textId="77777777" w:rsidR="005834ED" w:rsidRDefault="00E757E7">
      <w:pPr>
        <w:rPr>
          <w:b/>
          <w:sz w:val="22"/>
          <w:szCs w:val="22"/>
        </w:rPr>
      </w:pPr>
      <w:r>
        <w:rPr>
          <w:b/>
          <w:sz w:val="22"/>
          <w:szCs w:val="22"/>
        </w:rPr>
        <w:t>Supplemental Figures</w:t>
      </w:r>
    </w:p>
    <w:p w14:paraId="3158A6F0" w14:textId="77777777" w:rsidR="005834ED" w:rsidRDefault="00E757E7">
      <w:pPr>
        <w:jc w:val="both"/>
        <w:rPr>
          <w:b/>
          <w:sz w:val="22"/>
          <w:szCs w:val="22"/>
        </w:rPr>
      </w:pPr>
      <w:r>
        <w:rPr>
          <w:b/>
          <w:sz w:val="22"/>
          <w:szCs w:val="22"/>
        </w:rPr>
        <w:t>Supplemental</w:t>
      </w:r>
      <w:r>
        <w:rPr>
          <w:b/>
          <w:sz w:val="22"/>
          <w:szCs w:val="22"/>
        </w:rPr>
        <w:t xml:space="preserve"> Fig</w:t>
      </w:r>
      <w:r>
        <w:rPr>
          <w:b/>
          <w:sz w:val="22"/>
          <w:szCs w:val="22"/>
        </w:rPr>
        <w:t>ure</w:t>
      </w:r>
      <w:r>
        <w:rPr>
          <w:b/>
          <w:sz w:val="22"/>
          <w:szCs w:val="22"/>
        </w:rPr>
        <w:t xml:space="preserve"> S1 </w:t>
      </w:r>
      <w:r>
        <w:rPr>
          <w:sz w:val="22"/>
          <w:szCs w:val="22"/>
        </w:rPr>
        <w:t>…..………………………………….…………………………………... 1</w:t>
      </w:r>
    </w:p>
    <w:p w14:paraId="310923E6" w14:textId="77777777" w:rsidR="005834ED" w:rsidRDefault="00E757E7">
      <w:pPr>
        <w:jc w:val="both"/>
        <w:rPr>
          <w:b/>
          <w:sz w:val="22"/>
          <w:szCs w:val="22"/>
        </w:rPr>
      </w:pPr>
      <w:r>
        <w:rPr>
          <w:b/>
          <w:sz w:val="22"/>
          <w:szCs w:val="22"/>
        </w:rPr>
        <w:t>Supplemental Fig</w:t>
      </w:r>
      <w:r>
        <w:rPr>
          <w:b/>
          <w:sz w:val="22"/>
          <w:szCs w:val="22"/>
        </w:rPr>
        <w:t>ure</w:t>
      </w:r>
      <w:r>
        <w:rPr>
          <w:b/>
          <w:sz w:val="22"/>
          <w:szCs w:val="22"/>
        </w:rPr>
        <w:t xml:space="preserve"> S2 </w:t>
      </w:r>
      <w:r>
        <w:rPr>
          <w:sz w:val="22"/>
          <w:szCs w:val="22"/>
        </w:rPr>
        <w:t>…..……………………………….……………………………………... 2</w:t>
      </w:r>
    </w:p>
    <w:p w14:paraId="46B2F8CF" w14:textId="77777777" w:rsidR="005834ED" w:rsidRDefault="00E757E7">
      <w:pPr>
        <w:jc w:val="both"/>
        <w:rPr>
          <w:b/>
          <w:sz w:val="22"/>
          <w:szCs w:val="22"/>
        </w:rPr>
      </w:pPr>
      <w:r>
        <w:rPr>
          <w:b/>
          <w:sz w:val="22"/>
          <w:szCs w:val="22"/>
        </w:rPr>
        <w:t>Supplemental Fig</w:t>
      </w:r>
      <w:r>
        <w:rPr>
          <w:b/>
          <w:sz w:val="22"/>
          <w:szCs w:val="22"/>
        </w:rPr>
        <w:t>ure</w:t>
      </w:r>
      <w:r>
        <w:rPr>
          <w:b/>
          <w:sz w:val="22"/>
          <w:szCs w:val="22"/>
        </w:rPr>
        <w:t xml:space="preserve"> S3 </w:t>
      </w:r>
      <w:r>
        <w:rPr>
          <w:sz w:val="22"/>
          <w:szCs w:val="22"/>
        </w:rPr>
        <w:t xml:space="preserve">…..…………………………….………………………………………... </w:t>
      </w:r>
      <w:r>
        <w:rPr>
          <w:sz w:val="22"/>
          <w:szCs w:val="22"/>
        </w:rPr>
        <w:t>3</w:t>
      </w:r>
    </w:p>
    <w:p w14:paraId="5AFFF743" w14:textId="77777777" w:rsidR="005834ED" w:rsidRDefault="00E757E7">
      <w:pPr>
        <w:jc w:val="both"/>
        <w:rPr>
          <w:b/>
          <w:sz w:val="22"/>
          <w:szCs w:val="22"/>
        </w:rPr>
      </w:pPr>
      <w:r>
        <w:rPr>
          <w:b/>
          <w:sz w:val="22"/>
          <w:szCs w:val="22"/>
        </w:rPr>
        <w:t>Supplemental Fig</w:t>
      </w:r>
      <w:r>
        <w:rPr>
          <w:b/>
          <w:sz w:val="22"/>
          <w:szCs w:val="22"/>
        </w:rPr>
        <w:t>ure</w:t>
      </w:r>
      <w:r>
        <w:rPr>
          <w:b/>
          <w:sz w:val="22"/>
          <w:szCs w:val="22"/>
        </w:rPr>
        <w:t xml:space="preserve"> S4 </w:t>
      </w:r>
      <w:r>
        <w:rPr>
          <w:sz w:val="22"/>
          <w:szCs w:val="22"/>
        </w:rPr>
        <w:t xml:space="preserve">…..……………………………….……………………..………………. </w:t>
      </w:r>
      <w:r>
        <w:rPr>
          <w:sz w:val="22"/>
          <w:szCs w:val="22"/>
        </w:rPr>
        <w:t>4</w:t>
      </w:r>
    </w:p>
    <w:p w14:paraId="28BDABEB" w14:textId="77777777" w:rsidR="005834ED" w:rsidRDefault="00E757E7">
      <w:pPr>
        <w:jc w:val="both"/>
        <w:rPr>
          <w:b/>
          <w:sz w:val="22"/>
          <w:szCs w:val="22"/>
        </w:rPr>
      </w:pPr>
      <w:r>
        <w:rPr>
          <w:b/>
          <w:sz w:val="22"/>
          <w:szCs w:val="22"/>
        </w:rPr>
        <w:t>Supplemental Fig</w:t>
      </w:r>
      <w:r>
        <w:rPr>
          <w:b/>
          <w:sz w:val="22"/>
          <w:szCs w:val="22"/>
        </w:rPr>
        <w:t>ure</w:t>
      </w:r>
      <w:r>
        <w:rPr>
          <w:b/>
          <w:sz w:val="22"/>
          <w:szCs w:val="22"/>
        </w:rPr>
        <w:t xml:space="preserve"> S5 </w:t>
      </w:r>
      <w:r>
        <w:rPr>
          <w:sz w:val="22"/>
          <w:szCs w:val="22"/>
        </w:rPr>
        <w:t>…..………………</w:t>
      </w:r>
      <w:r>
        <w:rPr>
          <w:sz w:val="22"/>
          <w:szCs w:val="22"/>
        </w:rPr>
        <w:t xml:space="preserve">…………………………………….………………... </w:t>
      </w:r>
      <w:r>
        <w:rPr>
          <w:sz w:val="22"/>
          <w:szCs w:val="22"/>
        </w:rPr>
        <w:t>5</w:t>
      </w:r>
    </w:p>
    <w:p w14:paraId="0F792367" w14:textId="77777777" w:rsidR="005834ED" w:rsidRDefault="00E757E7">
      <w:pPr>
        <w:jc w:val="both"/>
        <w:rPr>
          <w:b/>
          <w:sz w:val="22"/>
          <w:szCs w:val="22"/>
        </w:rPr>
      </w:pPr>
      <w:r>
        <w:rPr>
          <w:b/>
          <w:sz w:val="22"/>
          <w:szCs w:val="22"/>
        </w:rPr>
        <w:t>Supplemental Fig</w:t>
      </w:r>
      <w:r>
        <w:rPr>
          <w:b/>
          <w:sz w:val="22"/>
          <w:szCs w:val="22"/>
        </w:rPr>
        <w:t>ure</w:t>
      </w:r>
      <w:r>
        <w:rPr>
          <w:b/>
          <w:sz w:val="22"/>
          <w:szCs w:val="22"/>
        </w:rPr>
        <w:t xml:space="preserve"> S6 </w:t>
      </w:r>
      <w:r>
        <w:rPr>
          <w:sz w:val="22"/>
          <w:szCs w:val="22"/>
        </w:rPr>
        <w:t xml:space="preserve">…..………………………………………………..…………………….. </w:t>
      </w:r>
      <w:r>
        <w:rPr>
          <w:sz w:val="22"/>
          <w:szCs w:val="22"/>
        </w:rPr>
        <w:t>6</w:t>
      </w:r>
    </w:p>
    <w:p w14:paraId="354FCF68" w14:textId="77777777" w:rsidR="005834ED" w:rsidRDefault="00E757E7">
      <w:pPr>
        <w:jc w:val="both"/>
        <w:rPr>
          <w:b/>
          <w:sz w:val="22"/>
          <w:szCs w:val="22"/>
        </w:rPr>
      </w:pPr>
      <w:r>
        <w:rPr>
          <w:b/>
          <w:sz w:val="22"/>
          <w:szCs w:val="22"/>
        </w:rPr>
        <w:t>Supplemental Fig</w:t>
      </w:r>
      <w:r>
        <w:rPr>
          <w:b/>
          <w:sz w:val="22"/>
          <w:szCs w:val="22"/>
        </w:rPr>
        <w:t>ure</w:t>
      </w:r>
      <w:r>
        <w:rPr>
          <w:b/>
          <w:sz w:val="22"/>
          <w:szCs w:val="22"/>
        </w:rPr>
        <w:t xml:space="preserve"> S7 </w:t>
      </w:r>
      <w:r>
        <w:rPr>
          <w:sz w:val="22"/>
          <w:szCs w:val="22"/>
        </w:rPr>
        <w:t xml:space="preserve">…..………………………………………………..…………………….. </w:t>
      </w:r>
      <w:r>
        <w:rPr>
          <w:sz w:val="22"/>
          <w:szCs w:val="22"/>
        </w:rPr>
        <w:t>7</w:t>
      </w:r>
    </w:p>
    <w:p w14:paraId="51D489F8" w14:textId="77777777" w:rsidR="005834ED" w:rsidRDefault="00E757E7">
      <w:pPr>
        <w:jc w:val="both"/>
        <w:rPr>
          <w:b/>
          <w:sz w:val="22"/>
          <w:szCs w:val="22"/>
        </w:rPr>
      </w:pPr>
      <w:r>
        <w:rPr>
          <w:b/>
          <w:sz w:val="22"/>
          <w:szCs w:val="22"/>
        </w:rPr>
        <w:t>Supplemental Fig</w:t>
      </w:r>
      <w:r>
        <w:rPr>
          <w:b/>
          <w:sz w:val="22"/>
          <w:szCs w:val="22"/>
        </w:rPr>
        <w:t>ure</w:t>
      </w:r>
      <w:r>
        <w:rPr>
          <w:b/>
          <w:sz w:val="22"/>
          <w:szCs w:val="22"/>
        </w:rPr>
        <w:t xml:space="preserve"> S8 </w:t>
      </w:r>
      <w:r>
        <w:rPr>
          <w:sz w:val="22"/>
          <w:szCs w:val="22"/>
        </w:rPr>
        <w:t xml:space="preserve">…..………………………………………………..…………………….. </w:t>
      </w:r>
      <w:r>
        <w:rPr>
          <w:sz w:val="22"/>
          <w:szCs w:val="22"/>
        </w:rPr>
        <w:t>8</w:t>
      </w:r>
    </w:p>
    <w:p w14:paraId="61BDC9FB" w14:textId="77777777" w:rsidR="005834ED" w:rsidRDefault="00E757E7">
      <w:pPr>
        <w:jc w:val="both"/>
        <w:rPr>
          <w:b/>
          <w:sz w:val="22"/>
          <w:szCs w:val="22"/>
        </w:rPr>
      </w:pPr>
      <w:r>
        <w:rPr>
          <w:b/>
          <w:sz w:val="22"/>
          <w:szCs w:val="22"/>
        </w:rPr>
        <w:t>Supplemental Fig</w:t>
      </w:r>
      <w:r>
        <w:rPr>
          <w:b/>
          <w:sz w:val="22"/>
          <w:szCs w:val="22"/>
        </w:rPr>
        <w:t>ure</w:t>
      </w:r>
      <w:r>
        <w:rPr>
          <w:b/>
          <w:sz w:val="22"/>
          <w:szCs w:val="22"/>
        </w:rPr>
        <w:t xml:space="preserve"> S9 </w:t>
      </w:r>
      <w:r>
        <w:rPr>
          <w:sz w:val="22"/>
          <w:szCs w:val="22"/>
        </w:rPr>
        <w:t xml:space="preserve">…..…………………………………………………….……………..…. </w:t>
      </w:r>
      <w:r>
        <w:rPr>
          <w:sz w:val="22"/>
          <w:szCs w:val="22"/>
        </w:rPr>
        <w:t>9</w:t>
      </w:r>
    </w:p>
    <w:p w14:paraId="48FA88AF" w14:textId="77777777" w:rsidR="005834ED" w:rsidRDefault="00E757E7">
      <w:pPr>
        <w:jc w:val="both"/>
        <w:rPr>
          <w:sz w:val="22"/>
          <w:szCs w:val="22"/>
        </w:rPr>
      </w:pPr>
      <w:r>
        <w:rPr>
          <w:b/>
          <w:sz w:val="22"/>
          <w:szCs w:val="22"/>
        </w:rPr>
        <w:t xml:space="preserve">Supplemental Figure S10 </w:t>
      </w:r>
      <w:r>
        <w:rPr>
          <w:sz w:val="22"/>
          <w:szCs w:val="22"/>
        </w:rPr>
        <w:t>…..…………………………………………………………………..…. 10</w:t>
      </w:r>
    </w:p>
    <w:p w14:paraId="4E5A8DFF" w14:textId="77777777" w:rsidR="005834ED" w:rsidRDefault="00E757E7">
      <w:pPr>
        <w:jc w:val="both"/>
        <w:rPr>
          <w:sz w:val="22"/>
          <w:szCs w:val="22"/>
        </w:rPr>
      </w:pPr>
      <w:r>
        <w:rPr>
          <w:b/>
          <w:sz w:val="22"/>
          <w:szCs w:val="22"/>
        </w:rPr>
        <w:t xml:space="preserve">Supplemental Figure S11 </w:t>
      </w:r>
      <w:r>
        <w:rPr>
          <w:sz w:val="22"/>
          <w:szCs w:val="22"/>
        </w:rPr>
        <w:t>…..…………………………………………………………………..…. 11</w:t>
      </w:r>
    </w:p>
    <w:p w14:paraId="0306431C" w14:textId="77777777" w:rsidR="005834ED" w:rsidRDefault="00E757E7">
      <w:pPr>
        <w:jc w:val="both"/>
        <w:rPr>
          <w:sz w:val="22"/>
          <w:szCs w:val="22"/>
        </w:rPr>
      </w:pPr>
      <w:r>
        <w:rPr>
          <w:b/>
          <w:sz w:val="22"/>
          <w:szCs w:val="22"/>
        </w:rPr>
        <w:t xml:space="preserve">Supplemental Figure S12 </w:t>
      </w:r>
      <w:r>
        <w:rPr>
          <w:sz w:val="22"/>
          <w:szCs w:val="22"/>
        </w:rPr>
        <w:t>…..…………………………………………………………………..…. 12</w:t>
      </w:r>
    </w:p>
    <w:p w14:paraId="224949FD" w14:textId="77777777" w:rsidR="005834ED" w:rsidRDefault="00E757E7">
      <w:pPr>
        <w:jc w:val="both"/>
        <w:rPr>
          <w:sz w:val="22"/>
          <w:szCs w:val="22"/>
        </w:rPr>
      </w:pPr>
      <w:r>
        <w:rPr>
          <w:b/>
          <w:sz w:val="22"/>
          <w:szCs w:val="22"/>
        </w:rPr>
        <w:t xml:space="preserve">Supplemental Figure S13 </w:t>
      </w:r>
      <w:r>
        <w:rPr>
          <w:sz w:val="22"/>
          <w:szCs w:val="22"/>
        </w:rPr>
        <w:t>…..…………………………………</w:t>
      </w:r>
      <w:r>
        <w:rPr>
          <w:sz w:val="22"/>
          <w:szCs w:val="22"/>
        </w:rPr>
        <w:t>………………………………..…. 13</w:t>
      </w:r>
    </w:p>
    <w:p w14:paraId="70A826F5" w14:textId="77777777" w:rsidR="005834ED" w:rsidRDefault="00E757E7">
      <w:pPr>
        <w:jc w:val="both"/>
        <w:rPr>
          <w:sz w:val="22"/>
          <w:szCs w:val="22"/>
        </w:rPr>
      </w:pPr>
      <w:r>
        <w:rPr>
          <w:b/>
          <w:sz w:val="22"/>
          <w:szCs w:val="22"/>
        </w:rPr>
        <w:t xml:space="preserve">Supplemental Figure S14 </w:t>
      </w:r>
      <w:r>
        <w:rPr>
          <w:sz w:val="22"/>
          <w:szCs w:val="22"/>
        </w:rPr>
        <w:t>…..…………………………………………………………………..…. 14</w:t>
      </w:r>
    </w:p>
    <w:p w14:paraId="7DEB70BF" w14:textId="77777777" w:rsidR="005834ED" w:rsidRDefault="00E757E7">
      <w:pPr>
        <w:jc w:val="both"/>
        <w:rPr>
          <w:sz w:val="22"/>
          <w:szCs w:val="22"/>
        </w:rPr>
      </w:pPr>
      <w:r>
        <w:rPr>
          <w:b/>
          <w:sz w:val="22"/>
          <w:szCs w:val="22"/>
        </w:rPr>
        <w:t xml:space="preserve">Supplemental Figure S15 </w:t>
      </w:r>
      <w:r>
        <w:rPr>
          <w:sz w:val="22"/>
          <w:szCs w:val="22"/>
        </w:rPr>
        <w:t>…..…………………………………………………………………..…. 15</w:t>
      </w:r>
    </w:p>
    <w:p w14:paraId="4C515762" w14:textId="77777777" w:rsidR="005834ED" w:rsidRDefault="00E757E7">
      <w:pPr>
        <w:jc w:val="both"/>
        <w:rPr>
          <w:sz w:val="22"/>
          <w:szCs w:val="22"/>
        </w:rPr>
      </w:pPr>
      <w:r>
        <w:rPr>
          <w:b/>
          <w:sz w:val="22"/>
          <w:szCs w:val="22"/>
        </w:rPr>
        <w:t xml:space="preserve">Supplemental Figure S16 </w:t>
      </w:r>
      <w:r>
        <w:rPr>
          <w:sz w:val="22"/>
          <w:szCs w:val="22"/>
        </w:rPr>
        <w:t>…..…………………………………………………………………..…. 16</w:t>
      </w:r>
    </w:p>
    <w:p w14:paraId="67921826" w14:textId="77777777" w:rsidR="005834ED" w:rsidRDefault="00E757E7">
      <w:pPr>
        <w:jc w:val="both"/>
        <w:rPr>
          <w:sz w:val="22"/>
          <w:szCs w:val="22"/>
        </w:rPr>
      </w:pPr>
      <w:r>
        <w:rPr>
          <w:b/>
          <w:sz w:val="22"/>
          <w:szCs w:val="22"/>
        </w:rPr>
        <w:t xml:space="preserve">Supplemental Figure S17 </w:t>
      </w:r>
      <w:r>
        <w:rPr>
          <w:sz w:val="22"/>
          <w:szCs w:val="22"/>
        </w:rPr>
        <w:t>…..…………………………………………………………………..…. 17</w:t>
      </w:r>
    </w:p>
    <w:p w14:paraId="6AB569EE" w14:textId="77777777" w:rsidR="005834ED" w:rsidRDefault="00E757E7">
      <w:pPr>
        <w:jc w:val="both"/>
        <w:rPr>
          <w:sz w:val="22"/>
          <w:szCs w:val="22"/>
        </w:rPr>
      </w:pPr>
      <w:r>
        <w:rPr>
          <w:b/>
          <w:sz w:val="22"/>
          <w:szCs w:val="22"/>
        </w:rPr>
        <w:t xml:space="preserve">Supplemental Figure S18 </w:t>
      </w:r>
      <w:r>
        <w:rPr>
          <w:sz w:val="22"/>
          <w:szCs w:val="22"/>
        </w:rPr>
        <w:t>…..…………………………………………………………………..…. 18</w:t>
      </w:r>
    </w:p>
    <w:p w14:paraId="4CADC087" w14:textId="77777777" w:rsidR="005834ED" w:rsidRDefault="00E757E7">
      <w:pPr>
        <w:jc w:val="both"/>
        <w:rPr>
          <w:sz w:val="22"/>
          <w:szCs w:val="22"/>
        </w:rPr>
      </w:pPr>
      <w:r>
        <w:rPr>
          <w:b/>
          <w:sz w:val="22"/>
          <w:szCs w:val="22"/>
        </w:rPr>
        <w:t xml:space="preserve">Supplemental Figure S19 </w:t>
      </w:r>
      <w:r>
        <w:rPr>
          <w:sz w:val="22"/>
          <w:szCs w:val="22"/>
        </w:rPr>
        <w:t>…..…………………………………………………………………..…. 19</w:t>
      </w:r>
    </w:p>
    <w:p w14:paraId="40BFD88E" w14:textId="77777777" w:rsidR="005834ED" w:rsidRDefault="00E757E7">
      <w:pPr>
        <w:jc w:val="both"/>
        <w:rPr>
          <w:b/>
          <w:sz w:val="22"/>
          <w:szCs w:val="22"/>
        </w:rPr>
      </w:pPr>
      <w:r>
        <w:rPr>
          <w:b/>
          <w:sz w:val="22"/>
          <w:szCs w:val="22"/>
        </w:rPr>
        <w:t>Supplemental Table Legends</w:t>
      </w:r>
      <w:r>
        <w:rPr>
          <w:sz w:val="22"/>
          <w:szCs w:val="22"/>
        </w:rPr>
        <w:t>….………………………………………………………………..…. 21</w:t>
      </w:r>
    </w:p>
    <w:p w14:paraId="1AE38D70" w14:textId="77777777" w:rsidR="005834ED" w:rsidRDefault="00E757E7">
      <w:pPr>
        <w:jc w:val="both"/>
        <w:rPr>
          <w:b/>
          <w:sz w:val="22"/>
          <w:szCs w:val="22"/>
        </w:rPr>
      </w:pPr>
      <w:r>
        <w:rPr>
          <w:b/>
          <w:sz w:val="22"/>
          <w:szCs w:val="22"/>
        </w:rPr>
        <w:t>The source code</w:t>
      </w:r>
      <w:r>
        <w:rPr>
          <w:sz w:val="22"/>
          <w:szCs w:val="22"/>
        </w:rPr>
        <w:t>….………………………………..………………………</w:t>
      </w:r>
      <w:r>
        <w:rPr>
          <w:sz w:val="22"/>
          <w:szCs w:val="22"/>
        </w:rPr>
        <w:t>……………………..…. 22</w:t>
      </w:r>
    </w:p>
    <w:p w14:paraId="26B5D0F7" w14:textId="77777777" w:rsidR="005834ED" w:rsidRDefault="005834ED">
      <w:pPr>
        <w:jc w:val="both"/>
        <w:rPr>
          <w:b/>
          <w:sz w:val="22"/>
          <w:szCs w:val="22"/>
        </w:rPr>
      </w:pPr>
    </w:p>
    <w:p w14:paraId="281E4DF4" w14:textId="77777777" w:rsidR="005834ED" w:rsidRDefault="005834ED">
      <w:pPr>
        <w:rPr>
          <w:sz w:val="22"/>
          <w:szCs w:val="22"/>
        </w:rPr>
      </w:pPr>
    </w:p>
    <w:p w14:paraId="2DA1424A" w14:textId="77777777" w:rsidR="005834ED" w:rsidRDefault="005834ED">
      <w:pPr>
        <w:rPr>
          <w:sz w:val="22"/>
          <w:szCs w:val="22"/>
        </w:rPr>
      </w:pPr>
    </w:p>
    <w:p w14:paraId="1E78D0A6" w14:textId="77777777" w:rsidR="005834ED" w:rsidRDefault="005834ED">
      <w:pPr>
        <w:rPr>
          <w:sz w:val="22"/>
          <w:szCs w:val="22"/>
        </w:rPr>
      </w:pPr>
    </w:p>
    <w:p w14:paraId="1BE939E3" w14:textId="77777777" w:rsidR="005834ED" w:rsidRDefault="00E757E7">
      <w:pPr>
        <w:pStyle w:val="Heading3"/>
        <w:rPr>
          <w:sz w:val="22"/>
          <w:szCs w:val="22"/>
        </w:rPr>
      </w:pPr>
      <w:bookmarkStart w:id="0" w:name="_fs0qrnfqf61t" w:colFirst="0" w:colLast="0"/>
      <w:bookmarkEnd w:id="0"/>
      <w:r>
        <w:rPr>
          <w:noProof/>
          <w:sz w:val="22"/>
          <w:szCs w:val="22"/>
          <w:lang w:val="en-US"/>
        </w:rPr>
        <w:lastRenderedPageBreak/>
        <w:drawing>
          <wp:inline distT="114300" distB="114300" distL="114300" distR="114300" wp14:anchorId="0DCE3AF9" wp14:editId="3BB91496">
            <wp:extent cx="5943600" cy="49022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5943600" cy="4902200"/>
                    </a:xfrm>
                    <a:prstGeom prst="rect">
                      <a:avLst/>
                    </a:prstGeom>
                    <a:ln/>
                  </pic:spPr>
                </pic:pic>
              </a:graphicData>
            </a:graphic>
          </wp:inline>
        </w:drawing>
      </w:r>
    </w:p>
    <w:p w14:paraId="5D5E7B2D" w14:textId="77777777" w:rsidR="005834ED" w:rsidRDefault="00E757E7">
      <w:pPr>
        <w:pStyle w:val="Heading3"/>
        <w:jc w:val="both"/>
        <w:rPr>
          <w:sz w:val="22"/>
          <w:szCs w:val="22"/>
        </w:rPr>
      </w:pPr>
      <w:bookmarkStart w:id="1" w:name="_j8l6adosug9m" w:colFirst="0" w:colLast="0"/>
      <w:bookmarkEnd w:id="1"/>
      <w:r>
        <w:rPr>
          <w:b/>
          <w:sz w:val="22"/>
          <w:szCs w:val="22"/>
        </w:rPr>
        <w:t>Figure S1.</w:t>
      </w:r>
      <w:r>
        <w:rPr>
          <w:sz w:val="22"/>
          <w:szCs w:val="22"/>
        </w:rPr>
        <w:t xml:space="preserve"> SHAP analysis of three types features and values are taking absolute values and rescaled by the maximal value for each TF pair-cell line combination. After training the model we can get a 526x56 matrix containing SHAP value</w:t>
      </w:r>
      <w:r>
        <w:rPr>
          <w:sz w:val="22"/>
          <w:szCs w:val="22"/>
        </w:rPr>
        <w:t>s for 526 features and 56 TF pairs. We took absolute values of the SHAP matrix to represent their feature importance. The plots are the relative slices for different features. (A-F) DNase-based feature. In each pair, values were rescaled to 0-1 among all p</w:t>
      </w:r>
      <w:r>
        <w:rPr>
          <w:sz w:val="22"/>
          <w:szCs w:val="22"/>
        </w:rPr>
        <w:t>ositions. The reason to rescale is that the range of SHAP values differs largely in different pairs. So we rescaled values among each pair to the relative importance of each position in each pair. (G) TF motif features. The original motif feature is a 416x</w:t>
      </w:r>
      <w:r>
        <w:rPr>
          <w:sz w:val="22"/>
          <w:szCs w:val="22"/>
        </w:rPr>
        <w:t xml:space="preserve">56 matrix. We calculated means for each TF related feature to represent the contribution of TFs among all TF-TF pairs and rescaled those means within each pair. (H) distance-to-gene-based features. </w:t>
      </w:r>
    </w:p>
    <w:p w14:paraId="0CA852A7" w14:textId="77777777" w:rsidR="005834ED" w:rsidRDefault="005834ED">
      <w:pPr>
        <w:jc w:val="both"/>
        <w:rPr>
          <w:sz w:val="22"/>
          <w:szCs w:val="22"/>
        </w:rPr>
      </w:pPr>
    </w:p>
    <w:p w14:paraId="30779A53" w14:textId="77777777" w:rsidR="005834ED" w:rsidRDefault="005834ED">
      <w:pPr>
        <w:rPr>
          <w:sz w:val="22"/>
          <w:szCs w:val="22"/>
        </w:rPr>
      </w:pPr>
    </w:p>
    <w:p w14:paraId="77682AD4" w14:textId="77777777" w:rsidR="005834ED" w:rsidRDefault="00E757E7">
      <w:pPr>
        <w:rPr>
          <w:sz w:val="22"/>
          <w:szCs w:val="22"/>
        </w:rPr>
      </w:pPr>
      <w:r>
        <w:rPr>
          <w:noProof/>
          <w:sz w:val="22"/>
          <w:szCs w:val="22"/>
          <w:lang w:val="en-US"/>
        </w:rPr>
        <w:lastRenderedPageBreak/>
        <w:drawing>
          <wp:inline distT="114300" distB="114300" distL="114300" distR="114300" wp14:anchorId="465785D3" wp14:editId="26B5C67F">
            <wp:extent cx="5072063" cy="6389481"/>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072063" cy="6389481"/>
                    </a:xfrm>
                    <a:prstGeom prst="rect">
                      <a:avLst/>
                    </a:prstGeom>
                    <a:ln/>
                  </pic:spPr>
                </pic:pic>
              </a:graphicData>
            </a:graphic>
          </wp:inline>
        </w:drawing>
      </w:r>
    </w:p>
    <w:p w14:paraId="72400E8F" w14:textId="77777777" w:rsidR="005834ED" w:rsidRDefault="00E757E7">
      <w:pPr>
        <w:pStyle w:val="Heading3"/>
        <w:jc w:val="both"/>
        <w:rPr>
          <w:sz w:val="22"/>
          <w:szCs w:val="22"/>
        </w:rPr>
      </w:pPr>
      <w:bookmarkStart w:id="2" w:name="_sqpxodf8yyzo" w:colFirst="0" w:colLast="0"/>
      <w:bookmarkEnd w:id="2"/>
      <w:r>
        <w:rPr>
          <w:b/>
          <w:sz w:val="22"/>
          <w:szCs w:val="22"/>
        </w:rPr>
        <w:t xml:space="preserve">Figure S2. </w:t>
      </w:r>
      <w:r>
        <w:rPr>
          <w:sz w:val="22"/>
          <w:szCs w:val="22"/>
        </w:rPr>
        <w:t>SHAP analysis of the contribution of TF mo</w:t>
      </w:r>
      <w:r>
        <w:rPr>
          <w:sz w:val="22"/>
          <w:szCs w:val="22"/>
        </w:rPr>
        <w:t>tif features in different TF-TF pairs and values are taking absolute values and rescaled by the mean value for each TF pair-cell line combination. The 13 figures are sub-parts of Supplemental Figure 1G. The x-axis represents the 13 TF motif features, the y</w:t>
      </w:r>
      <w:r>
        <w:rPr>
          <w:sz w:val="22"/>
          <w:szCs w:val="22"/>
        </w:rPr>
        <w:t xml:space="preserve">-axis represents pairs tied to a specific TF. For example, the figure in the first row and the first column is the rows in Supplemental Figure 1G that are related to ATF3. We can find TF </w:t>
      </w:r>
      <w:proofErr w:type="spellStart"/>
      <w:r>
        <w:rPr>
          <w:sz w:val="22"/>
          <w:szCs w:val="22"/>
        </w:rPr>
        <w:t>cobinding</w:t>
      </w:r>
      <w:proofErr w:type="spellEnd"/>
      <w:r>
        <w:rPr>
          <w:sz w:val="22"/>
          <w:szCs w:val="22"/>
        </w:rPr>
        <w:t xml:space="preserve"> effectors from the figure. To find TF-specific effectors, w</w:t>
      </w:r>
      <w:r>
        <w:rPr>
          <w:sz w:val="22"/>
          <w:szCs w:val="22"/>
        </w:rPr>
        <w:t>e first calculated means of each column in one plot. Then we selected the top3 means among the 13 values. Then, we defined it as a TF-specific effector. For TF pair-specific effectors, we collected TFs that had a higher SHAP value than the two TFs themselv</w:t>
      </w:r>
      <w:r>
        <w:rPr>
          <w:sz w:val="22"/>
          <w:szCs w:val="22"/>
        </w:rPr>
        <w:t xml:space="preserve">es. </w:t>
      </w:r>
    </w:p>
    <w:p w14:paraId="1E7B746B" w14:textId="77777777" w:rsidR="005834ED" w:rsidRDefault="005834ED">
      <w:pPr>
        <w:rPr>
          <w:sz w:val="22"/>
          <w:szCs w:val="22"/>
        </w:rPr>
      </w:pPr>
    </w:p>
    <w:p w14:paraId="012DF914" w14:textId="77777777" w:rsidR="005834ED" w:rsidRDefault="00E757E7">
      <w:pPr>
        <w:jc w:val="both"/>
        <w:rPr>
          <w:sz w:val="22"/>
          <w:szCs w:val="22"/>
        </w:rPr>
      </w:pPr>
      <w:r>
        <w:rPr>
          <w:noProof/>
          <w:sz w:val="22"/>
          <w:szCs w:val="22"/>
          <w:lang w:val="en-US"/>
        </w:rPr>
        <w:lastRenderedPageBreak/>
        <w:drawing>
          <wp:inline distT="114300" distB="114300" distL="114300" distR="114300" wp14:anchorId="268CBD9F" wp14:editId="00533B2E">
            <wp:extent cx="5939755" cy="7358063"/>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424" b="424"/>
                    <a:stretch>
                      <a:fillRect/>
                    </a:stretch>
                  </pic:blipFill>
                  <pic:spPr>
                    <a:xfrm>
                      <a:off x="0" y="0"/>
                      <a:ext cx="5939755" cy="7358063"/>
                    </a:xfrm>
                    <a:prstGeom prst="rect">
                      <a:avLst/>
                    </a:prstGeom>
                    <a:ln/>
                  </pic:spPr>
                </pic:pic>
              </a:graphicData>
            </a:graphic>
          </wp:inline>
        </w:drawing>
      </w:r>
    </w:p>
    <w:p w14:paraId="5BB91D53" w14:textId="77777777" w:rsidR="005834ED" w:rsidRDefault="00E757E7">
      <w:pPr>
        <w:jc w:val="both"/>
        <w:rPr>
          <w:sz w:val="22"/>
          <w:szCs w:val="22"/>
        </w:rPr>
      </w:pPr>
      <w:r>
        <w:rPr>
          <w:sz w:val="22"/>
          <w:szCs w:val="22"/>
        </w:rPr>
        <w:t>Figure S3. SHAP analysis of the contribution of TF motif features in different TF-TF pairs and values are taking original values for each TF pair-cell line combination. The sign of each value was assigned by the correlation between the gold standar</w:t>
      </w:r>
      <w:r>
        <w:rPr>
          <w:sz w:val="22"/>
          <w:szCs w:val="22"/>
        </w:rPr>
        <w:t xml:space="preserve">d and features. The x-axis represents the 13 TF motif features, the y-axis represents pairs tied to a specific TF. </w:t>
      </w:r>
    </w:p>
    <w:p w14:paraId="67A6E7AC" w14:textId="77777777" w:rsidR="005834ED" w:rsidRDefault="00E757E7">
      <w:pPr>
        <w:pStyle w:val="Heading3"/>
        <w:rPr>
          <w:sz w:val="22"/>
          <w:szCs w:val="22"/>
        </w:rPr>
      </w:pPr>
      <w:bookmarkStart w:id="3" w:name="_j51po16w13bk" w:colFirst="0" w:colLast="0"/>
      <w:bookmarkEnd w:id="3"/>
      <w:r>
        <w:rPr>
          <w:noProof/>
          <w:sz w:val="22"/>
          <w:szCs w:val="22"/>
          <w:lang w:val="en-US"/>
        </w:rPr>
        <w:lastRenderedPageBreak/>
        <w:drawing>
          <wp:inline distT="114300" distB="114300" distL="114300" distR="114300" wp14:anchorId="141212F4" wp14:editId="146DD9CF">
            <wp:extent cx="5291138" cy="657215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t="313" b="313"/>
                    <a:stretch>
                      <a:fillRect/>
                    </a:stretch>
                  </pic:blipFill>
                  <pic:spPr>
                    <a:xfrm>
                      <a:off x="0" y="0"/>
                      <a:ext cx="5291138" cy="6572150"/>
                    </a:xfrm>
                    <a:prstGeom prst="rect">
                      <a:avLst/>
                    </a:prstGeom>
                    <a:ln/>
                  </pic:spPr>
                </pic:pic>
              </a:graphicData>
            </a:graphic>
          </wp:inline>
        </w:drawing>
      </w:r>
    </w:p>
    <w:p w14:paraId="091293B8" w14:textId="77777777" w:rsidR="005834ED" w:rsidRDefault="00E757E7">
      <w:pPr>
        <w:pStyle w:val="Heading3"/>
        <w:jc w:val="both"/>
        <w:rPr>
          <w:sz w:val="22"/>
          <w:szCs w:val="22"/>
        </w:rPr>
      </w:pPr>
      <w:bookmarkStart w:id="4" w:name="_c9bu8z6kjbfm" w:colFirst="0" w:colLast="0"/>
      <w:bookmarkEnd w:id="4"/>
      <w:r>
        <w:rPr>
          <w:sz w:val="22"/>
          <w:szCs w:val="22"/>
        </w:rPr>
        <w:t>Figure S4. SHAP analysis of the contribution of TF motif features in different TF-TF pairs and values are taking absolute values and</w:t>
      </w:r>
      <w:r>
        <w:rPr>
          <w:sz w:val="22"/>
          <w:szCs w:val="22"/>
        </w:rPr>
        <w:t xml:space="preserve"> rescaled by the maximum value for each TF pair-cell line combination. Similar to Supplemental Figure 2, the x-axis represents the 13 TF motif features, the y-axis represents pairs tied to a specific TF. The difference is that in Supplemental Figure 2, the</w:t>
      </w:r>
      <w:r>
        <w:rPr>
          <w:sz w:val="22"/>
          <w:szCs w:val="22"/>
        </w:rPr>
        <w:t xml:space="preserve"> contribution of one TF motif features is calculated by averaging that TF motif features related to that TF. This plot is by taking maximum instead of mean. The patterns of taking mean and maximum do not differ much. </w:t>
      </w:r>
    </w:p>
    <w:p w14:paraId="28B9B257" w14:textId="77777777" w:rsidR="005834ED" w:rsidRDefault="005834ED"/>
    <w:p w14:paraId="76FB8BCB" w14:textId="77777777" w:rsidR="005834ED" w:rsidRDefault="005834ED"/>
    <w:p w14:paraId="2B2EE2EF" w14:textId="77777777" w:rsidR="005834ED" w:rsidRDefault="005834ED"/>
    <w:p w14:paraId="40C4ABCA" w14:textId="77777777" w:rsidR="005834ED" w:rsidRDefault="005834ED"/>
    <w:p w14:paraId="53FF2A5D" w14:textId="77777777" w:rsidR="005834ED" w:rsidRDefault="00E757E7">
      <w:r>
        <w:rPr>
          <w:noProof/>
          <w:sz w:val="22"/>
          <w:szCs w:val="22"/>
          <w:lang w:val="en-US"/>
        </w:rPr>
        <w:drawing>
          <wp:inline distT="114300" distB="114300" distL="114300" distR="114300" wp14:anchorId="5549A0C3" wp14:editId="04A93E94">
            <wp:extent cx="5943600" cy="386080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943600" cy="3860800"/>
                    </a:xfrm>
                    <a:prstGeom prst="rect">
                      <a:avLst/>
                    </a:prstGeom>
                    <a:ln/>
                  </pic:spPr>
                </pic:pic>
              </a:graphicData>
            </a:graphic>
          </wp:inline>
        </w:drawing>
      </w:r>
      <w:r>
        <w:t xml:space="preserve">Figure S5. </w:t>
      </w:r>
      <w:r>
        <w:rPr>
          <w:sz w:val="22"/>
          <w:szCs w:val="22"/>
        </w:rPr>
        <w:t xml:space="preserve"> TF pair-specific effe</w:t>
      </w:r>
      <w:r>
        <w:rPr>
          <w:sz w:val="22"/>
          <w:szCs w:val="22"/>
        </w:rPr>
        <w:t>ctors, defined as TFs whose sum of absolute SHAP values are larger than both of the TFs of the pair; FOXA1-FOXA2 included.</w:t>
      </w:r>
    </w:p>
    <w:p w14:paraId="7F0924A6" w14:textId="77777777" w:rsidR="005834ED" w:rsidRDefault="005834ED">
      <w:pPr>
        <w:rPr>
          <w:sz w:val="22"/>
          <w:szCs w:val="22"/>
        </w:rPr>
      </w:pPr>
    </w:p>
    <w:p w14:paraId="1CCFDF9B" w14:textId="77777777" w:rsidR="005834ED" w:rsidRDefault="005834ED">
      <w:pPr>
        <w:rPr>
          <w:sz w:val="22"/>
          <w:szCs w:val="22"/>
        </w:rPr>
      </w:pPr>
    </w:p>
    <w:p w14:paraId="6DC1F4FA" w14:textId="77777777" w:rsidR="005834ED" w:rsidRDefault="00E757E7">
      <w:pPr>
        <w:rPr>
          <w:sz w:val="22"/>
          <w:szCs w:val="22"/>
        </w:rPr>
      </w:pPr>
      <w:r>
        <w:rPr>
          <w:noProof/>
          <w:sz w:val="22"/>
          <w:szCs w:val="22"/>
          <w:lang w:val="en-US"/>
        </w:rPr>
        <w:lastRenderedPageBreak/>
        <w:drawing>
          <wp:inline distT="114300" distB="114300" distL="114300" distR="114300" wp14:anchorId="6BD2625E" wp14:editId="0114AF9B">
            <wp:extent cx="5943600" cy="44450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22" b="22"/>
                    <a:stretch>
                      <a:fillRect/>
                    </a:stretch>
                  </pic:blipFill>
                  <pic:spPr>
                    <a:xfrm>
                      <a:off x="0" y="0"/>
                      <a:ext cx="5943600" cy="4445000"/>
                    </a:xfrm>
                    <a:prstGeom prst="rect">
                      <a:avLst/>
                    </a:prstGeom>
                    <a:ln/>
                  </pic:spPr>
                </pic:pic>
              </a:graphicData>
            </a:graphic>
          </wp:inline>
        </w:drawing>
      </w:r>
    </w:p>
    <w:p w14:paraId="44E01973" w14:textId="77777777" w:rsidR="005834ED" w:rsidRDefault="00E757E7">
      <w:pPr>
        <w:jc w:val="both"/>
        <w:rPr>
          <w:sz w:val="22"/>
          <w:szCs w:val="22"/>
        </w:rPr>
      </w:pPr>
      <w:r>
        <w:rPr>
          <w:sz w:val="22"/>
          <w:szCs w:val="22"/>
        </w:rPr>
        <w:t xml:space="preserve">Figure S6. SHAP patterns of cell line K562 excluding HOT sites. </w:t>
      </w:r>
      <w:r>
        <w:rPr>
          <w:sz w:val="22"/>
          <w:szCs w:val="22"/>
        </w:rPr>
        <w:t xml:space="preserve">We counted the number of binding TFs in each position for cell line K562 and then used the 99th percentile threshold to define the HOT sites. We excluded </w:t>
      </w:r>
      <w:proofErr w:type="spellStart"/>
      <w:r>
        <w:rPr>
          <w:sz w:val="22"/>
          <w:szCs w:val="22"/>
        </w:rPr>
        <w:t>shap</w:t>
      </w:r>
      <w:proofErr w:type="spellEnd"/>
      <w:r>
        <w:rPr>
          <w:sz w:val="22"/>
          <w:szCs w:val="22"/>
        </w:rPr>
        <w:t xml:space="preserve"> values in those HOT sites and plotted the pattern. The pattern is similar to that including HOT s</w:t>
      </w:r>
      <w:r>
        <w:rPr>
          <w:sz w:val="22"/>
          <w:szCs w:val="22"/>
        </w:rPr>
        <w:t>ites, which is shown in Supplementary Figure S7. The correlation between the two figures is 0.9944.</w:t>
      </w:r>
    </w:p>
    <w:p w14:paraId="643D29B7" w14:textId="77777777" w:rsidR="005834ED" w:rsidRDefault="00E757E7">
      <w:pPr>
        <w:spacing w:before="120" w:line="240" w:lineRule="auto"/>
        <w:jc w:val="both"/>
        <w:rPr>
          <w:sz w:val="22"/>
          <w:szCs w:val="22"/>
        </w:rPr>
      </w:pPr>
      <w:r>
        <w:rPr>
          <w:sz w:val="22"/>
          <w:szCs w:val="22"/>
        </w:rPr>
        <w:t xml:space="preserve"> </w:t>
      </w:r>
    </w:p>
    <w:p w14:paraId="197642A0" w14:textId="77777777" w:rsidR="005834ED" w:rsidRDefault="005834ED">
      <w:pPr>
        <w:rPr>
          <w:sz w:val="22"/>
          <w:szCs w:val="22"/>
        </w:rPr>
      </w:pPr>
    </w:p>
    <w:p w14:paraId="68E6B23D" w14:textId="77777777" w:rsidR="005834ED" w:rsidRDefault="005834ED">
      <w:pPr>
        <w:rPr>
          <w:sz w:val="22"/>
          <w:szCs w:val="22"/>
        </w:rPr>
      </w:pPr>
    </w:p>
    <w:p w14:paraId="7550BE40" w14:textId="77777777" w:rsidR="005834ED" w:rsidRDefault="00E757E7">
      <w:pPr>
        <w:rPr>
          <w:sz w:val="22"/>
          <w:szCs w:val="22"/>
        </w:rPr>
      </w:pPr>
      <w:r>
        <w:rPr>
          <w:noProof/>
          <w:sz w:val="22"/>
          <w:szCs w:val="22"/>
          <w:lang w:val="en-US"/>
        </w:rPr>
        <w:lastRenderedPageBreak/>
        <w:drawing>
          <wp:inline distT="114300" distB="114300" distL="114300" distR="114300" wp14:anchorId="11A17FBD" wp14:editId="7BAE3280">
            <wp:extent cx="5943600" cy="44577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t="4" b="4"/>
                    <a:stretch>
                      <a:fillRect/>
                    </a:stretch>
                  </pic:blipFill>
                  <pic:spPr>
                    <a:xfrm>
                      <a:off x="0" y="0"/>
                      <a:ext cx="5943600" cy="4457700"/>
                    </a:xfrm>
                    <a:prstGeom prst="rect">
                      <a:avLst/>
                    </a:prstGeom>
                    <a:ln/>
                  </pic:spPr>
                </pic:pic>
              </a:graphicData>
            </a:graphic>
          </wp:inline>
        </w:drawing>
      </w:r>
    </w:p>
    <w:p w14:paraId="359F9343" w14:textId="77777777" w:rsidR="005834ED" w:rsidRDefault="00E757E7">
      <w:pPr>
        <w:rPr>
          <w:sz w:val="22"/>
          <w:szCs w:val="22"/>
        </w:rPr>
      </w:pPr>
      <w:r>
        <w:rPr>
          <w:sz w:val="22"/>
          <w:szCs w:val="22"/>
        </w:rPr>
        <w:t>Figure S7. SHAP patterns of cell line K562 including HOT sites.</w:t>
      </w:r>
    </w:p>
    <w:p w14:paraId="45E14E7A" w14:textId="77777777" w:rsidR="005834ED" w:rsidRDefault="005834ED">
      <w:pPr>
        <w:rPr>
          <w:sz w:val="22"/>
          <w:szCs w:val="22"/>
        </w:rPr>
      </w:pPr>
    </w:p>
    <w:p w14:paraId="6F8C6FB1" w14:textId="77777777" w:rsidR="005834ED" w:rsidRDefault="005834ED">
      <w:pPr>
        <w:rPr>
          <w:sz w:val="22"/>
          <w:szCs w:val="22"/>
        </w:rPr>
      </w:pPr>
    </w:p>
    <w:p w14:paraId="79A5BD2D" w14:textId="77777777" w:rsidR="005834ED" w:rsidRDefault="005834ED">
      <w:pPr>
        <w:rPr>
          <w:sz w:val="22"/>
          <w:szCs w:val="22"/>
        </w:rPr>
      </w:pPr>
    </w:p>
    <w:p w14:paraId="66576C7E" w14:textId="77777777" w:rsidR="005834ED" w:rsidRDefault="00E757E7">
      <w:pPr>
        <w:rPr>
          <w:sz w:val="22"/>
          <w:szCs w:val="22"/>
        </w:rPr>
      </w:pPr>
      <w:r>
        <w:rPr>
          <w:noProof/>
          <w:sz w:val="22"/>
          <w:szCs w:val="22"/>
          <w:lang w:val="en-US"/>
        </w:rPr>
        <w:lastRenderedPageBreak/>
        <w:drawing>
          <wp:inline distT="114300" distB="114300" distL="114300" distR="114300" wp14:anchorId="64D450B8" wp14:editId="4029A0F3">
            <wp:extent cx="5943600" cy="5969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46" r="46"/>
                    <a:stretch>
                      <a:fillRect/>
                    </a:stretch>
                  </pic:blipFill>
                  <pic:spPr>
                    <a:xfrm>
                      <a:off x="0" y="0"/>
                      <a:ext cx="5943600" cy="5969000"/>
                    </a:xfrm>
                    <a:prstGeom prst="rect">
                      <a:avLst/>
                    </a:prstGeom>
                    <a:ln/>
                  </pic:spPr>
                </pic:pic>
              </a:graphicData>
            </a:graphic>
          </wp:inline>
        </w:drawing>
      </w:r>
    </w:p>
    <w:p w14:paraId="42EA156F" w14:textId="77777777" w:rsidR="005834ED" w:rsidRDefault="00E757E7">
      <w:pPr>
        <w:jc w:val="both"/>
        <w:rPr>
          <w:sz w:val="22"/>
          <w:szCs w:val="22"/>
        </w:rPr>
      </w:pPr>
      <w:r>
        <w:rPr>
          <w:sz w:val="22"/>
          <w:szCs w:val="22"/>
        </w:rPr>
        <w:t>Figure S8. SHAP patterns of cell line HepG2 excluding HOT sites. We counted the n</w:t>
      </w:r>
      <w:r>
        <w:rPr>
          <w:sz w:val="22"/>
          <w:szCs w:val="22"/>
        </w:rPr>
        <w:t xml:space="preserve">umber of binding TFs in each position for cell line HepG2 and then used the 99th percentile threshold to define the HOT sites. We excluded </w:t>
      </w:r>
      <w:proofErr w:type="spellStart"/>
      <w:r>
        <w:rPr>
          <w:sz w:val="22"/>
          <w:szCs w:val="22"/>
        </w:rPr>
        <w:t>shap</w:t>
      </w:r>
      <w:proofErr w:type="spellEnd"/>
      <w:r>
        <w:rPr>
          <w:sz w:val="22"/>
          <w:szCs w:val="22"/>
        </w:rPr>
        <w:t xml:space="preserve"> values in those HOT sites and plotted the pattern. The pattern is similar to that including HOT sites, which is </w:t>
      </w:r>
      <w:r>
        <w:rPr>
          <w:sz w:val="22"/>
          <w:szCs w:val="22"/>
        </w:rPr>
        <w:t>shown in Supplementary Figure S9. The correlation between the two figures is 0.9940.</w:t>
      </w:r>
    </w:p>
    <w:p w14:paraId="2945203D" w14:textId="77777777" w:rsidR="005834ED" w:rsidRDefault="005834ED">
      <w:pPr>
        <w:rPr>
          <w:sz w:val="22"/>
          <w:szCs w:val="22"/>
        </w:rPr>
      </w:pPr>
    </w:p>
    <w:p w14:paraId="5BF280A0" w14:textId="77777777" w:rsidR="005834ED" w:rsidRDefault="00E757E7">
      <w:pPr>
        <w:rPr>
          <w:sz w:val="22"/>
          <w:szCs w:val="22"/>
        </w:rPr>
      </w:pPr>
      <w:r>
        <w:rPr>
          <w:noProof/>
          <w:sz w:val="22"/>
          <w:szCs w:val="22"/>
          <w:lang w:val="en-US"/>
        </w:rPr>
        <w:lastRenderedPageBreak/>
        <w:drawing>
          <wp:inline distT="114300" distB="114300" distL="114300" distR="114300" wp14:anchorId="181058A8" wp14:editId="4625D85B">
            <wp:extent cx="5943600" cy="59436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943600" cy="5943600"/>
                    </a:xfrm>
                    <a:prstGeom prst="rect">
                      <a:avLst/>
                    </a:prstGeom>
                    <a:ln/>
                  </pic:spPr>
                </pic:pic>
              </a:graphicData>
            </a:graphic>
          </wp:inline>
        </w:drawing>
      </w:r>
    </w:p>
    <w:p w14:paraId="013D6A5F" w14:textId="77777777" w:rsidR="005834ED" w:rsidRDefault="00E757E7">
      <w:pPr>
        <w:rPr>
          <w:sz w:val="22"/>
          <w:szCs w:val="22"/>
        </w:rPr>
      </w:pPr>
      <w:r>
        <w:rPr>
          <w:sz w:val="22"/>
          <w:szCs w:val="22"/>
        </w:rPr>
        <w:t>Figure S9. SHAP patterns of cell line HepG2 including HOT sites.</w:t>
      </w:r>
    </w:p>
    <w:p w14:paraId="2C2675BC" w14:textId="77777777" w:rsidR="005834ED" w:rsidRDefault="005834ED">
      <w:pPr>
        <w:rPr>
          <w:sz w:val="22"/>
          <w:szCs w:val="22"/>
        </w:rPr>
      </w:pPr>
    </w:p>
    <w:p w14:paraId="5A7F821E" w14:textId="77777777" w:rsidR="005834ED" w:rsidRDefault="005834ED">
      <w:pPr>
        <w:rPr>
          <w:sz w:val="22"/>
          <w:szCs w:val="22"/>
        </w:rPr>
      </w:pPr>
    </w:p>
    <w:p w14:paraId="68AF8F8D" w14:textId="77777777" w:rsidR="005834ED" w:rsidRDefault="00E757E7">
      <w:pPr>
        <w:rPr>
          <w:sz w:val="22"/>
          <w:szCs w:val="22"/>
        </w:rPr>
      </w:pPr>
      <w:r>
        <w:rPr>
          <w:noProof/>
          <w:sz w:val="22"/>
          <w:szCs w:val="22"/>
          <w:lang w:val="en-US"/>
        </w:rPr>
        <w:lastRenderedPageBreak/>
        <w:drawing>
          <wp:inline distT="114300" distB="114300" distL="114300" distR="114300" wp14:anchorId="34EA0528" wp14:editId="10D4B12B">
            <wp:extent cx="5943600" cy="44577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t="4" b="4"/>
                    <a:stretch>
                      <a:fillRect/>
                    </a:stretch>
                  </pic:blipFill>
                  <pic:spPr>
                    <a:xfrm>
                      <a:off x="0" y="0"/>
                      <a:ext cx="5943600" cy="4457700"/>
                    </a:xfrm>
                    <a:prstGeom prst="rect">
                      <a:avLst/>
                    </a:prstGeom>
                    <a:ln/>
                  </pic:spPr>
                </pic:pic>
              </a:graphicData>
            </a:graphic>
          </wp:inline>
        </w:drawing>
      </w:r>
    </w:p>
    <w:p w14:paraId="322303DE" w14:textId="77777777" w:rsidR="005834ED" w:rsidRDefault="00E757E7">
      <w:pPr>
        <w:jc w:val="both"/>
        <w:rPr>
          <w:sz w:val="22"/>
          <w:szCs w:val="22"/>
        </w:rPr>
      </w:pPr>
      <w:r>
        <w:rPr>
          <w:sz w:val="22"/>
          <w:szCs w:val="22"/>
        </w:rPr>
        <w:t>Figure S10. SHAP patterns of cell line H1-hESC excluding HOT sites. We counted the number of bindin</w:t>
      </w:r>
      <w:r>
        <w:rPr>
          <w:sz w:val="22"/>
          <w:szCs w:val="22"/>
        </w:rPr>
        <w:t xml:space="preserve">g TFs in each position for cell line H1-hESC and then used the 99th percentile threshold to define the HOT sites. We excluded </w:t>
      </w:r>
      <w:proofErr w:type="spellStart"/>
      <w:r>
        <w:rPr>
          <w:sz w:val="22"/>
          <w:szCs w:val="22"/>
        </w:rPr>
        <w:t>shap</w:t>
      </w:r>
      <w:proofErr w:type="spellEnd"/>
      <w:r>
        <w:rPr>
          <w:sz w:val="22"/>
          <w:szCs w:val="22"/>
        </w:rPr>
        <w:t xml:space="preserve"> values in those HOT sites and plotted the pattern. The pattern is similar to that including HOT sites, which is shown in Supp</w:t>
      </w:r>
      <w:r>
        <w:rPr>
          <w:sz w:val="22"/>
          <w:szCs w:val="22"/>
        </w:rPr>
        <w:t>lementary Figure S11. The correlation between the two figures is 0.9995.</w:t>
      </w:r>
    </w:p>
    <w:p w14:paraId="045827DB" w14:textId="77777777" w:rsidR="005834ED" w:rsidRDefault="005834ED">
      <w:pPr>
        <w:rPr>
          <w:sz w:val="22"/>
          <w:szCs w:val="22"/>
        </w:rPr>
      </w:pPr>
    </w:p>
    <w:p w14:paraId="44FDA59F" w14:textId="77777777" w:rsidR="005834ED" w:rsidRDefault="005834ED">
      <w:pPr>
        <w:rPr>
          <w:sz w:val="22"/>
          <w:szCs w:val="22"/>
        </w:rPr>
      </w:pPr>
    </w:p>
    <w:p w14:paraId="51C78CEB" w14:textId="77777777" w:rsidR="005834ED" w:rsidRDefault="00E757E7">
      <w:pPr>
        <w:rPr>
          <w:sz w:val="22"/>
          <w:szCs w:val="22"/>
        </w:rPr>
      </w:pPr>
      <w:r>
        <w:rPr>
          <w:noProof/>
          <w:sz w:val="22"/>
          <w:szCs w:val="22"/>
          <w:lang w:val="en-US"/>
        </w:rPr>
        <w:lastRenderedPageBreak/>
        <w:drawing>
          <wp:inline distT="114300" distB="114300" distL="114300" distR="114300" wp14:anchorId="4A9D65BC" wp14:editId="1354B018">
            <wp:extent cx="5943600" cy="44577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37" r="37"/>
                    <a:stretch>
                      <a:fillRect/>
                    </a:stretch>
                  </pic:blipFill>
                  <pic:spPr>
                    <a:xfrm>
                      <a:off x="0" y="0"/>
                      <a:ext cx="5943600" cy="4457700"/>
                    </a:xfrm>
                    <a:prstGeom prst="rect">
                      <a:avLst/>
                    </a:prstGeom>
                    <a:ln/>
                  </pic:spPr>
                </pic:pic>
              </a:graphicData>
            </a:graphic>
          </wp:inline>
        </w:drawing>
      </w:r>
    </w:p>
    <w:p w14:paraId="6F75EA23" w14:textId="77777777" w:rsidR="005834ED" w:rsidRDefault="00E757E7">
      <w:pPr>
        <w:rPr>
          <w:sz w:val="22"/>
          <w:szCs w:val="22"/>
        </w:rPr>
      </w:pPr>
      <w:r>
        <w:rPr>
          <w:sz w:val="22"/>
          <w:szCs w:val="22"/>
        </w:rPr>
        <w:t>Figure S11. SHAP patterns of cell line H1-hESC including HOT sites.</w:t>
      </w:r>
    </w:p>
    <w:p w14:paraId="19A42798" w14:textId="77777777" w:rsidR="005834ED" w:rsidRDefault="005834ED">
      <w:pPr>
        <w:rPr>
          <w:sz w:val="22"/>
          <w:szCs w:val="22"/>
        </w:rPr>
      </w:pPr>
    </w:p>
    <w:p w14:paraId="498FB4D4" w14:textId="77777777" w:rsidR="005834ED" w:rsidRDefault="005834ED">
      <w:pPr>
        <w:rPr>
          <w:sz w:val="22"/>
          <w:szCs w:val="22"/>
        </w:rPr>
      </w:pPr>
    </w:p>
    <w:p w14:paraId="29191537" w14:textId="77777777" w:rsidR="005834ED" w:rsidRDefault="00E757E7">
      <w:pPr>
        <w:rPr>
          <w:sz w:val="22"/>
          <w:szCs w:val="22"/>
        </w:rPr>
      </w:pPr>
      <w:r>
        <w:rPr>
          <w:noProof/>
          <w:sz w:val="22"/>
          <w:szCs w:val="22"/>
          <w:lang w:val="en-US"/>
        </w:rPr>
        <w:lastRenderedPageBreak/>
        <w:drawing>
          <wp:inline distT="114300" distB="114300" distL="114300" distR="114300" wp14:anchorId="32F4578B" wp14:editId="62CF4CA1">
            <wp:extent cx="5943600" cy="44577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t="4" b="4"/>
                    <a:stretch>
                      <a:fillRect/>
                    </a:stretch>
                  </pic:blipFill>
                  <pic:spPr>
                    <a:xfrm>
                      <a:off x="0" y="0"/>
                      <a:ext cx="5943600" cy="4457700"/>
                    </a:xfrm>
                    <a:prstGeom prst="rect">
                      <a:avLst/>
                    </a:prstGeom>
                    <a:ln/>
                  </pic:spPr>
                </pic:pic>
              </a:graphicData>
            </a:graphic>
          </wp:inline>
        </w:drawing>
      </w:r>
    </w:p>
    <w:p w14:paraId="424F9D8C" w14:textId="77777777" w:rsidR="005834ED" w:rsidRDefault="00E757E7">
      <w:pPr>
        <w:jc w:val="both"/>
        <w:rPr>
          <w:sz w:val="22"/>
          <w:szCs w:val="22"/>
        </w:rPr>
      </w:pPr>
      <w:r>
        <w:rPr>
          <w:sz w:val="22"/>
          <w:szCs w:val="22"/>
        </w:rPr>
        <w:t xml:space="preserve">Figure S12. SHAP patterns of cell line liver excluding HOT sites. We counted the number of binding TFs in each position for cell line liver and then used the 99th percentile threshold to define the HOT sites. We excluded </w:t>
      </w:r>
      <w:proofErr w:type="spellStart"/>
      <w:r>
        <w:rPr>
          <w:sz w:val="22"/>
          <w:szCs w:val="22"/>
        </w:rPr>
        <w:t>shap</w:t>
      </w:r>
      <w:proofErr w:type="spellEnd"/>
      <w:r>
        <w:rPr>
          <w:sz w:val="22"/>
          <w:szCs w:val="22"/>
        </w:rPr>
        <w:t xml:space="preserve"> values in those HOT sites and </w:t>
      </w:r>
      <w:r>
        <w:rPr>
          <w:sz w:val="22"/>
          <w:szCs w:val="22"/>
        </w:rPr>
        <w:t>plotted the pattern. The pattern is similar to that including HOT sites, which is shown in Supplementary Figure S13. The correlation between the two figures is 0.9961.</w:t>
      </w:r>
    </w:p>
    <w:p w14:paraId="035BD10A" w14:textId="77777777" w:rsidR="005834ED" w:rsidRDefault="005834ED">
      <w:pPr>
        <w:rPr>
          <w:sz w:val="22"/>
          <w:szCs w:val="22"/>
        </w:rPr>
      </w:pPr>
    </w:p>
    <w:p w14:paraId="746F238D" w14:textId="77777777" w:rsidR="005834ED" w:rsidRDefault="005834ED">
      <w:pPr>
        <w:rPr>
          <w:sz w:val="22"/>
          <w:szCs w:val="22"/>
        </w:rPr>
      </w:pPr>
    </w:p>
    <w:p w14:paraId="66B3DDE5" w14:textId="77777777" w:rsidR="005834ED" w:rsidRDefault="00E757E7">
      <w:pPr>
        <w:rPr>
          <w:sz w:val="22"/>
          <w:szCs w:val="22"/>
        </w:rPr>
      </w:pPr>
      <w:r>
        <w:rPr>
          <w:noProof/>
          <w:sz w:val="22"/>
          <w:szCs w:val="22"/>
          <w:lang w:val="en-US"/>
        </w:rPr>
        <w:lastRenderedPageBreak/>
        <w:drawing>
          <wp:inline distT="114300" distB="114300" distL="114300" distR="114300" wp14:anchorId="45BBB439" wp14:editId="4CFDD296">
            <wp:extent cx="5943600" cy="4470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28" b="28"/>
                    <a:stretch>
                      <a:fillRect/>
                    </a:stretch>
                  </pic:blipFill>
                  <pic:spPr>
                    <a:xfrm>
                      <a:off x="0" y="0"/>
                      <a:ext cx="5943600" cy="4470400"/>
                    </a:xfrm>
                    <a:prstGeom prst="rect">
                      <a:avLst/>
                    </a:prstGeom>
                    <a:ln/>
                  </pic:spPr>
                </pic:pic>
              </a:graphicData>
            </a:graphic>
          </wp:inline>
        </w:drawing>
      </w:r>
    </w:p>
    <w:p w14:paraId="1D5475D5" w14:textId="77777777" w:rsidR="005834ED" w:rsidRDefault="00E757E7">
      <w:pPr>
        <w:rPr>
          <w:sz w:val="22"/>
          <w:szCs w:val="22"/>
        </w:rPr>
      </w:pPr>
      <w:r>
        <w:rPr>
          <w:sz w:val="22"/>
          <w:szCs w:val="22"/>
        </w:rPr>
        <w:t>Figure S13. SHAP patterns of cell line liver including HOT sites.</w:t>
      </w:r>
    </w:p>
    <w:p w14:paraId="4C392579" w14:textId="77777777" w:rsidR="005834ED" w:rsidRDefault="005834ED">
      <w:pPr>
        <w:rPr>
          <w:sz w:val="22"/>
          <w:szCs w:val="22"/>
        </w:rPr>
      </w:pPr>
    </w:p>
    <w:p w14:paraId="475F7C88" w14:textId="77777777" w:rsidR="005834ED" w:rsidRDefault="005834ED">
      <w:pPr>
        <w:rPr>
          <w:sz w:val="22"/>
          <w:szCs w:val="22"/>
        </w:rPr>
      </w:pPr>
    </w:p>
    <w:p w14:paraId="353944A0" w14:textId="77777777" w:rsidR="005834ED" w:rsidRDefault="005834ED">
      <w:pPr>
        <w:rPr>
          <w:sz w:val="22"/>
          <w:szCs w:val="22"/>
        </w:rPr>
      </w:pPr>
    </w:p>
    <w:p w14:paraId="710A7215" w14:textId="77777777" w:rsidR="005834ED" w:rsidRDefault="005834ED">
      <w:pPr>
        <w:rPr>
          <w:sz w:val="22"/>
          <w:szCs w:val="22"/>
        </w:rPr>
      </w:pPr>
    </w:p>
    <w:p w14:paraId="38C7862B" w14:textId="77777777" w:rsidR="005834ED" w:rsidRDefault="005834ED">
      <w:pPr>
        <w:rPr>
          <w:sz w:val="22"/>
          <w:szCs w:val="22"/>
        </w:rPr>
      </w:pPr>
    </w:p>
    <w:p w14:paraId="5972E0E2" w14:textId="77777777" w:rsidR="005834ED" w:rsidRDefault="005834ED">
      <w:pPr>
        <w:rPr>
          <w:sz w:val="22"/>
          <w:szCs w:val="22"/>
        </w:rPr>
      </w:pPr>
    </w:p>
    <w:p w14:paraId="272A1FF6" w14:textId="77777777" w:rsidR="005834ED" w:rsidRDefault="00E757E7">
      <w:pPr>
        <w:rPr>
          <w:sz w:val="22"/>
          <w:szCs w:val="22"/>
        </w:rPr>
      </w:pPr>
      <w:r>
        <w:rPr>
          <w:noProof/>
          <w:sz w:val="22"/>
          <w:szCs w:val="22"/>
          <w:lang w:val="en-US"/>
        </w:rPr>
        <w:lastRenderedPageBreak/>
        <w:drawing>
          <wp:inline distT="114300" distB="114300" distL="114300" distR="114300" wp14:anchorId="4084A334" wp14:editId="3B75CC25">
            <wp:extent cx="5943600" cy="28956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43600" cy="2895600"/>
                    </a:xfrm>
                    <a:prstGeom prst="rect">
                      <a:avLst/>
                    </a:prstGeom>
                    <a:ln/>
                  </pic:spPr>
                </pic:pic>
              </a:graphicData>
            </a:graphic>
          </wp:inline>
        </w:drawing>
      </w:r>
    </w:p>
    <w:p w14:paraId="1618DC63" w14:textId="77777777" w:rsidR="005834ED" w:rsidRDefault="00E757E7">
      <w:pPr>
        <w:pStyle w:val="Heading3"/>
        <w:jc w:val="both"/>
        <w:rPr>
          <w:sz w:val="22"/>
          <w:szCs w:val="22"/>
        </w:rPr>
      </w:pPr>
      <w:bookmarkStart w:id="5" w:name="_3pj5a6soufir" w:colFirst="0" w:colLast="0"/>
      <w:bookmarkEnd w:id="5"/>
      <w:r>
        <w:rPr>
          <w:b/>
          <w:sz w:val="22"/>
          <w:szCs w:val="22"/>
        </w:rPr>
        <w:t>Figure S14</w:t>
      </w:r>
      <w:r>
        <w:rPr>
          <w:sz w:val="22"/>
          <w:szCs w:val="22"/>
        </w:rPr>
        <w:t>. Construction of training and testing datasets. The split rule is that in each TF-TF pair, one cell type was selected as the test cell type, and after a proper selection, the number of test datasets in each cell type should be approximately equal. The spl</w:t>
      </w:r>
      <w:r>
        <w:rPr>
          <w:sz w:val="22"/>
          <w:szCs w:val="22"/>
        </w:rPr>
        <w:t>it result was indicated by a 2-D plot on the right channel. The x-axis represented 56 TF-TF pairs and the y-axis represented 10 cell types. The blue dots denoted the 172 training datasets while the red dots symbolized the 56 testing datasets. The left chan</w:t>
      </w:r>
      <w:r>
        <w:rPr>
          <w:sz w:val="22"/>
          <w:szCs w:val="22"/>
        </w:rPr>
        <w:t>nel indicated the proportion of testing and training data in cell types, where the blue bar was the testing data and the green bar was the training data. Based on the height of blue bars, it is obvious that the number of testing data is approximately equal</w:t>
      </w:r>
      <w:r>
        <w:rPr>
          <w:sz w:val="22"/>
          <w:szCs w:val="22"/>
        </w:rPr>
        <w:t xml:space="preserve"> in cell types except for iPSC, which has only one dataset. </w:t>
      </w:r>
    </w:p>
    <w:p w14:paraId="52CB8866" w14:textId="77777777" w:rsidR="005834ED" w:rsidRDefault="005834ED">
      <w:pPr>
        <w:rPr>
          <w:sz w:val="22"/>
          <w:szCs w:val="22"/>
        </w:rPr>
      </w:pPr>
    </w:p>
    <w:p w14:paraId="653C8100" w14:textId="77777777" w:rsidR="005834ED" w:rsidRDefault="005834ED">
      <w:pPr>
        <w:rPr>
          <w:sz w:val="22"/>
          <w:szCs w:val="22"/>
        </w:rPr>
      </w:pPr>
    </w:p>
    <w:p w14:paraId="5D2DD5EF" w14:textId="77777777" w:rsidR="005834ED" w:rsidRDefault="005834ED">
      <w:pPr>
        <w:rPr>
          <w:sz w:val="22"/>
          <w:szCs w:val="22"/>
        </w:rPr>
      </w:pPr>
    </w:p>
    <w:p w14:paraId="4275121B" w14:textId="77777777" w:rsidR="005834ED" w:rsidRDefault="005834ED">
      <w:pPr>
        <w:rPr>
          <w:sz w:val="22"/>
          <w:szCs w:val="22"/>
        </w:rPr>
      </w:pPr>
    </w:p>
    <w:p w14:paraId="20447F4F" w14:textId="77777777" w:rsidR="005834ED" w:rsidRDefault="005834ED">
      <w:pPr>
        <w:rPr>
          <w:sz w:val="22"/>
          <w:szCs w:val="22"/>
        </w:rPr>
      </w:pPr>
    </w:p>
    <w:p w14:paraId="7ED4C9F2" w14:textId="77777777" w:rsidR="005834ED" w:rsidRDefault="005834ED">
      <w:pPr>
        <w:rPr>
          <w:sz w:val="22"/>
          <w:szCs w:val="22"/>
        </w:rPr>
      </w:pPr>
    </w:p>
    <w:p w14:paraId="4454375C" w14:textId="77777777" w:rsidR="005834ED" w:rsidRDefault="005834ED">
      <w:pPr>
        <w:rPr>
          <w:sz w:val="22"/>
          <w:szCs w:val="22"/>
        </w:rPr>
      </w:pPr>
    </w:p>
    <w:p w14:paraId="6DDC945E" w14:textId="77777777" w:rsidR="005834ED" w:rsidRDefault="005834ED">
      <w:pPr>
        <w:rPr>
          <w:sz w:val="22"/>
          <w:szCs w:val="22"/>
        </w:rPr>
      </w:pPr>
    </w:p>
    <w:p w14:paraId="4234D315" w14:textId="77777777" w:rsidR="005834ED" w:rsidRDefault="005834ED">
      <w:pPr>
        <w:rPr>
          <w:sz w:val="22"/>
          <w:szCs w:val="22"/>
        </w:rPr>
      </w:pPr>
    </w:p>
    <w:p w14:paraId="7F92AD0F" w14:textId="77777777" w:rsidR="005834ED" w:rsidRDefault="005834ED">
      <w:pPr>
        <w:rPr>
          <w:sz w:val="22"/>
          <w:szCs w:val="22"/>
        </w:rPr>
      </w:pPr>
    </w:p>
    <w:p w14:paraId="39060FE3" w14:textId="77777777" w:rsidR="005834ED" w:rsidRDefault="005834ED">
      <w:pPr>
        <w:rPr>
          <w:sz w:val="22"/>
          <w:szCs w:val="22"/>
        </w:rPr>
      </w:pPr>
    </w:p>
    <w:p w14:paraId="389C3F9F" w14:textId="77777777" w:rsidR="005834ED" w:rsidRDefault="005834ED">
      <w:pPr>
        <w:jc w:val="both"/>
        <w:rPr>
          <w:sz w:val="22"/>
          <w:szCs w:val="22"/>
        </w:rPr>
      </w:pPr>
    </w:p>
    <w:p w14:paraId="5D418D87" w14:textId="77777777" w:rsidR="005834ED" w:rsidRDefault="00E757E7">
      <w:pPr>
        <w:rPr>
          <w:sz w:val="22"/>
          <w:szCs w:val="22"/>
        </w:rPr>
      </w:pPr>
      <w:r>
        <w:rPr>
          <w:noProof/>
          <w:sz w:val="22"/>
          <w:szCs w:val="22"/>
          <w:lang w:val="en-US"/>
        </w:rPr>
        <w:lastRenderedPageBreak/>
        <w:drawing>
          <wp:inline distT="114300" distB="114300" distL="114300" distR="114300" wp14:anchorId="31258182" wp14:editId="06E61872">
            <wp:extent cx="5432329" cy="59864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432329" cy="5986463"/>
                    </a:xfrm>
                    <a:prstGeom prst="rect">
                      <a:avLst/>
                    </a:prstGeom>
                    <a:ln/>
                  </pic:spPr>
                </pic:pic>
              </a:graphicData>
            </a:graphic>
          </wp:inline>
        </w:drawing>
      </w:r>
    </w:p>
    <w:p w14:paraId="36DF5AEC" w14:textId="77777777" w:rsidR="005834ED" w:rsidRDefault="00E757E7">
      <w:pPr>
        <w:pStyle w:val="Heading3"/>
        <w:jc w:val="both"/>
        <w:rPr>
          <w:sz w:val="22"/>
          <w:szCs w:val="22"/>
        </w:rPr>
      </w:pPr>
      <w:bookmarkStart w:id="6" w:name="_z8ilnw6ooi5u" w:colFirst="0" w:colLast="0"/>
      <w:bookmarkEnd w:id="6"/>
      <w:r>
        <w:rPr>
          <w:b/>
          <w:sz w:val="22"/>
          <w:szCs w:val="22"/>
        </w:rPr>
        <w:t xml:space="preserve">Figure S15. </w:t>
      </w:r>
      <w:r>
        <w:rPr>
          <w:sz w:val="22"/>
          <w:szCs w:val="22"/>
        </w:rPr>
        <w:t>C</w:t>
      </w:r>
      <w:r>
        <w:rPr>
          <w:sz w:val="22"/>
          <w:szCs w:val="22"/>
        </w:rPr>
        <w:t>ounts of three different labels in TF-TF pairs</w:t>
      </w:r>
      <w:r>
        <w:rPr>
          <w:sz w:val="22"/>
          <w:szCs w:val="22"/>
        </w:rPr>
        <w:t xml:space="preserve"> </w:t>
      </w:r>
      <w:r>
        <w:rPr>
          <w:sz w:val="22"/>
          <w:szCs w:val="22"/>
        </w:rPr>
        <w:t>According to the generating rule, there are three different labels of co-occupancy events: (</w:t>
      </w:r>
      <w:proofErr w:type="spellStart"/>
      <w:r>
        <w:rPr>
          <w:sz w:val="22"/>
          <w:szCs w:val="22"/>
        </w:rPr>
        <w:t>i</w:t>
      </w:r>
      <w:proofErr w:type="spellEnd"/>
      <w:r>
        <w:rPr>
          <w:sz w:val="22"/>
          <w:szCs w:val="22"/>
        </w:rPr>
        <w:t>) ‘B’ represents  ‘co-bound’</w:t>
      </w:r>
      <w:r>
        <w:rPr>
          <w:sz w:val="22"/>
          <w:szCs w:val="22"/>
        </w:rPr>
        <w:t xml:space="preserve">, (ii) ‘U’ </w:t>
      </w:r>
      <w:r>
        <w:rPr>
          <w:sz w:val="22"/>
          <w:szCs w:val="22"/>
        </w:rPr>
        <w:t>represents</w:t>
      </w:r>
      <w:r>
        <w:rPr>
          <w:sz w:val="22"/>
          <w:szCs w:val="22"/>
        </w:rPr>
        <w:t xml:space="preserve"> ‘un-co-bound’, and (iii) ‘A’ </w:t>
      </w:r>
      <w:r>
        <w:rPr>
          <w:sz w:val="22"/>
          <w:szCs w:val="22"/>
        </w:rPr>
        <w:t>represents</w:t>
      </w:r>
      <w:r>
        <w:rPr>
          <w:sz w:val="22"/>
          <w:szCs w:val="22"/>
        </w:rPr>
        <w:t xml:space="preserve"> ‘ambiguous’. To inspect the distribution of different labels in TF-TF pairs, we averaged the count number over cell </w:t>
      </w:r>
      <w:r>
        <w:rPr>
          <w:sz w:val="22"/>
          <w:szCs w:val="22"/>
        </w:rPr>
        <w:t>types</w:t>
      </w:r>
      <w:r>
        <w:rPr>
          <w:sz w:val="22"/>
          <w:szCs w:val="22"/>
        </w:rPr>
        <w:t xml:space="preserve"> and did a log transform on the count number of different labels. In all </w:t>
      </w:r>
      <w:r>
        <w:rPr>
          <w:sz w:val="22"/>
          <w:szCs w:val="22"/>
        </w:rPr>
        <w:t xml:space="preserve">56 TF-TF pairs, label ‘B’ was of the smallest proportion as indicated by the blue bar. On the contrary, label ‘U’ held the largest proportion in all TF-TF pairs since the deep blue bars had the highest height among the three color bars. </w:t>
      </w:r>
      <w:r>
        <w:rPr>
          <w:sz w:val="22"/>
          <w:szCs w:val="22"/>
        </w:rPr>
        <w:t>Label</w:t>
      </w:r>
      <w:r>
        <w:rPr>
          <w:sz w:val="22"/>
          <w:szCs w:val="22"/>
        </w:rPr>
        <w:t xml:space="preserve"> ‘A’ also took</w:t>
      </w:r>
      <w:r>
        <w:rPr>
          <w:sz w:val="22"/>
          <w:szCs w:val="22"/>
        </w:rPr>
        <w:t xml:space="preserve"> a similar proportion as label ‘B’, but we </w:t>
      </w:r>
      <w:r>
        <w:rPr>
          <w:sz w:val="22"/>
          <w:szCs w:val="22"/>
        </w:rPr>
        <w:t>exclude</w:t>
      </w:r>
      <w:r>
        <w:rPr>
          <w:sz w:val="22"/>
          <w:szCs w:val="22"/>
        </w:rPr>
        <w:t xml:space="preserve"> data with label ‘A’ in the further analysis.</w:t>
      </w:r>
    </w:p>
    <w:p w14:paraId="31AFD246" w14:textId="77777777" w:rsidR="005834ED" w:rsidRDefault="005834ED">
      <w:pPr>
        <w:rPr>
          <w:sz w:val="22"/>
          <w:szCs w:val="22"/>
        </w:rPr>
      </w:pPr>
    </w:p>
    <w:p w14:paraId="4122864B" w14:textId="77777777" w:rsidR="005834ED" w:rsidRDefault="00E757E7">
      <w:pPr>
        <w:rPr>
          <w:sz w:val="22"/>
          <w:szCs w:val="22"/>
        </w:rPr>
      </w:pPr>
      <w:r>
        <w:rPr>
          <w:noProof/>
          <w:sz w:val="22"/>
          <w:szCs w:val="22"/>
          <w:lang w:val="en-US"/>
        </w:rPr>
        <w:lastRenderedPageBreak/>
        <w:drawing>
          <wp:inline distT="114300" distB="114300" distL="114300" distR="114300" wp14:anchorId="44447414" wp14:editId="1125F29E">
            <wp:extent cx="5943600" cy="29718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943600" cy="2971800"/>
                    </a:xfrm>
                    <a:prstGeom prst="rect">
                      <a:avLst/>
                    </a:prstGeom>
                    <a:ln/>
                  </pic:spPr>
                </pic:pic>
              </a:graphicData>
            </a:graphic>
          </wp:inline>
        </w:drawing>
      </w:r>
    </w:p>
    <w:p w14:paraId="6486D44B" w14:textId="77777777" w:rsidR="005834ED" w:rsidRDefault="00E757E7">
      <w:pPr>
        <w:pStyle w:val="Heading3"/>
        <w:jc w:val="both"/>
        <w:rPr>
          <w:sz w:val="22"/>
          <w:szCs w:val="22"/>
        </w:rPr>
      </w:pPr>
      <w:bookmarkStart w:id="7" w:name="_hmo60qkgariu" w:colFirst="0" w:colLast="0"/>
      <w:bookmarkEnd w:id="7"/>
      <w:r>
        <w:rPr>
          <w:b/>
          <w:sz w:val="22"/>
          <w:szCs w:val="22"/>
        </w:rPr>
        <w:t xml:space="preserve">Figure S16. </w:t>
      </w:r>
      <w:r>
        <w:rPr>
          <w:sz w:val="22"/>
          <w:szCs w:val="22"/>
        </w:rPr>
        <w:t>C</w:t>
      </w:r>
      <w:r>
        <w:rPr>
          <w:sz w:val="22"/>
          <w:szCs w:val="22"/>
        </w:rPr>
        <w:t xml:space="preserve">ounts of three different labels in cell </w:t>
      </w:r>
      <w:r>
        <w:rPr>
          <w:sz w:val="22"/>
          <w:szCs w:val="22"/>
        </w:rPr>
        <w:t xml:space="preserve">types. </w:t>
      </w:r>
      <w:r>
        <w:rPr>
          <w:sz w:val="22"/>
          <w:szCs w:val="22"/>
        </w:rPr>
        <w:t xml:space="preserve">To describe the count number of three different labels in cell </w:t>
      </w:r>
      <w:r>
        <w:rPr>
          <w:sz w:val="22"/>
          <w:szCs w:val="22"/>
        </w:rPr>
        <w:t>types</w:t>
      </w:r>
      <w:r>
        <w:rPr>
          <w:sz w:val="22"/>
          <w:szCs w:val="22"/>
        </w:rPr>
        <w:t xml:space="preserve">, we averaged the count number of different TF-TF pairs in one cell </w:t>
      </w:r>
      <w:r>
        <w:rPr>
          <w:sz w:val="22"/>
          <w:szCs w:val="22"/>
        </w:rPr>
        <w:t>type</w:t>
      </w:r>
      <w:r>
        <w:rPr>
          <w:sz w:val="22"/>
          <w:szCs w:val="22"/>
        </w:rPr>
        <w:t>. Different from the situation in TF-TF pairs where ‘U’ was of the largest proportion and ‘B’ was of the smallest proportion in all pairs, there was no common relationship among 10 cel</w:t>
      </w:r>
      <w:r>
        <w:rPr>
          <w:sz w:val="22"/>
          <w:szCs w:val="22"/>
        </w:rPr>
        <w:t xml:space="preserve">l </w:t>
      </w:r>
      <w:r>
        <w:rPr>
          <w:sz w:val="22"/>
          <w:szCs w:val="22"/>
        </w:rPr>
        <w:t>types</w:t>
      </w:r>
      <w:r>
        <w:rPr>
          <w:sz w:val="22"/>
          <w:szCs w:val="22"/>
        </w:rPr>
        <w:t xml:space="preserve">. In some cell </w:t>
      </w:r>
      <w:r>
        <w:rPr>
          <w:sz w:val="22"/>
          <w:szCs w:val="22"/>
        </w:rPr>
        <w:t>types</w:t>
      </w:r>
      <w:r>
        <w:rPr>
          <w:sz w:val="22"/>
          <w:szCs w:val="22"/>
        </w:rPr>
        <w:t xml:space="preserve">, like A549 and HCT116, the number of un-co-bound events was larger than the number of co-bound events. However, in other cell </w:t>
      </w:r>
      <w:r>
        <w:rPr>
          <w:sz w:val="22"/>
          <w:szCs w:val="22"/>
        </w:rPr>
        <w:t>types</w:t>
      </w:r>
      <w:r>
        <w:rPr>
          <w:sz w:val="22"/>
          <w:szCs w:val="22"/>
        </w:rPr>
        <w:t xml:space="preserve"> like K562  and iPSC, the two counts did not differ much. In cell </w:t>
      </w:r>
      <w:r>
        <w:rPr>
          <w:sz w:val="22"/>
          <w:szCs w:val="22"/>
        </w:rPr>
        <w:t>type</w:t>
      </w:r>
      <w:r>
        <w:rPr>
          <w:sz w:val="22"/>
          <w:szCs w:val="22"/>
        </w:rPr>
        <w:t xml:space="preserve"> GM12878, the number of co-bound events exceeded the number of un-co-bound events. Among the 10 cell </w:t>
      </w:r>
      <w:r>
        <w:rPr>
          <w:sz w:val="22"/>
          <w:szCs w:val="22"/>
        </w:rPr>
        <w:t>types</w:t>
      </w:r>
      <w:r>
        <w:rPr>
          <w:sz w:val="22"/>
          <w:szCs w:val="22"/>
        </w:rPr>
        <w:t xml:space="preserve">, cell </w:t>
      </w:r>
      <w:r>
        <w:rPr>
          <w:sz w:val="22"/>
          <w:szCs w:val="22"/>
        </w:rPr>
        <w:t>types</w:t>
      </w:r>
      <w:r>
        <w:rPr>
          <w:sz w:val="22"/>
          <w:szCs w:val="22"/>
        </w:rPr>
        <w:t xml:space="preserve"> K562 and liver had the largest proportion of label ‘B’ compared with other cell </w:t>
      </w:r>
      <w:r>
        <w:rPr>
          <w:sz w:val="22"/>
          <w:szCs w:val="22"/>
        </w:rPr>
        <w:t>types</w:t>
      </w:r>
      <w:r>
        <w:rPr>
          <w:sz w:val="22"/>
          <w:szCs w:val="22"/>
        </w:rPr>
        <w:t xml:space="preserve"> while cell </w:t>
      </w:r>
      <w:r>
        <w:rPr>
          <w:sz w:val="22"/>
          <w:szCs w:val="22"/>
        </w:rPr>
        <w:t>types</w:t>
      </w:r>
      <w:r>
        <w:rPr>
          <w:sz w:val="22"/>
          <w:szCs w:val="22"/>
        </w:rPr>
        <w:t xml:space="preserve"> HepG2 and iPSC had the smallest pr</w:t>
      </w:r>
      <w:r>
        <w:rPr>
          <w:sz w:val="22"/>
          <w:szCs w:val="22"/>
        </w:rPr>
        <w:t xml:space="preserve">oportion of label ‘B’. </w:t>
      </w:r>
    </w:p>
    <w:p w14:paraId="238B346A" w14:textId="77777777" w:rsidR="005834ED" w:rsidRDefault="005834ED">
      <w:pPr>
        <w:rPr>
          <w:sz w:val="22"/>
          <w:szCs w:val="22"/>
        </w:rPr>
      </w:pPr>
    </w:p>
    <w:p w14:paraId="2E6680F4" w14:textId="77777777" w:rsidR="005834ED" w:rsidRDefault="005834ED">
      <w:pPr>
        <w:rPr>
          <w:sz w:val="22"/>
          <w:szCs w:val="22"/>
        </w:rPr>
      </w:pPr>
    </w:p>
    <w:p w14:paraId="2D6DDE31" w14:textId="77777777" w:rsidR="005834ED" w:rsidRDefault="005834ED">
      <w:pPr>
        <w:rPr>
          <w:sz w:val="22"/>
          <w:szCs w:val="22"/>
        </w:rPr>
      </w:pPr>
    </w:p>
    <w:p w14:paraId="6AF1D790" w14:textId="77777777" w:rsidR="005834ED" w:rsidRDefault="00E757E7">
      <w:pPr>
        <w:rPr>
          <w:sz w:val="22"/>
          <w:szCs w:val="22"/>
        </w:rPr>
      </w:pPr>
      <w:r>
        <w:rPr>
          <w:noProof/>
          <w:sz w:val="22"/>
          <w:szCs w:val="22"/>
          <w:lang w:val="en-US"/>
        </w:rPr>
        <w:lastRenderedPageBreak/>
        <w:drawing>
          <wp:inline distT="114300" distB="114300" distL="114300" distR="114300" wp14:anchorId="77D95895" wp14:editId="68284D61">
            <wp:extent cx="5205932" cy="554831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205932" cy="5548313"/>
                    </a:xfrm>
                    <a:prstGeom prst="rect">
                      <a:avLst/>
                    </a:prstGeom>
                    <a:ln/>
                  </pic:spPr>
                </pic:pic>
              </a:graphicData>
            </a:graphic>
          </wp:inline>
        </w:drawing>
      </w:r>
    </w:p>
    <w:p w14:paraId="5AE7A061" w14:textId="77777777" w:rsidR="005834ED" w:rsidRDefault="005834ED">
      <w:pPr>
        <w:rPr>
          <w:sz w:val="22"/>
          <w:szCs w:val="22"/>
        </w:rPr>
      </w:pPr>
    </w:p>
    <w:p w14:paraId="030086D4" w14:textId="77777777" w:rsidR="005834ED" w:rsidRDefault="00E757E7">
      <w:pPr>
        <w:pStyle w:val="Heading3"/>
        <w:jc w:val="both"/>
        <w:rPr>
          <w:sz w:val="22"/>
          <w:szCs w:val="22"/>
        </w:rPr>
      </w:pPr>
      <w:bookmarkStart w:id="8" w:name="_1894x8lkcx98" w:colFirst="0" w:colLast="0"/>
      <w:bookmarkEnd w:id="8"/>
      <w:r>
        <w:rPr>
          <w:b/>
          <w:sz w:val="22"/>
          <w:szCs w:val="22"/>
        </w:rPr>
        <w:t xml:space="preserve">Figure S17. </w:t>
      </w:r>
      <w:r>
        <w:rPr>
          <w:sz w:val="22"/>
          <w:szCs w:val="22"/>
        </w:rPr>
        <w:t>The proportion</w:t>
      </w:r>
      <w:r>
        <w:rPr>
          <w:sz w:val="22"/>
          <w:szCs w:val="22"/>
        </w:rPr>
        <w:t xml:space="preserve"> of ‘co-bound’ labels in different cell </w:t>
      </w:r>
      <w:r>
        <w:rPr>
          <w:sz w:val="22"/>
          <w:szCs w:val="22"/>
        </w:rPr>
        <w:t>types</w:t>
      </w:r>
      <w:r>
        <w:rPr>
          <w:sz w:val="22"/>
          <w:szCs w:val="22"/>
        </w:rPr>
        <w:t xml:space="preserve"> and TF-TF pairs </w:t>
      </w:r>
      <w:r>
        <w:rPr>
          <w:sz w:val="22"/>
          <w:szCs w:val="22"/>
        </w:rPr>
        <w:t xml:space="preserve"> </w:t>
      </w:r>
      <w:r>
        <w:rPr>
          <w:sz w:val="22"/>
          <w:szCs w:val="22"/>
        </w:rPr>
        <w:t xml:space="preserve">In the histograms above, each figure indicated one cell </w:t>
      </w:r>
      <w:r>
        <w:rPr>
          <w:sz w:val="22"/>
          <w:szCs w:val="22"/>
        </w:rPr>
        <w:t>type</w:t>
      </w:r>
      <w:r>
        <w:rPr>
          <w:sz w:val="22"/>
          <w:szCs w:val="22"/>
        </w:rPr>
        <w:t xml:space="preserve"> and the horizontal axis represented different TF-TF pairs. The number of ava</w:t>
      </w:r>
      <w:r>
        <w:rPr>
          <w:sz w:val="22"/>
          <w:szCs w:val="22"/>
        </w:rPr>
        <w:t>ilable TF-TF</w:t>
      </w:r>
      <w:r>
        <w:rPr>
          <w:sz w:val="22"/>
          <w:szCs w:val="22"/>
        </w:rPr>
        <w:t xml:space="preserve"> pair</w:t>
      </w:r>
      <w:r>
        <w:rPr>
          <w:sz w:val="22"/>
          <w:szCs w:val="22"/>
        </w:rPr>
        <w:t xml:space="preserve"> data in each cell </w:t>
      </w:r>
      <w:r>
        <w:rPr>
          <w:sz w:val="22"/>
          <w:szCs w:val="22"/>
        </w:rPr>
        <w:t>type</w:t>
      </w:r>
      <w:r>
        <w:rPr>
          <w:sz w:val="22"/>
          <w:szCs w:val="22"/>
        </w:rPr>
        <w:t xml:space="preserve"> was different. This was </w:t>
      </w:r>
      <w:r>
        <w:rPr>
          <w:sz w:val="22"/>
          <w:szCs w:val="22"/>
        </w:rPr>
        <w:t>because when</w:t>
      </w:r>
      <w:r>
        <w:rPr>
          <w:sz w:val="22"/>
          <w:szCs w:val="22"/>
        </w:rPr>
        <w:t xml:space="preserve"> generating the co-occupancy date, two TFs may not have data in the same cell </w:t>
      </w:r>
      <w:r>
        <w:rPr>
          <w:sz w:val="22"/>
          <w:szCs w:val="22"/>
        </w:rPr>
        <w:t>types</w:t>
      </w:r>
      <w:r>
        <w:rPr>
          <w:sz w:val="22"/>
          <w:szCs w:val="22"/>
        </w:rPr>
        <w:t xml:space="preserve">, thus not all TF-TF pairs had the co-occupancy date in 10 cell </w:t>
      </w:r>
      <w:r>
        <w:rPr>
          <w:sz w:val="22"/>
          <w:szCs w:val="22"/>
        </w:rPr>
        <w:t>types</w:t>
      </w:r>
      <w:r>
        <w:rPr>
          <w:sz w:val="22"/>
          <w:szCs w:val="22"/>
        </w:rPr>
        <w:t>. Moreover, the ratio of la</w:t>
      </w:r>
      <w:r>
        <w:rPr>
          <w:sz w:val="22"/>
          <w:szCs w:val="22"/>
        </w:rPr>
        <w:t xml:space="preserve">bel ‘B’ was different both in TF-TF pairs and in the cell </w:t>
      </w:r>
      <w:r>
        <w:rPr>
          <w:sz w:val="22"/>
          <w:szCs w:val="22"/>
        </w:rPr>
        <w:t>types</w:t>
      </w:r>
      <w:r>
        <w:rPr>
          <w:sz w:val="22"/>
          <w:szCs w:val="22"/>
        </w:rPr>
        <w:t xml:space="preserve">. For example, in cell </w:t>
      </w:r>
      <w:r>
        <w:rPr>
          <w:sz w:val="22"/>
          <w:szCs w:val="22"/>
        </w:rPr>
        <w:t>type</w:t>
      </w:r>
      <w:r>
        <w:rPr>
          <w:sz w:val="22"/>
          <w:szCs w:val="22"/>
        </w:rPr>
        <w:t xml:space="preserve"> HCT116, we had the co-occupancy data of 10 TF-TF pairs. Among those cell pairs, JUND-MAX had the largest label ‘B’ ratio and ATF3-CTCF had the smallest ratio. Among </w:t>
      </w:r>
      <w:r>
        <w:rPr>
          <w:sz w:val="22"/>
          <w:szCs w:val="22"/>
        </w:rPr>
        <w:t xml:space="preserve">the 10 cell </w:t>
      </w:r>
      <w:r>
        <w:rPr>
          <w:sz w:val="22"/>
          <w:szCs w:val="22"/>
        </w:rPr>
        <w:t>types</w:t>
      </w:r>
      <w:r>
        <w:rPr>
          <w:sz w:val="22"/>
          <w:szCs w:val="22"/>
        </w:rPr>
        <w:t xml:space="preserve"> and all possible TF-TF pairs, the ratio of label ‘B’ had the largest value in FOXA1-FOXA2 in cell </w:t>
      </w:r>
      <w:r>
        <w:rPr>
          <w:sz w:val="22"/>
          <w:szCs w:val="22"/>
        </w:rPr>
        <w:t>type</w:t>
      </w:r>
      <w:r>
        <w:rPr>
          <w:sz w:val="22"/>
          <w:szCs w:val="22"/>
        </w:rPr>
        <w:t xml:space="preserve"> HepG2. </w:t>
      </w:r>
    </w:p>
    <w:p w14:paraId="46412179" w14:textId="77777777" w:rsidR="005834ED" w:rsidRDefault="005834ED">
      <w:pPr>
        <w:rPr>
          <w:sz w:val="22"/>
          <w:szCs w:val="22"/>
        </w:rPr>
      </w:pPr>
    </w:p>
    <w:p w14:paraId="4BADEA1D" w14:textId="77777777" w:rsidR="005834ED" w:rsidRDefault="00E757E7">
      <w:pPr>
        <w:rPr>
          <w:sz w:val="22"/>
          <w:szCs w:val="22"/>
        </w:rPr>
      </w:pPr>
      <w:r>
        <w:rPr>
          <w:noProof/>
          <w:sz w:val="22"/>
          <w:szCs w:val="22"/>
          <w:lang w:val="en-US"/>
        </w:rPr>
        <w:lastRenderedPageBreak/>
        <w:drawing>
          <wp:inline distT="114300" distB="114300" distL="114300" distR="114300" wp14:anchorId="6D2D68D0" wp14:editId="021AE6F5">
            <wp:extent cx="4948238" cy="330459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948238" cy="3304592"/>
                    </a:xfrm>
                    <a:prstGeom prst="rect">
                      <a:avLst/>
                    </a:prstGeom>
                    <a:ln/>
                  </pic:spPr>
                </pic:pic>
              </a:graphicData>
            </a:graphic>
          </wp:inline>
        </w:drawing>
      </w:r>
    </w:p>
    <w:p w14:paraId="69FB2C21" w14:textId="77777777" w:rsidR="005834ED" w:rsidRDefault="00E757E7">
      <w:pPr>
        <w:pStyle w:val="Heading3"/>
        <w:jc w:val="both"/>
        <w:rPr>
          <w:sz w:val="22"/>
          <w:szCs w:val="22"/>
        </w:rPr>
      </w:pPr>
      <w:bookmarkStart w:id="9" w:name="_4dt2wlwn2k1e" w:colFirst="0" w:colLast="0"/>
      <w:bookmarkEnd w:id="9"/>
      <w:r>
        <w:rPr>
          <w:b/>
          <w:sz w:val="22"/>
          <w:szCs w:val="22"/>
        </w:rPr>
        <w:t>Figure S18.</w:t>
      </w:r>
      <w:r>
        <w:rPr>
          <w:sz w:val="22"/>
          <w:szCs w:val="22"/>
        </w:rPr>
        <w:t xml:space="preserve"> The log(p-value) of the paired Wilcoxon Test in different TF-TF pairs. After applying the paired Wilcoxon Test f</w:t>
      </w:r>
      <w:r>
        <w:rPr>
          <w:sz w:val="22"/>
          <w:szCs w:val="22"/>
        </w:rPr>
        <w:t>or each TF-TF pair, we got a total of 56 p-values. All p-values are smaller than 0.0001. To better distinguish those values, we did a log transformation to all collected p-values. Moreover, to control the overall familywise error rate as 0.01, all p-values</w:t>
      </w:r>
      <w:r>
        <w:rPr>
          <w:sz w:val="22"/>
          <w:szCs w:val="22"/>
        </w:rPr>
        <w:t xml:space="preserve"> should be below 0.00178. The results indicate that all TF-TF pairs significantly co-occupy. </w:t>
      </w:r>
    </w:p>
    <w:p w14:paraId="63D8E6C5" w14:textId="77777777" w:rsidR="005834ED" w:rsidRDefault="005834ED">
      <w:pPr>
        <w:rPr>
          <w:sz w:val="22"/>
          <w:szCs w:val="22"/>
        </w:rPr>
      </w:pPr>
    </w:p>
    <w:p w14:paraId="131A0C47" w14:textId="77777777" w:rsidR="005834ED" w:rsidRDefault="00E757E7">
      <w:pPr>
        <w:pStyle w:val="Heading3"/>
        <w:spacing w:before="120" w:line="240" w:lineRule="auto"/>
        <w:jc w:val="both"/>
        <w:rPr>
          <w:sz w:val="22"/>
          <w:szCs w:val="22"/>
        </w:rPr>
      </w:pPr>
      <w:bookmarkStart w:id="10" w:name="_7xqdxdyfqx6s" w:colFirst="0" w:colLast="0"/>
      <w:bookmarkEnd w:id="10"/>
      <w:r>
        <w:rPr>
          <w:noProof/>
          <w:sz w:val="22"/>
          <w:szCs w:val="22"/>
          <w:lang w:val="en-US"/>
        </w:rPr>
        <w:lastRenderedPageBreak/>
        <w:drawing>
          <wp:inline distT="114300" distB="114300" distL="114300" distR="114300" wp14:anchorId="5D1AEDFD" wp14:editId="6D28EA76">
            <wp:extent cx="5943600" cy="6400800"/>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t="31" b="31"/>
                    <a:stretch>
                      <a:fillRect/>
                    </a:stretch>
                  </pic:blipFill>
                  <pic:spPr>
                    <a:xfrm>
                      <a:off x="0" y="0"/>
                      <a:ext cx="5943600" cy="6400800"/>
                    </a:xfrm>
                    <a:prstGeom prst="rect">
                      <a:avLst/>
                    </a:prstGeom>
                    <a:ln/>
                  </pic:spPr>
                </pic:pic>
              </a:graphicData>
            </a:graphic>
          </wp:inline>
        </w:drawing>
      </w:r>
      <w:r>
        <w:rPr>
          <w:b/>
          <w:sz w:val="22"/>
          <w:szCs w:val="22"/>
        </w:rPr>
        <w:t>Figure S19.</w:t>
      </w:r>
      <w:r>
        <w:rPr>
          <w:sz w:val="22"/>
          <w:szCs w:val="22"/>
        </w:rPr>
        <w:t xml:space="preserve"> Statistical analysis of TF-TF co-occupancy profiles. (A) Counts of co-bound (B) and un-co-bound (U) in different cell types. The y-axis represents t</w:t>
      </w:r>
      <w:r>
        <w:rPr>
          <w:sz w:val="22"/>
          <w:szCs w:val="22"/>
        </w:rPr>
        <w:t>he log values with base 2 of average counts cross TF-TF pairs in one cell type. The proportion of co-bound events is 0.000504, since TF-TF co-occupancy is a rare event. In order to better visualize the relationship between different labels, we plotted log</w:t>
      </w:r>
      <w:r>
        <w:rPr>
          <w:sz w:val="22"/>
          <w:szCs w:val="22"/>
          <w:vertAlign w:val="subscript"/>
        </w:rPr>
        <w:t>2</w:t>
      </w:r>
      <w:r>
        <w:rPr>
          <w:sz w:val="22"/>
          <w:szCs w:val="22"/>
        </w:rPr>
        <w:t>(count) instead of the original count. In the 10 cell types, the proportions of B labels do not differ largely. (B) The ratio of co-bound in different TF-TF pairs. The color in each unit indicates the average value of B/(B+A+U) across all cell types. Blank</w:t>
      </w:r>
      <w:r>
        <w:rPr>
          <w:sz w:val="22"/>
          <w:szCs w:val="22"/>
        </w:rPr>
        <w:t xml:space="preserve"> positions mean that the data for that TF-TF pair is not available. The overall ratios are low though several pairs are relatively higher than others. From this plot, FOXA1-FOXA2 has the largest co-bound ratio. (C) P-values from paired Wilcoxon signed-rank</w:t>
      </w:r>
      <w:r>
        <w:rPr>
          <w:sz w:val="22"/>
          <w:szCs w:val="22"/>
        </w:rPr>
        <w:t xml:space="preserve"> test. To control the familywise error rate </w:t>
      </w:r>
      <w:hyperlink r:id="rId25">
        <w:r>
          <w:rPr>
            <w:sz w:val="22"/>
            <w:szCs w:val="22"/>
            <w:vertAlign w:val="superscript"/>
          </w:rPr>
          <w:t>28,37</w:t>
        </w:r>
      </w:hyperlink>
      <w:r>
        <w:rPr>
          <w:sz w:val="22"/>
          <w:szCs w:val="22"/>
        </w:rPr>
        <w:t xml:space="preserve"> as 0.01, all p-values should be less than 0.00178. The computation results indicate that all p-values are smaller than 0.0001, which reveals that </w:t>
      </w:r>
      <w:r>
        <w:rPr>
          <w:sz w:val="22"/>
          <w:szCs w:val="22"/>
        </w:rPr>
        <w:t xml:space="preserve">the 56 TF-TF pairs in our study significantly co-occupy </w:t>
      </w:r>
      <w:r>
        <w:rPr>
          <w:sz w:val="22"/>
          <w:szCs w:val="22"/>
        </w:rPr>
        <w:lastRenderedPageBreak/>
        <w:t>than independent occupy. (D, E) Two examples of paired Wilcoxon signed-rank test. We compared the co-bound proportion and the product of two single bound ratios in random 100 intervals with length 100</w:t>
      </w:r>
      <w:r>
        <w:rPr>
          <w:sz w:val="22"/>
          <w:szCs w:val="22"/>
        </w:rPr>
        <w:t xml:space="preserve">,000bp for each TF-TF pair. We expect that if the p-value is smaller than 0.001, the tested TF-TF pair is significantly co-occupying in the same genome interval. </w:t>
      </w:r>
    </w:p>
    <w:p w14:paraId="6955CB2B" w14:textId="77777777" w:rsidR="005834ED" w:rsidRDefault="005834ED">
      <w:pPr>
        <w:rPr>
          <w:sz w:val="22"/>
          <w:szCs w:val="22"/>
        </w:rPr>
      </w:pPr>
    </w:p>
    <w:p w14:paraId="1B60267C" w14:textId="77777777" w:rsidR="005834ED" w:rsidRDefault="005834ED">
      <w:pPr>
        <w:rPr>
          <w:sz w:val="22"/>
          <w:szCs w:val="22"/>
        </w:rPr>
      </w:pPr>
    </w:p>
    <w:p w14:paraId="52B1322C" w14:textId="77777777" w:rsidR="005834ED" w:rsidRDefault="005834ED">
      <w:pPr>
        <w:rPr>
          <w:sz w:val="22"/>
          <w:szCs w:val="22"/>
        </w:rPr>
      </w:pPr>
    </w:p>
    <w:p w14:paraId="72DE94A1" w14:textId="77777777" w:rsidR="005834ED" w:rsidRDefault="005834ED">
      <w:pPr>
        <w:rPr>
          <w:sz w:val="22"/>
          <w:szCs w:val="22"/>
        </w:rPr>
      </w:pPr>
    </w:p>
    <w:p w14:paraId="5FF8CBBD" w14:textId="77777777" w:rsidR="005834ED" w:rsidRDefault="005834ED">
      <w:pPr>
        <w:rPr>
          <w:sz w:val="22"/>
          <w:szCs w:val="22"/>
        </w:rPr>
      </w:pPr>
    </w:p>
    <w:p w14:paraId="66ACF730" w14:textId="77777777" w:rsidR="005834ED" w:rsidRDefault="005834ED">
      <w:pPr>
        <w:rPr>
          <w:sz w:val="22"/>
          <w:szCs w:val="22"/>
        </w:rPr>
      </w:pPr>
    </w:p>
    <w:p w14:paraId="1493CB00" w14:textId="77777777" w:rsidR="005834ED" w:rsidRDefault="005834ED">
      <w:pPr>
        <w:rPr>
          <w:sz w:val="22"/>
          <w:szCs w:val="22"/>
        </w:rPr>
      </w:pPr>
    </w:p>
    <w:p w14:paraId="04DF7B52" w14:textId="77777777" w:rsidR="005834ED" w:rsidRDefault="005834ED">
      <w:pPr>
        <w:rPr>
          <w:sz w:val="22"/>
          <w:szCs w:val="22"/>
        </w:rPr>
      </w:pPr>
    </w:p>
    <w:p w14:paraId="0C8AB4BC" w14:textId="77777777" w:rsidR="005834ED" w:rsidRDefault="005834ED">
      <w:pPr>
        <w:rPr>
          <w:sz w:val="22"/>
          <w:szCs w:val="22"/>
        </w:rPr>
      </w:pPr>
    </w:p>
    <w:p w14:paraId="40444FC3" w14:textId="77777777" w:rsidR="005834ED" w:rsidRDefault="005834ED">
      <w:pPr>
        <w:pStyle w:val="Heading3"/>
        <w:rPr>
          <w:sz w:val="22"/>
          <w:szCs w:val="22"/>
        </w:rPr>
      </w:pPr>
      <w:bookmarkStart w:id="11" w:name="_xh1yxhik0muv" w:colFirst="0" w:colLast="0"/>
      <w:bookmarkEnd w:id="11"/>
    </w:p>
    <w:p w14:paraId="17B4BFEA" w14:textId="77777777" w:rsidR="005834ED" w:rsidRDefault="005834ED">
      <w:pPr>
        <w:pStyle w:val="Heading3"/>
        <w:rPr>
          <w:sz w:val="22"/>
          <w:szCs w:val="22"/>
        </w:rPr>
      </w:pPr>
      <w:bookmarkStart w:id="12" w:name="_ficrrx7fswlt" w:colFirst="0" w:colLast="0"/>
      <w:bookmarkEnd w:id="12"/>
    </w:p>
    <w:p w14:paraId="0C331FD8" w14:textId="77777777" w:rsidR="005834ED" w:rsidRDefault="005834ED">
      <w:pPr>
        <w:rPr>
          <w:sz w:val="22"/>
          <w:szCs w:val="22"/>
        </w:rPr>
      </w:pPr>
    </w:p>
    <w:p w14:paraId="20595EEA" w14:textId="77777777" w:rsidR="005834ED" w:rsidRDefault="005834ED">
      <w:pPr>
        <w:rPr>
          <w:sz w:val="22"/>
          <w:szCs w:val="22"/>
        </w:rPr>
      </w:pPr>
    </w:p>
    <w:p w14:paraId="1F9AE863" w14:textId="77777777" w:rsidR="005834ED" w:rsidRDefault="005834ED">
      <w:pPr>
        <w:rPr>
          <w:sz w:val="22"/>
          <w:szCs w:val="22"/>
        </w:rPr>
      </w:pPr>
    </w:p>
    <w:p w14:paraId="14D1EC58" w14:textId="77777777" w:rsidR="005834ED" w:rsidRDefault="005834ED">
      <w:pPr>
        <w:rPr>
          <w:sz w:val="22"/>
          <w:szCs w:val="22"/>
        </w:rPr>
      </w:pPr>
    </w:p>
    <w:p w14:paraId="54649F4B" w14:textId="77777777" w:rsidR="005834ED" w:rsidRDefault="005834ED">
      <w:pPr>
        <w:rPr>
          <w:sz w:val="22"/>
          <w:szCs w:val="22"/>
        </w:rPr>
      </w:pPr>
    </w:p>
    <w:p w14:paraId="333FEA58" w14:textId="77777777" w:rsidR="005834ED" w:rsidRDefault="005834ED">
      <w:pPr>
        <w:rPr>
          <w:sz w:val="22"/>
          <w:szCs w:val="22"/>
        </w:rPr>
      </w:pPr>
    </w:p>
    <w:p w14:paraId="360E139A" w14:textId="77777777" w:rsidR="005834ED" w:rsidRDefault="00E757E7">
      <w:pPr>
        <w:rPr>
          <w:sz w:val="22"/>
          <w:szCs w:val="22"/>
        </w:rPr>
      </w:pPr>
      <w:r>
        <w:br w:type="page"/>
      </w:r>
    </w:p>
    <w:p w14:paraId="5512C86C" w14:textId="77777777" w:rsidR="005834ED" w:rsidRDefault="00E757E7">
      <w:pPr>
        <w:rPr>
          <w:b/>
          <w:sz w:val="22"/>
          <w:szCs w:val="22"/>
        </w:rPr>
      </w:pPr>
      <w:r>
        <w:rPr>
          <w:b/>
          <w:sz w:val="22"/>
          <w:szCs w:val="22"/>
        </w:rPr>
        <w:lastRenderedPageBreak/>
        <w:t>Supplementary Tables (attached excel file)</w:t>
      </w:r>
    </w:p>
    <w:p w14:paraId="4C9FAA08" w14:textId="77777777" w:rsidR="005834ED" w:rsidRDefault="00E757E7">
      <w:pPr>
        <w:jc w:val="both"/>
        <w:rPr>
          <w:sz w:val="22"/>
          <w:szCs w:val="22"/>
        </w:rPr>
      </w:pPr>
      <w:r>
        <w:rPr>
          <w:b/>
          <w:sz w:val="22"/>
          <w:szCs w:val="22"/>
        </w:rPr>
        <w:t>Supplementary table S1</w:t>
      </w:r>
      <w:r>
        <w:rPr>
          <w:sz w:val="22"/>
          <w:szCs w:val="22"/>
        </w:rPr>
        <w:t xml:space="preserve">. Availability of </w:t>
      </w:r>
      <w:proofErr w:type="spellStart"/>
      <w:r>
        <w:rPr>
          <w:sz w:val="22"/>
          <w:szCs w:val="22"/>
        </w:rPr>
        <w:t>ChIP-seq</w:t>
      </w:r>
      <w:proofErr w:type="spellEnd"/>
      <w:r>
        <w:rPr>
          <w:sz w:val="22"/>
          <w:szCs w:val="22"/>
        </w:rPr>
        <w:t xml:space="preserve"> data for 13 single transcription factor binding sites on 10 cell types and TF families. </w:t>
      </w:r>
    </w:p>
    <w:p w14:paraId="244AC3BC" w14:textId="77777777" w:rsidR="005834ED" w:rsidRDefault="00E757E7">
      <w:pPr>
        <w:jc w:val="both"/>
        <w:rPr>
          <w:sz w:val="22"/>
          <w:szCs w:val="22"/>
        </w:rPr>
      </w:pPr>
      <w:r>
        <w:rPr>
          <w:b/>
          <w:sz w:val="22"/>
          <w:szCs w:val="22"/>
        </w:rPr>
        <w:t>Supplementary table S2</w:t>
      </w:r>
      <w:r>
        <w:rPr>
          <w:sz w:val="22"/>
          <w:szCs w:val="22"/>
        </w:rPr>
        <w:t xml:space="preserve">. TF-TF co-occupancy files and the split of training and testing datasets. </w:t>
      </w:r>
    </w:p>
    <w:p w14:paraId="6343BA11" w14:textId="77777777" w:rsidR="005834ED" w:rsidRDefault="00E757E7">
      <w:pPr>
        <w:jc w:val="both"/>
        <w:rPr>
          <w:sz w:val="22"/>
          <w:szCs w:val="22"/>
        </w:rPr>
      </w:pPr>
      <w:r>
        <w:rPr>
          <w:b/>
          <w:sz w:val="22"/>
          <w:szCs w:val="22"/>
        </w:rPr>
        <w:t>Supplementary table S3</w:t>
      </w:r>
      <w:r>
        <w:rPr>
          <w:sz w:val="22"/>
          <w:szCs w:val="22"/>
        </w:rPr>
        <w:t>. The cross-cell line prediction AUROCs and AUPRCs values of 56 test TF-TF pairs</w:t>
      </w:r>
    </w:p>
    <w:p w14:paraId="384615E9" w14:textId="77777777" w:rsidR="005834ED" w:rsidRDefault="00E757E7">
      <w:pPr>
        <w:jc w:val="both"/>
        <w:rPr>
          <w:sz w:val="22"/>
          <w:szCs w:val="22"/>
        </w:rPr>
      </w:pPr>
      <w:r>
        <w:rPr>
          <w:b/>
          <w:sz w:val="22"/>
          <w:szCs w:val="22"/>
        </w:rPr>
        <w:t>Supplementary table S4</w:t>
      </w:r>
      <w:r>
        <w:rPr>
          <w:sz w:val="22"/>
          <w:szCs w:val="22"/>
        </w:rPr>
        <w:t>. The cross-chromosome prediction AUROCs and AUPRCs values of 56 test TF-TF pairs</w:t>
      </w:r>
    </w:p>
    <w:p w14:paraId="73C36F85" w14:textId="77777777" w:rsidR="005834ED" w:rsidRDefault="00E757E7">
      <w:pPr>
        <w:jc w:val="both"/>
        <w:rPr>
          <w:sz w:val="22"/>
          <w:szCs w:val="22"/>
        </w:rPr>
      </w:pPr>
      <w:r>
        <w:rPr>
          <w:b/>
          <w:sz w:val="22"/>
          <w:szCs w:val="22"/>
        </w:rPr>
        <w:t xml:space="preserve">Supplementary table S5. </w:t>
      </w:r>
      <w:r>
        <w:rPr>
          <w:sz w:val="22"/>
          <w:szCs w:val="22"/>
        </w:rPr>
        <w:t>The number of single-bound (BU) and no-bound (U</w:t>
      </w:r>
      <w:r>
        <w:rPr>
          <w:sz w:val="22"/>
          <w:szCs w:val="22"/>
        </w:rPr>
        <w:t>U) in samples.</w:t>
      </w:r>
    </w:p>
    <w:p w14:paraId="2B9A4664" w14:textId="77777777" w:rsidR="005834ED" w:rsidRDefault="00E757E7">
      <w:pPr>
        <w:jc w:val="both"/>
        <w:rPr>
          <w:sz w:val="22"/>
          <w:szCs w:val="22"/>
        </w:rPr>
      </w:pPr>
      <w:r>
        <w:rPr>
          <w:b/>
          <w:sz w:val="22"/>
          <w:szCs w:val="22"/>
        </w:rPr>
        <w:t xml:space="preserve">Supplementary table S6. </w:t>
      </w:r>
      <w:r>
        <w:rPr>
          <w:sz w:val="22"/>
          <w:szCs w:val="22"/>
        </w:rPr>
        <w:t>Two types of peak fractions of 56 TF-TF pairs in 10 different cell types.</w:t>
      </w:r>
    </w:p>
    <w:p w14:paraId="588B3495" w14:textId="77777777" w:rsidR="005834ED" w:rsidRDefault="00E757E7">
      <w:pPr>
        <w:jc w:val="both"/>
        <w:rPr>
          <w:sz w:val="22"/>
          <w:szCs w:val="22"/>
        </w:rPr>
      </w:pPr>
      <w:r>
        <w:rPr>
          <w:b/>
          <w:sz w:val="22"/>
          <w:szCs w:val="22"/>
        </w:rPr>
        <w:t>Supplementary table S7</w:t>
      </w:r>
      <w:r>
        <w:rPr>
          <w:sz w:val="22"/>
          <w:szCs w:val="22"/>
        </w:rPr>
        <w:t>. Counts of labels ‘B’ (co-bound), ‘U’ (un-co-bound), and ‘A’ (ambiguous) of 56 TF-TF pairs in 10 different cell types.</w:t>
      </w:r>
    </w:p>
    <w:p w14:paraId="6F6D1231" w14:textId="77777777" w:rsidR="005834ED" w:rsidRDefault="00E757E7">
      <w:pPr>
        <w:jc w:val="both"/>
        <w:rPr>
          <w:sz w:val="22"/>
          <w:szCs w:val="22"/>
        </w:rPr>
      </w:pPr>
      <w:r>
        <w:rPr>
          <w:b/>
          <w:sz w:val="22"/>
          <w:szCs w:val="22"/>
        </w:rPr>
        <w:t>S</w:t>
      </w:r>
      <w:r>
        <w:rPr>
          <w:b/>
          <w:sz w:val="22"/>
          <w:szCs w:val="22"/>
        </w:rPr>
        <w:t>upplementary table S8.</w:t>
      </w:r>
      <w:r>
        <w:rPr>
          <w:sz w:val="22"/>
          <w:szCs w:val="22"/>
        </w:rPr>
        <w:t xml:space="preserve"> P-values of statistically significant cooperative TF-TF pairs from paired Wilcoxon test. </w:t>
      </w:r>
    </w:p>
    <w:p w14:paraId="465FC861" w14:textId="77777777" w:rsidR="005834ED" w:rsidRDefault="005834ED">
      <w:pPr>
        <w:jc w:val="both"/>
        <w:rPr>
          <w:sz w:val="22"/>
          <w:szCs w:val="22"/>
        </w:rPr>
      </w:pPr>
    </w:p>
    <w:p w14:paraId="6396FE56" w14:textId="77777777" w:rsidR="005834ED" w:rsidRDefault="005834ED">
      <w:pPr>
        <w:rPr>
          <w:sz w:val="22"/>
          <w:szCs w:val="22"/>
        </w:rPr>
      </w:pPr>
    </w:p>
    <w:p w14:paraId="32A825ED" w14:textId="77777777" w:rsidR="005834ED" w:rsidRDefault="005834ED">
      <w:pPr>
        <w:rPr>
          <w:sz w:val="22"/>
          <w:szCs w:val="22"/>
        </w:rPr>
      </w:pPr>
    </w:p>
    <w:p w14:paraId="77C3B229" w14:textId="77777777" w:rsidR="005834ED" w:rsidRDefault="005834ED">
      <w:pPr>
        <w:rPr>
          <w:sz w:val="22"/>
          <w:szCs w:val="22"/>
        </w:rPr>
      </w:pPr>
    </w:p>
    <w:p w14:paraId="2996D086" w14:textId="77777777" w:rsidR="005834ED" w:rsidRDefault="005834ED">
      <w:pPr>
        <w:rPr>
          <w:sz w:val="22"/>
          <w:szCs w:val="22"/>
        </w:rPr>
      </w:pPr>
    </w:p>
    <w:p w14:paraId="19CA6173" w14:textId="77777777" w:rsidR="005834ED" w:rsidRDefault="005834ED">
      <w:pPr>
        <w:rPr>
          <w:sz w:val="22"/>
          <w:szCs w:val="22"/>
        </w:rPr>
      </w:pPr>
    </w:p>
    <w:p w14:paraId="0409382C" w14:textId="77777777" w:rsidR="005834ED" w:rsidRDefault="005834ED">
      <w:pPr>
        <w:rPr>
          <w:sz w:val="22"/>
          <w:szCs w:val="22"/>
        </w:rPr>
      </w:pPr>
    </w:p>
    <w:p w14:paraId="70BC96B8" w14:textId="77777777" w:rsidR="005834ED" w:rsidRDefault="005834ED">
      <w:pPr>
        <w:rPr>
          <w:sz w:val="22"/>
          <w:szCs w:val="22"/>
        </w:rPr>
      </w:pPr>
    </w:p>
    <w:p w14:paraId="0DEF0D87" w14:textId="77777777" w:rsidR="005834ED" w:rsidRDefault="005834ED">
      <w:pPr>
        <w:rPr>
          <w:sz w:val="22"/>
          <w:szCs w:val="22"/>
        </w:rPr>
      </w:pPr>
    </w:p>
    <w:p w14:paraId="26E6B11D" w14:textId="77777777" w:rsidR="005834ED" w:rsidRDefault="005834ED">
      <w:pPr>
        <w:rPr>
          <w:sz w:val="22"/>
          <w:szCs w:val="22"/>
        </w:rPr>
      </w:pPr>
    </w:p>
    <w:p w14:paraId="7B255A6E" w14:textId="77777777" w:rsidR="005834ED" w:rsidRDefault="005834ED">
      <w:pPr>
        <w:rPr>
          <w:sz w:val="22"/>
          <w:szCs w:val="22"/>
        </w:rPr>
      </w:pPr>
    </w:p>
    <w:p w14:paraId="630B374D" w14:textId="77777777" w:rsidR="005834ED" w:rsidRDefault="005834ED">
      <w:pPr>
        <w:rPr>
          <w:sz w:val="22"/>
          <w:szCs w:val="22"/>
        </w:rPr>
      </w:pPr>
    </w:p>
    <w:p w14:paraId="4055833A" w14:textId="77777777" w:rsidR="005834ED" w:rsidRDefault="005834ED">
      <w:pPr>
        <w:rPr>
          <w:sz w:val="22"/>
          <w:szCs w:val="22"/>
        </w:rPr>
      </w:pPr>
    </w:p>
    <w:p w14:paraId="2B982462" w14:textId="77777777" w:rsidR="005834ED" w:rsidRDefault="005834ED">
      <w:pPr>
        <w:rPr>
          <w:sz w:val="22"/>
          <w:szCs w:val="22"/>
        </w:rPr>
      </w:pPr>
    </w:p>
    <w:p w14:paraId="06B8950D" w14:textId="77777777" w:rsidR="005834ED" w:rsidRDefault="005834ED">
      <w:pPr>
        <w:rPr>
          <w:sz w:val="22"/>
          <w:szCs w:val="22"/>
        </w:rPr>
      </w:pPr>
    </w:p>
    <w:p w14:paraId="723AD834" w14:textId="77777777" w:rsidR="005834ED" w:rsidRDefault="005834ED">
      <w:pPr>
        <w:rPr>
          <w:sz w:val="22"/>
          <w:szCs w:val="22"/>
        </w:rPr>
      </w:pPr>
    </w:p>
    <w:p w14:paraId="568543D7" w14:textId="77777777" w:rsidR="005834ED" w:rsidRDefault="005834ED">
      <w:pPr>
        <w:rPr>
          <w:sz w:val="22"/>
          <w:szCs w:val="22"/>
        </w:rPr>
      </w:pPr>
    </w:p>
    <w:p w14:paraId="5188802C" w14:textId="77777777" w:rsidR="005834ED" w:rsidRDefault="005834ED">
      <w:pPr>
        <w:rPr>
          <w:sz w:val="22"/>
          <w:szCs w:val="22"/>
        </w:rPr>
      </w:pPr>
    </w:p>
    <w:p w14:paraId="7CA9F57E" w14:textId="77777777" w:rsidR="005834ED" w:rsidRDefault="005834ED">
      <w:pPr>
        <w:rPr>
          <w:sz w:val="22"/>
          <w:szCs w:val="22"/>
        </w:rPr>
      </w:pPr>
    </w:p>
    <w:p w14:paraId="1F3BD6FD" w14:textId="77777777" w:rsidR="005834ED" w:rsidRDefault="005834ED">
      <w:pPr>
        <w:rPr>
          <w:sz w:val="22"/>
          <w:szCs w:val="22"/>
        </w:rPr>
      </w:pPr>
    </w:p>
    <w:p w14:paraId="55B37742" w14:textId="77777777" w:rsidR="005834ED" w:rsidRDefault="005834ED">
      <w:pPr>
        <w:rPr>
          <w:sz w:val="22"/>
          <w:szCs w:val="22"/>
        </w:rPr>
      </w:pPr>
    </w:p>
    <w:p w14:paraId="60F30687" w14:textId="77777777" w:rsidR="005834ED" w:rsidRDefault="005834ED">
      <w:pPr>
        <w:rPr>
          <w:sz w:val="22"/>
          <w:szCs w:val="22"/>
        </w:rPr>
      </w:pPr>
    </w:p>
    <w:p w14:paraId="664E43EE" w14:textId="77777777" w:rsidR="005834ED" w:rsidRDefault="005834ED">
      <w:pPr>
        <w:rPr>
          <w:sz w:val="22"/>
          <w:szCs w:val="22"/>
        </w:rPr>
      </w:pPr>
    </w:p>
    <w:p w14:paraId="6390E7F6" w14:textId="77777777" w:rsidR="005834ED" w:rsidRDefault="005834ED">
      <w:pPr>
        <w:rPr>
          <w:sz w:val="22"/>
          <w:szCs w:val="22"/>
        </w:rPr>
      </w:pPr>
    </w:p>
    <w:p w14:paraId="491FB4CA" w14:textId="77777777" w:rsidR="005834ED" w:rsidRDefault="005834ED">
      <w:pPr>
        <w:rPr>
          <w:sz w:val="22"/>
          <w:szCs w:val="22"/>
        </w:rPr>
      </w:pPr>
    </w:p>
    <w:p w14:paraId="60677CDA" w14:textId="77777777" w:rsidR="005834ED" w:rsidRDefault="005834ED">
      <w:pPr>
        <w:rPr>
          <w:sz w:val="22"/>
          <w:szCs w:val="22"/>
        </w:rPr>
      </w:pPr>
    </w:p>
    <w:p w14:paraId="7D2D9E5E" w14:textId="77777777" w:rsidR="005834ED" w:rsidRDefault="005834ED">
      <w:pPr>
        <w:rPr>
          <w:sz w:val="22"/>
          <w:szCs w:val="22"/>
        </w:rPr>
      </w:pPr>
    </w:p>
    <w:p w14:paraId="5A2180EC" w14:textId="77777777" w:rsidR="005834ED" w:rsidRDefault="005834ED">
      <w:pPr>
        <w:rPr>
          <w:sz w:val="22"/>
          <w:szCs w:val="22"/>
        </w:rPr>
      </w:pPr>
    </w:p>
    <w:p w14:paraId="525BB27A" w14:textId="77777777" w:rsidR="005834ED" w:rsidRDefault="005834ED">
      <w:pPr>
        <w:rPr>
          <w:sz w:val="22"/>
          <w:szCs w:val="22"/>
        </w:rPr>
      </w:pPr>
    </w:p>
    <w:p w14:paraId="22DADCDF" w14:textId="77777777" w:rsidR="002E1BA6" w:rsidRDefault="002E1BA6">
      <w:pPr>
        <w:rPr>
          <w:b/>
          <w:sz w:val="22"/>
          <w:szCs w:val="22"/>
        </w:rPr>
      </w:pPr>
    </w:p>
    <w:p w14:paraId="415815BA" w14:textId="77777777" w:rsidR="005834ED" w:rsidRDefault="00E757E7">
      <w:pPr>
        <w:rPr>
          <w:b/>
          <w:sz w:val="22"/>
          <w:szCs w:val="22"/>
        </w:rPr>
      </w:pPr>
      <w:r>
        <w:rPr>
          <w:b/>
          <w:sz w:val="22"/>
          <w:szCs w:val="22"/>
        </w:rPr>
        <w:lastRenderedPageBreak/>
        <w:t>The source code</w:t>
      </w:r>
    </w:p>
    <w:p w14:paraId="6B465BAE" w14:textId="77777777" w:rsidR="005834ED" w:rsidRDefault="00E757E7">
      <w:pPr>
        <w:jc w:val="both"/>
        <w:rPr>
          <w:sz w:val="22"/>
          <w:szCs w:val="22"/>
        </w:rPr>
      </w:pPr>
      <w:r>
        <w:rPr>
          <w:sz w:val="22"/>
          <w:szCs w:val="22"/>
        </w:rPr>
        <w:t xml:space="preserve">For details, please go to </w:t>
      </w:r>
      <w:hyperlink r:id="rId26">
        <w:r>
          <w:rPr>
            <w:sz w:val="22"/>
            <w:szCs w:val="22"/>
            <w:u w:val="single"/>
          </w:rPr>
          <w:t>https://github.com/GuanLab/Sequence_Analysis_for_TF-</w:t>
        </w:r>
        <w:bookmarkStart w:id="13" w:name="_GoBack"/>
        <w:r>
          <w:rPr>
            <w:sz w:val="22"/>
            <w:szCs w:val="22"/>
            <w:u w:val="single"/>
          </w:rPr>
          <w:t>co-b</w:t>
        </w:r>
        <w:bookmarkEnd w:id="13"/>
        <w:r>
          <w:rPr>
            <w:sz w:val="22"/>
            <w:szCs w:val="22"/>
            <w:u w:val="single"/>
          </w:rPr>
          <w:t>inding.git</w:t>
        </w:r>
      </w:hyperlink>
      <w:r>
        <w:rPr>
          <w:sz w:val="22"/>
          <w:szCs w:val="22"/>
        </w:rPr>
        <w:t xml:space="preserve"> </w:t>
      </w:r>
    </w:p>
    <w:p w14:paraId="05381D9F" w14:textId="77777777" w:rsidR="005834ED" w:rsidRDefault="005834ED">
      <w:pPr>
        <w:jc w:val="both"/>
        <w:rPr>
          <w:sz w:val="20"/>
          <w:szCs w:val="20"/>
        </w:rPr>
      </w:pPr>
    </w:p>
    <w:p w14:paraId="54D51688" w14:textId="77777777" w:rsidR="005834ED" w:rsidRDefault="005834ED">
      <w:pPr>
        <w:jc w:val="both"/>
        <w:rPr>
          <w:sz w:val="20"/>
          <w:szCs w:val="20"/>
        </w:rPr>
      </w:pPr>
    </w:p>
    <w:sectPr w:rsidR="005834ED">
      <w:footerReference w:type="default" r:id="rId27"/>
      <w:footerReference w:type="first" r:id="rId2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5F31B" w14:textId="77777777" w:rsidR="00E757E7" w:rsidRDefault="00E757E7">
      <w:pPr>
        <w:spacing w:line="240" w:lineRule="auto"/>
      </w:pPr>
      <w:r>
        <w:separator/>
      </w:r>
    </w:p>
  </w:endnote>
  <w:endnote w:type="continuationSeparator" w:id="0">
    <w:p w14:paraId="13782E71" w14:textId="77777777" w:rsidR="00E757E7" w:rsidRDefault="00E757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E0EA4" w14:textId="77777777" w:rsidR="005834ED" w:rsidRDefault="00E757E7">
    <w:pPr>
      <w:jc w:val="right"/>
    </w:pPr>
    <w:r>
      <w:fldChar w:fldCharType="begin"/>
    </w:r>
    <w:r>
      <w:instrText>PAGE</w:instrText>
    </w:r>
    <w:r w:rsidR="002E1BA6">
      <w:fldChar w:fldCharType="separate"/>
    </w:r>
    <w:r w:rsidR="002E1BA6">
      <w:rPr>
        <w:noProof/>
      </w:rPr>
      <w:t>16</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FD823" w14:textId="77777777" w:rsidR="005834ED" w:rsidRDefault="005834E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81092" w14:textId="77777777" w:rsidR="00E757E7" w:rsidRDefault="00E757E7">
      <w:pPr>
        <w:spacing w:line="240" w:lineRule="auto"/>
      </w:pPr>
      <w:r>
        <w:separator/>
      </w:r>
    </w:p>
  </w:footnote>
  <w:footnote w:type="continuationSeparator" w:id="0">
    <w:p w14:paraId="1030A98D" w14:textId="77777777" w:rsidR="00E757E7" w:rsidRDefault="00E757E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4ED"/>
    <w:rsid w:val="002E1BA6"/>
    <w:rsid w:val="005834ED"/>
    <w:rsid w:val="00E75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33B29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zh-CN"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outlineLvl w:val="2"/>
    </w:pPr>
  </w:style>
  <w:style w:type="paragraph" w:styleId="Heading4">
    <w:name w:val="heading 4"/>
    <w:basedOn w:val="Normal"/>
    <w:next w:val="Normal"/>
    <w:pPr>
      <w:keepNext/>
      <w:keepLines/>
      <w:outlineLvl w:val="3"/>
    </w:p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hyperlink" Target="https://paperpile.com/c/QqfwPH/cskF+jgp2" TargetMode="External"/><Relationship Id="rId26" Type="http://schemas.openxmlformats.org/officeDocument/2006/relationships/hyperlink" Target="https://github.com/GuanLab/Sequence_Analysis_for_TF-co-binding.git"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1977</Words>
  <Characters>11275</Characters>
  <Application>Microsoft Macintosh Word</Application>
  <DocSecurity>0</DocSecurity>
  <Lines>93</Lines>
  <Paragraphs>26</Paragraphs>
  <ScaleCrop>false</ScaleCrop>
  <LinksUpToDate>false</LinksUpToDate>
  <CharactersWithSpaces>13226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2020-11-25T20:31:00Z</dcterms:created>
  <dcterms:modified xsi:type="dcterms:W3CDTF">2020-11-25T20:32:00Z</dcterms:modified>
</cp:coreProperties>
</file>