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highlight w:val="white"/>
          <w:rtl w:val="0"/>
        </w:rPr>
        <w:t xml:space="preserve">Supplemental Table S4. Conversion rates of Enzymatic deamination, TAB-seq, ACE-seq and Illumina-TAPS.</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highlight w:val="white"/>
          <w:rtl w:val="0"/>
        </w:rPr>
        <w:t xml:space="preserve"> </w:t>
      </w:r>
      <w:r w:rsidDel="00000000" w:rsidR="00000000" w:rsidRPr="00000000">
        <w:rPr>
          <w:rtl w:val="0"/>
        </w:rPr>
      </w:r>
    </w:p>
    <w:tbl>
      <w:tblPr>
        <w:tblStyle w:val="Table1"/>
        <w:tblW w:w="9440.0" w:type="dxa"/>
        <w:jc w:val="left"/>
        <w:tblInd w:w="0.0" w:type="dxa"/>
        <w:tblLayout w:type="fixed"/>
        <w:tblLook w:val="0400"/>
      </w:tblPr>
      <w:tblGrid>
        <w:gridCol w:w="1986"/>
        <w:gridCol w:w="1784"/>
        <w:gridCol w:w="1620"/>
        <w:gridCol w:w="1620"/>
        <w:gridCol w:w="2430"/>
        <w:tblGridChange w:id="0">
          <w:tblGrid>
            <w:gridCol w:w="1986"/>
            <w:gridCol w:w="1784"/>
            <w:gridCol w:w="1620"/>
            <w:gridCol w:w="1620"/>
            <w:gridCol w:w="2430"/>
          </w:tblGrid>
        </w:tblGridChange>
      </w:tblGrid>
      <w:tr>
        <w:trPr>
          <w:trHeight w:val="280" w:hRule="atLeast"/>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3">
            <w:pPr>
              <w:spacing w:line="240" w:lineRule="auto"/>
              <w:jc w:val="center"/>
              <w:rPr>
                <w:rFonts w:ascii="Calibri" w:cs="Calibri" w:eastAsia="Calibri" w:hAnsi="Calibri"/>
              </w:rPr>
            </w:pPr>
            <w:r w:rsidDel="00000000" w:rsidR="00000000" w:rsidRPr="00000000">
              <w:rPr>
                <w:rFonts w:ascii="Calibri" w:cs="Calibri" w:eastAsia="Calibri" w:hAnsi="Calibri"/>
                <w:b w:val="1"/>
                <w:highlight w:val="white"/>
                <w:rtl w:val="0"/>
              </w:rPr>
              <w:t xml:space="preserve">Method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4">
            <w:pPr>
              <w:spacing w:line="240" w:lineRule="auto"/>
              <w:jc w:val="cente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C</w:t>
            </w:r>
          </w:p>
          <w:p w:rsidR="00000000" w:rsidDel="00000000" w:rsidP="00000000" w:rsidRDefault="00000000" w:rsidRPr="00000000" w14:paraId="00000005">
            <w:pPr>
              <w:spacing w:line="240" w:lineRule="auto"/>
              <w:jc w:val="center"/>
              <w:rPr>
                <w:rFonts w:ascii="Calibri" w:cs="Calibri" w:eastAsia="Calibri" w:hAnsi="Calibri"/>
              </w:rPr>
            </w:pPr>
            <w:r w:rsidDel="00000000" w:rsidR="00000000" w:rsidRPr="00000000">
              <w:rPr>
                <w:rFonts w:ascii="Calibri" w:cs="Calibri" w:eastAsia="Calibri" w:hAnsi="Calibri"/>
                <w:b w:val="1"/>
                <w:highlight w:val="white"/>
                <w:rtl w:val="0"/>
              </w:rPr>
              <w:t xml:space="preserve">conversion rate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6">
            <w:pPr>
              <w:spacing w:line="240" w:lineRule="auto"/>
              <w:jc w:val="cente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5mC</w:t>
            </w:r>
          </w:p>
          <w:p w:rsidR="00000000" w:rsidDel="00000000" w:rsidP="00000000" w:rsidRDefault="00000000" w:rsidRPr="00000000" w14:paraId="00000007">
            <w:pPr>
              <w:spacing w:line="240" w:lineRule="auto"/>
              <w:jc w:val="center"/>
              <w:rPr>
                <w:rFonts w:ascii="Calibri" w:cs="Calibri" w:eastAsia="Calibri" w:hAnsi="Calibri"/>
              </w:rPr>
            </w:pPr>
            <w:r w:rsidDel="00000000" w:rsidR="00000000" w:rsidRPr="00000000">
              <w:rPr>
                <w:rFonts w:ascii="Calibri" w:cs="Calibri" w:eastAsia="Calibri" w:hAnsi="Calibri"/>
                <w:b w:val="1"/>
                <w:highlight w:val="white"/>
                <w:rtl w:val="0"/>
              </w:rPr>
              <w:t xml:space="preserve">conversion rate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8">
            <w:pPr>
              <w:spacing w:line="240" w:lineRule="auto"/>
              <w:jc w:val="center"/>
              <w:rPr>
                <w:rFonts w:ascii="Calibri" w:cs="Calibri" w:eastAsia="Calibri" w:hAnsi="Calibri"/>
              </w:rPr>
            </w:pPr>
            <w:r w:rsidDel="00000000" w:rsidR="00000000" w:rsidRPr="00000000">
              <w:rPr>
                <w:rFonts w:ascii="Calibri" w:cs="Calibri" w:eastAsia="Calibri" w:hAnsi="Calibri"/>
                <w:b w:val="1"/>
                <w:highlight w:val="white"/>
                <w:rtl w:val="0"/>
              </w:rPr>
              <w:t xml:space="preserve">5hmC protection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9">
            <w:pPr>
              <w:spacing w:line="240" w:lineRule="auto"/>
              <w:jc w:val="center"/>
              <w:rPr>
                <w:rFonts w:ascii="Calibri" w:cs="Calibri" w:eastAsia="Calibri" w:hAnsi="Calibri"/>
              </w:rPr>
            </w:pPr>
            <w:r w:rsidDel="00000000" w:rsidR="00000000" w:rsidRPr="00000000">
              <w:rPr>
                <w:rFonts w:ascii="Calibri" w:cs="Calibri" w:eastAsia="Calibri" w:hAnsi="Calibri"/>
                <w:b w:val="1"/>
                <w:highlight w:val="white"/>
                <w:rtl w:val="0"/>
              </w:rPr>
              <w:t xml:space="preserve">Reference</w:t>
            </w:r>
            <w:r w:rsidDel="00000000" w:rsidR="00000000" w:rsidRPr="00000000">
              <w:rPr>
                <w:rtl w:val="0"/>
              </w:rPr>
            </w:r>
          </w:p>
        </w:tc>
      </w:tr>
      <w:tr>
        <w:trPr>
          <w:trHeight w:val="280" w:hRule="atLeast"/>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A">
            <w:pPr>
              <w:spacing w:line="240" w:lineRule="auto"/>
              <w:jc w:val="center"/>
              <w:rPr>
                <w:rFonts w:ascii="Calibri" w:cs="Calibri" w:eastAsia="Calibri" w:hAnsi="Calibri"/>
              </w:rPr>
            </w:pPr>
            <w:r w:rsidDel="00000000" w:rsidR="00000000" w:rsidRPr="00000000">
              <w:rPr>
                <w:rFonts w:ascii="Calibri" w:cs="Calibri" w:eastAsia="Calibri" w:hAnsi="Calibri"/>
                <w:b w:val="1"/>
                <w:highlight w:val="white"/>
                <w:rtl w:val="0"/>
              </w:rPr>
              <w:t xml:space="preserve">Enzymatic deamination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B">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99.8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C">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97.5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D">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98.3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E">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current study</w:t>
            </w:r>
            <w:r w:rsidDel="00000000" w:rsidR="00000000" w:rsidRPr="00000000">
              <w:rPr>
                <w:rtl w:val="0"/>
              </w:rPr>
            </w:r>
          </w:p>
        </w:tc>
      </w:tr>
      <w:tr>
        <w:trPr>
          <w:trHeight w:val="280" w:hRule="atLeast"/>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F">
            <w:pPr>
              <w:spacing w:line="240" w:lineRule="auto"/>
              <w:jc w:val="center"/>
              <w:rPr>
                <w:rFonts w:ascii="Calibri" w:cs="Calibri" w:eastAsia="Calibri" w:hAnsi="Calibri"/>
              </w:rPr>
            </w:pPr>
            <w:r w:rsidDel="00000000" w:rsidR="00000000" w:rsidRPr="00000000">
              <w:rPr>
                <w:rFonts w:ascii="Calibri" w:cs="Calibri" w:eastAsia="Calibri" w:hAnsi="Calibri"/>
                <w:b w:val="1"/>
                <w:highlight w:val="white"/>
                <w:rtl w:val="0"/>
              </w:rPr>
              <w:t xml:space="preserve">TAB-seq</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0">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99.62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1">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97.79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2">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84.4~92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3">
            <w:pPr>
              <w:spacing w:line="240" w:lineRule="auto"/>
              <w:jc w:val="center"/>
              <w:rPr>
                <w:rFonts w:ascii="Calibri" w:cs="Calibri" w:eastAsia="Calibri" w:hAnsi="Calibri"/>
              </w:rPr>
            </w:pPr>
            <w:hyperlink r:id="rId6">
              <w:r w:rsidDel="00000000" w:rsidR="00000000" w:rsidRPr="00000000">
                <w:rPr>
                  <w:rFonts w:ascii="Calibri" w:cs="Calibri" w:eastAsia="Calibri" w:hAnsi="Calibri"/>
                  <w:b w:val="0"/>
                  <w:color w:val="000000"/>
                  <w:u w:val="none"/>
                  <w:rtl w:val="0"/>
                </w:rPr>
                <w:t xml:space="preserve">(Yu et al. 2012)</w:t>
              </w:r>
            </w:hyperlink>
            <w:r w:rsidDel="00000000" w:rsidR="00000000" w:rsidRPr="00000000">
              <w:rPr>
                <w:rtl w:val="0"/>
              </w:rPr>
            </w:r>
          </w:p>
        </w:tc>
      </w:tr>
      <w:tr>
        <w:trPr>
          <w:trHeight w:val="280" w:hRule="atLeast"/>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4">
            <w:pPr>
              <w:spacing w:line="240" w:lineRule="auto"/>
              <w:jc w:val="center"/>
              <w:rPr>
                <w:rFonts w:ascii="Calibri" w:cs="Calibri" w:eastAsia="Calibri" w:hAnsi="Calibri"/>
              </w:rPr>
            </w:pPr>
            <w:r w:rsidDel="00000000" w:rsidR="00000000" w:rsidRPr="00000000">
              <w:rPr>
                <w:rFonts w:ascii="Calibri" w:cs="Calibri" w:eastAsia="Calibri" w:hAnsi="Calibri"/>
                <w:b w:val="1"/>
                <w:highlight w:val="white"/>
                <w:rtl w:val="0"/>
              </w:rPr>
              <w:t xml:space="preserve">TAB-seq</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5">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99.57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6">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98.47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7">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57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8">
            <w:pPr>
              <w:spacing w:line="240" w:lineRule="auto"/>
              <w:jc w:val="center"/>
              <w:rPr>
                <w:rFonts w:ascii="Calibri" w:cs="Calibri" w:eastAsia="Calibri" w:hAnsi="Calibri"/>
              </w:rPr>
            </w:pPr>
            <w:hyperlink r:id="rId7">
              <w:r w:rsidDel="00000000" w:rsidR="00000000" w:rsidRPr="00000000">
                <w:rPr>
                  <w:rFonts w:ascii="Calibri" w:cs="Calibri" w:eastAsia="Calibri" w:hAnsi="Calibri"/>
                  <w:b w:val="0"/>
                  <w:color w:val="000000"/>
                  <w:u w:val="none"/>
                  <w:rtl w:val="0"/>
                </w:rPr>
                <w:t xml:space="preserve">(Bogdanovic et al. 2016)</w:t>
              </w:r>
            </w:hyperlink>
            <w:r w:rsidDel="00000000" w:rsidR="00000000" w:rsidRPr="00000000">
              <w:rPr>
                <w:rtl w:val="0"/>
              </w:rPr>
            </w:r>
          </w:p>
        </w:tc>
      </w:tr>
      <w:tr>
        <w:trPr>
          <w:trHeight w:val="280" w:hRule="atLeast"/>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9">
            <w:pPr>
              <w:spacing w:line="240" w:lineRule="auto"/>
              <w:jc w:val="center"/>
              <w:rPr>
                <w:rFonts w:ascii="Calibri" w:cs="Calibri" w:eastAsia="Calibri" w:hAnsi="Calibri"/>
              </w:rPr>
            </w:pPr>
            <w:r w:rsidDel="00000000" w:rsidR="00000000" w:rsidRPr="00000000">
              <w:rPr>
                <w:rFonts w:ascii="Calibri" w:cs="Calibri" w:eastAsia="Calibri" w:hAnsi="Calibri"/>
                <w:b w:val="1"/>
                <w:highlight w:val="white"/>
                <w:rtl w:val="0"/>
              </w:rPr>
              <w:t xml:space="preserve">TAB-seq</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A">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99.99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B">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99.98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C">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75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D">
            <w:pPr>
              <w:spacing w:line="240" w:lineRule="auto"/>
              <w:jc w:val="center"/>
              <w:rPr>
                <w:rFonts w:ascii="Calibri" w:cs="Calibri" w:eastAsia="Calibri" w:hAnsi="Calibri"/>
              </w:rPr>
            </w:pPr>
            <w:hyperlink r:id="rId8">
              <w:r w:rsidDel="00000000" w:rsidR="00000000" w:rsidRPr="00000000">
                <w:rPr>
                  <w:rFonts w:ascii="Calibri" w:cs="Calibri" w:eastAsia="Calibri" w:hAnsi="Calibri"/>
                  <w:b w:val="0"/>
                  <w:color w:val="000000"/>
                  <w:u w:val="none"/>
                  <w:rtl w:val="0"/>
                </w:rPr>
                <w:t xml:space="preserve">(Bogdanovic et al. 2016)</w:t>
              </w:r>
            </w:hyperlink>
            <w:r w:rsidDel="00000000" w:rsidR="00000000" w:rsidRPr="00000000">
              <w:rPr>
                <w:rtl w:val="0"/>
              </w:rPr>
            </w:r>
          </w:p>
        </w:tc>
      </w:tr>
      <w:tr>
        <w:trPr>
          <w:trHeight w:val="280" w:hRule="atLeast"/>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E">
            <w:pPr>
              <w:spacing w:line="240" w:lineRule="auto"/>
              <w:jc w:val="center"/>
              <w:rPr>
                <w:rFonts w:ascii="Calibri" w:cs="Calibri" w:eastAsia="Calibri" w:hAnsi="Calibri"/>
              </w:rPr>
            </w:pPr>
            <w:r w:rsidDel="00000000" w:rsidR="00000000" w:rsidRPr="00000000">
              <w:rPr>
                <w:rFonts w:ascii="Calibri" w:cs="Calibri" w:eastAsia="Calibri" w:hAnsi="Calibri"/>
                <w:b w:val="1"/>
                <w:highlight w:val="white"/>
                <w:rtl w:val="0"/>
              </w:rPr>
              <w:t xml:space="preserve">TAB-seq</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F">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98.3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0">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99.61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1">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55.91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2">
            <w:pPr>
              <w:spacing w:line="240" w:lineRule="auto"/>
              <w:jc w:val="center"/>
              <w:rPr>
                <w:rFonts w:ascii="Calibri" w:cs="Calibri" w:eastAsia="Calibri" w:hAnsi="Calibri"/>
              </w:rPr>
            </w:pPr>
            <w:hyperlink r:id="rId9">
              <w:r w:rsidDel="00000000" w:rsidR="00000000" w:rsidRPr="00000000">
                <w:rPr>
                  <w:rFonts w:ascii="Calibri" w:cs="Calibri" w:eastAsia="Calibri" w:hAnsi="Calibri"/>
                  <w:b w:val="0"/>
                  <w:color w:val="000000"/>
                  <w:u w:val="none"/>
                  <w:rtl w:val="0"/>
                </w:rPr>
                <w:t xml:space="preserve">(Bogdanovic et al. 2016)</w:t>
              </w:r>
            </w:hyperlink>
            <w:r w:rsidDel="00000000" w:rsidR="00000000" w:rsidRPr="00000000">
              <w:rPr>
                <w:rtl w:val="0"/>
              </w:rPr>
            </w:r>
          </w:p>
        </w:tc>
      </w:tr>
      <w:tr>
        <w:trPr>
          <w:trHeight w:val="280" w:hRule="atLeast"/>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3">
            <w:pPr>
              <w:spacing w:line="240" w:lineRule="auto"/>
              <w:jc w:val="center"/>
              <w:rPr>
                <w:rFonts w:ascii="Calibri" w:cs="Calibri" w:eastAsia="Calibri" w:hAnsi="Calibri"/>
              </w:rPr>
            </w:pPr>
            <w:r w:rsidDel="00000000" w:rsidR="00000000" w:rsidRPr="00000000">
              <w:rPr>
                <w:rFonts w:ascii="Calibri" w:cs="Calibri" w:eastAsia="Calibri" w:hAnsi="Calibri"/>
                <w:b w:val="1"/>
                <w:highlight w:val="white"/>
                <w:rtl w:val="0"/>
              </w:rPr>
              <w:t xml:space="preserve">ACE-seq</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4">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99.9% CHG</w:t>
            </w:r>
            <w:r w:rsidDel="00000000" w:rsidR="00000000" w:rsidRPr="00000000">
              <w:rPr>
                <w:rtl w:val="0"/>
              </w:rPr>
            </w:r>
          </w:p>
          <w:p w:rsidR="00000000" w:rsidDel="00000000" w:rsidP="00000000" w:rsidRDefault="00000000" w:rsidRPr="00000000" w14:paraId="00000025">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99.9% CHH</w:t>
            </w:r>
            <w:r w:rsidDel="00000000" w:rsidR="00000000" w:rsidRPr="00000000">
              <w:rPr>
                <w:rtl w:val="0"/>
              </w:rPr>
            </w:r>
          </w:p>
          <w:p w:rsidR="00000000" w:rsidDel="00000000" w:rsidP="00000000" w:rsidRDefault="00000000" w:rsidRPr="00000000" w14:paraId="00000026">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99.5% CpG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7">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97%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8">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CHG 98.6%</w:t>
            </w:r>
            <w:r w:rsidDel="00000000" w:rsidR="00000000" w:rsidRPr="00000000">
              <w:rPr>
                <w:rtl w:val="0"/>
              </w:rPr>
            </w:r>
          </w:p>
          <w:p w:rsidR="00000000" w:rsidDel="00000000" w:rsidP="00000000" w:rsidRDefault="00000000" w:rsidRPr="00000000" w14:paraId="00000029">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CHH 98.5%</w:t>
            </w:r>
            <w:r w:rsidDel="00000000" w:rsidR="00000000" w:rsidRPr="00000000">
              <w:rPr>
                <w:rtl w:val="0"/>
              </w:rPr>
            </w:r>
          </w:p>
          <w:p w:rsidR="00000000" w:rsidDel="00000000" w:rsidP="00000000" w:rsidRDefault="00000000" w:rsidRPr="00000000" w14:paraId="0000002A">
            <w:pPr>
              <w:spacing w:line="240" w:lineRule="auto"/>
              <w:jc w:val="center"/>
              <w:rPr>
                <w:rFonts w:ascii="Calibri" w:cs="Calibri" w:eastAsia="Calibri" w:hAnsi="Calibri"/>
              </w:rPr>
            </w:pPr>
            <w:r w:rsidDel="00000000" w:rsidR="00000000" w:rsidRPr="00000000">
              <w:rPr>
                <w:rFonts w:ascii="Calibri" w:cs="Calibri" w:eastAsia="Calibri" w:hAnsi="Calibri"/>
                <w:highlight w:val="white"/>
                <w:rtl w:val="0"/>
              </w:rPr>
              <w:t xml:space="preserve">CpG 98.5%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B">
            <w:pPr>
              <w:spacing w:line="240" w:lineRule="auto"/>
              <w:jc w:val="center"/>
              <w:rPr>
                <w:rFonts w:ascii="Calibri" w:cs="Calibri" w:eastAsia="Calibri" w:hAnsi="Calibri"/>
              </w:rPr>
            </w:pPr>
            <w:hyperlink r:id="rId10">
              <w:r w:rsidDel="00000000" w:rsidR="00000000" w:rsidRPr="00000000">
                <w:rPr>
                  <w:rFonts w:ascii="Calibri" w:cs="Calibri" w:eastAsia="Calibri" w:hAnsi="Calibri"/>
                  <w:b w:val="0"/>
                  <w:color w:val="000000"/>
                  <w:u w:val="none"/>
                  <w:rtl w:val="0"/>
                </w:rPr>
                <w:t xml:space="preserve">(Schutsky et al. 2018)</w:t>
              </w:r>
            </w:hyperlink>
            <w:r w:rsidDel="00000000" w:rsidR="00000000" w:rsidRPr="00000000">
              <w:rPr>
                <w:rtl w:val="0"/>
              </w:rPr>
            </w:r>
          </w:p>
        </w:tc>
      </w:tr>
      <w:tr>
        <w:trPr>
          <w:trHeight w:val="280" w:hRule="atLeast"/>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C">
            <w:pPr>
              <w:shd w:fill="ffffff" w:val="clear"/>
              <w:spacing w:line="374.4" w:lineRule="auto"/>
              <w:jc w:val="cente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Illumina-TAPS</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D">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mTet1CD:</w:t>
            </w:r>
          </w:p>
          <w:p w:rsidR="00000000" w:rsidDel="00000000" w:rsidP="00000000" w:rsidRDefault="00000000" w:rsidRPr="00000000" w14:paraId="0000002E">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99.77%</w:t>
            </w:r>
          </w:p>
          <w:p w:rsidR="00000000" w:rsidDel="00000000" w:rsidP="00000000" w:rsidRDefault="00000000" w:rsidRPr="00000000" w14:paraId="0000002F">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hTet2:</w:t>
            </w:r>
          </w:p>
          <w:p w:rsidR="00000000" w:rsidDel="00000000" w:rsidP="00000000" w:rsidRDefault="00000000" w:rsidRPr="00000000" w14:paraId="00000030">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99.81%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1">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mTet1CD:</w:t>
            </w:r>
          </w:p>
          <w:p w:rsidR="00000000" w:rsidDel="00000000" w:rsidP="00000000" w:rsidRDefault="00000000" w:rsidRPr="00000000" w14:paraId="00000032">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5mCpG 97.3%</w:t>
            </w:r>
          </w:p>
          <w:p w:rsidR="00000000" w:rsidDel="00000000" w:rsidP="00000000" w:rsidRDefault="00000000" w:rsidRPr="00000000" w14:paraId="00000033">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5mCpH 85.9%</w:t>
            </w:r>
          </w:p>
          <w:p w:rsidR="00000000" w:rsidDel="00000000" w:rsidP="00000000" w:rsidRDefault="00000000" w:rsidRPr="00000000" w14:paraId="00000034">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hTet2:</w:t>
            </w:r>
          </w:p>
          <w:p w:rsidR="00000000" w:rsidDel="00000000" w:rsidP="00000000" w:rsidRDefault="00000000" w:rsidRPr="00000000" w14:paraId="00000035">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5mCpG 97.3%</w:t>
            </w:r>
          </w:p>
          <w:p w:rsidR="00000000" w:rsidDel="00000000" w:rsidP="00000000" w:rsidRDefault="00000000" w:rsidRPr="00000000" w14:paraId="00000036">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5mCpH 74.0%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7">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mTet1CD:</w:t>
            </w:r>
          </w:p>
          <w:p w:rsidR="00000000" w:rsidDel="00000000" w:rsidP="00000000" w:rsidRDefault="00000000" w:rsidRPr="00000000" w14:paraId="00000038">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5hmCpG 89.1%</w:t>
            </w:r>
          </w:p>
          <w:p w:rsidR="00000000" w:rsidDel="00000000" w:rsidP="00000000" w:rsidRDefault="00000000" w:rsidRPr="00000000" w14:paraId="00000039">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5hmCpH 80.5%</w:t>
            </w:r>
          </w:p>
          <w:p w:rsidR="00000000" w:rsidDel="00000000" w:rsidP="00000000" w:rsidRDefault="00000000" w:rsidRPr="00000000" w14:paraId="0000003A">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hTet2:</w:t>
            </w:r>
          </w:p>
          <w:p w:rsidR="00000000" w:rsidDel="00000000" w:rsidP="00000000" w:rsidRDefault="00000000" w:rsidRPr="00000000" w14:paraId="0000003B">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5hmCpG 88.2%</w:t>
            </w:r>
          </w:p>
          <w:p w:rsidR="00000000" w:rsidDel="00000000" w:rsidP="00000000" w:rsidRDefault="00000000" w:rsidRPr="00000000" w14:paraId="0000003C">
            <w:pPr>
              <w:shd w:fill="ffffff" w:val="clear"/>
              <w:spacing w:line="374.4"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5hmCpH 66.2%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3D">
            <w:pPr>
              <w:shd w:fill="ffffff" w:val="clear"/>
              <w:spacing w:line="374.4" w:lineRule="auto"/>
              <w:jc w:val="center"/>
              <w:rPr>
                <w:rFonts w:ascii="Calibri" w:cs="Calibri" w:eastAsia="Calibri" w:hAnsi="Calibri"/>
                <w:highlight w:val="white"/>
              </w:rPr>
            </w:pPr>
            <w:hyperlink r:id="rId11">
              <w:r w:rsidDel="00000000" w:rsidR="00000000" w:rsidRPr="00000000">
                <w:rPr>
                  <w:rFonts w:ascii="Calibri" w:cs="Calibri" w:eastAsia="Calibri" w:hAnsi="Calibri"/>
                  <w:b w:val="0"/>
                  <w:color w:val="000000"/>
                  <w:highlight w:val="white"/>
                  <w:u w:val="none"/>
                  <w:rtl w:val="0"/>
                </w:rPr>
                <w:t xml:space="preserve">(Liu et al. 2020)</w:t>
              </w:r>
            </w:hyperlink>
            <w:r w:rsidDel="00000000" w:rsidR="00000000" w:rsidRPr="00000000">
              <w:rPr>
                <w:rtl w:val="0"/>
              </w:rPr>
            </w:r>
          </w:p>
        </w:tc>
      </w:tr>
    </w:tbl>
    <w:p w:rsidR="00000000" w:rsidDel="00000000" w:rsidP="00000000" w:rsidRDefault="00000000" w:rsidRPr="00000000" w14:paraId="0000003E">
      <w:pPr>
        <w:spacing w:after="24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3F">
      <w:pPr>
        <w:rPr>
          <w:rFonts w:ascii="Calibri" w:cs="Calibri" w:eastAsia="Calibri" w:hAnsi="Calibri"/>
          <w:highlight w:val="white"/>
        </w:rPr>
      </w:pPr>
      <w:r w:rsidDel="00000000" w:rsidR="00000000" w:rsidRPr="00000000">
        <w:rPr>
          <w:rFonts w:ascii="Calibri" w:cs="Calibri" w:eastAsia="Calibri" w:hAnsi="Calibri"/>
          <w:b w:val="1"/>
          <w:sz w:val="24"/>
          <w:szCs w:val="24"/>
          <w:rtl w:val="0"/>
        </w:rPr>
        <w:t xml:space="preserve">References</w:t>
      </w: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240" w:before="240" w:line="240" w:lineRule="auto"/>
        <w:ind w:left="480" w:right="0" w:hanging="480"/>
        <w:jc w:val="left"/>
        <w:rPr>
          <w:rFonts w:ascii="Calibri" w:cs="Calibri" w:eastAsia="Calibri" w:hAnsi="Calibri"/>
        </w:rPr>
      </w:pPr>
      <w:hyperlink r:id="rId12">
        <w:r w:rsidDel="00000000" w:rsidR="00000000" w:rsidRPr="00000000">
          <w:rPr>
            <w:rFonts w:ascii="Calibri" w:cs="Calibri" w:eastAsia="Calibri" w:hAnsi="Calibri"/>
            <w:color w:val="000000"/>
            <w:u w:val="none"/>
            <w:rtl w:val="0"/>
          </w:rPr>
          <w:t xml:space="preserve">Bogdanovic O, Smits AH, de la Calle Mustienes E, Tena JJ, Ford E, Williams R, Senanayake U, Schultz MD, Hontelez S, van Kruijsbergen I, et al. 2016. Active DNA demethylation at enhancers during the vertebrate phylotypic period. </w:t>
        </w:r>
      </w:hyperlink>
      <w:hyperlink r:id="rId13">
        <w:r w:rsidDel="00000000" w:rsidR="00000000" w:rsidRPr="00000000">
          <w:rPr>
            <w:rFonts w:ascii="Calibri" w:cs="Calibri" w:eastAsia="Calibri" w:hAnsi="Calibri"/>
            <w:i w:val="1"/>
            <w:color w:val="000000"/>
            <w:u w:val="none"/>
            <w:rtl w:val="0"/>
          </w:rPr>
          <w:t xml:space="preserve">Nat Genet</w:t>
        </w:r>
      </w:hyperlink>
      <w:hyperlink r:id="rId14">
        <w:r w:rsidDel="00000000" w:rsidR="00000000" w:rsidRPr="00000000">
          <w:rPr>
            <w:rFonts w:ascii="Calibri" w:cs="Calibri" w:eastAsia="Calibri" w:hAnsi="Calibri"/>
            <w:color w:val="000000"/>
            <w:u w:val="none"/>
            <w:rtl w:val="0"/>
          </w:rPr>
          <w:t xml:space="preserve"> </w:t>
        </w:r>
      </w:hyperlink>
      <w:hyperlink r:id="rId15">
        <w:r w:rsidDel="00000000" w:rsidR="00000000" w:rsidRPr="00000000">
          <w:rPr>
            <w:rFonts w:ascii="Calibri" w:cs="Calibri" w:eastAsia="Calibri" w:hAnsi="Calibri"/>
            <w:b w:val="1"/>
            <w:color w:val="000000"/>
            <w:u w:val="none"/>
            <w:rtl w:val="0"/>
          </w:rPr>
          <w:t xml:space="preserve">48</w:t>
        </w:r>
      </w:hyperlink>
      <w:hyperlink r:id="rId16">
        <w:r w:rsidDel="00000000" w:rsidR="00000000" w:rsidRPr="00000000">
          <w:rPr>
            <w:rFonts w:ascii="Calibri" w:cs="Calibri" w:eastAsia="Calibri" w:hAnsi="Calibri"/>
            <w:color w:val="000000"/>
            <w:u w:val="none"/>
            <w:rtl w:val="0"/>
          </w:rPr>
          <w:t xml:space="preserve">: 417–426.</w:t>
        </w:r>
      </w:hyperlink>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rPr>
      </w:pPr>
      <w:hyperlink r:id="rId17">
        <w:r w:rsidDel="00000000" w:rsidR="00000000" w:rsidRPr="00000000">
          <w:rPr>
            <w:rFonts w:ascii="Calibri" w:cs="Calibri" w:eastAsia="Calibri" w:hAnsi="Calibri"/>
            <w:color w:val="000000"/>
            <w:u w:val="none"/>
            <w:rtl w:val="0"/>
          </w:rPr>
          <w:t xml:space="preserve">Liu Y, Cheng J, Siejka-Zieli?ska P, Weldon C, Roberts H, Lopopolo M, Magri A, D’Arienzo V, Harris JM, McKeating JA, et al. 2020. Accurate targeted long-read DNA methylation and hydroxymethylation sequencing with TAPS. </w:t>
        </w:r>
      </w:hyperlink>
      <w:hyperlink r:id="rId18">
        <w:r w:rsidDel="00000000" w:rsidR="00000000" w:rsidRPr="00000000">
          <w:rPr>
            <w:rFonts w:ascii="Calibri" w:cs="Calibri" w:eastAsia="Calibri" w:hAnsi="Calibri"/>
            <w:i w:val="1"/>
            <w:color w:val="000000"/>
            <w:u w:val="none"/>
            <w:rtl w:val="0"/>
          </w:rPr>
          <w:t xml:space="preserve">Genome Biol</w:t>
        </w:r>
      </w:hyperlink>
      <w:hyperlink r:id="rId19">
        <w:r w:rsidDel="00000000" w:rsidR="00000000" w:rsidRPr="00000000">
          <w:rPr>
            <w:rFonts w:ascii="Calibri" w:cs="Calibri" w:eastAsia="Calibri" w:hAnsi="Calibri"/>
            <w:color w:val="000000"/>
            <w:u w:val="none"/>
            <w:rtl w:val="0"/>
          </w:rPr>
          <w:t xml:space="preserve"> </w:t>
        </w:r>
      </w:hyperlink>
      <w:hyperlink r:id="rId20">
        <w:r w:rsidDel="00000000" w:rsidR="00000000" w:rsidRPr="00000000">
          <w:rPr>
            <w:rFonts w:ascii="Calibri" w:cs="Calibri" w:eastAsia="Calibri" w:hAnsi="Calibri"/>
            <w:b w:val="1"/>
            <w:color w:val="000000"/>
            <w:u w:val="none"/>
            <w:rtl w:val="0"/>
          </w:rPr>
          <w:t xml:space="preserve">21</w:t>
        </w:r>
      </w:hyperlink>
      <w:hyperlink r:id="rId21">
        <w:r w:rsidDel="00000000" w:rsidR="00000000" w:rsidRPr="00000000">
          <w:rPr>
            <w:rFonts w:ascii="Calibri" w:cs="Calibri" w:eastAsia="Calibri" w:hAnsi="Calibri"/>
            <w:color w:val="000000"/>
            <w:u w:val="none"/>
            <w:rtl w:val="0"/>
          </w:rPr>
          <w:t xml:space="preserve">: 54.</w:t>
        </w:r>
      </w:hyperlink>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rPr>
      </w:pPr>
      <w:hyperlink r:id="rId22">
        <w:r w:rsidDel="00000000" w:rsidR="00000000" w:rsidRPr="00000000">
          <w:rPr>
            <w:rFonts w:ascii="Calibri" w:cs="Calibri" w:eastAsia="Calibri" w:hAnsi="Calibri"/>
            <w:color w:val="000000"/>
            <w:u w:val="none"/>
            <w:rtl w:val="0"/>
          </w:rPr>
          <w:t xml:space="preserve">Schutsky EK, DeNizio JE, Hu P, Liu MY, Nabel CS, Fabyanic EB, Hwang Y, Bushman FD, Wu H, Kohli RM. 2018. Nondestructive, base-resolution sequencing of 5-hydroxymethylcytosine using a DNA deaminase. </w:t>
        </w:r>
      </w:hyperlink>
      <w:hyperlink r:id="rId23">
        <w:r w:rsidDel="00000000" w:rsidR="00000000" w:rsidRPr="00000000">
          <w:rPr>
            <w:rFonts w:ascii="Calibri" w:cs="Calibri" w:eastAsia="Calibri" w:hAnsi="Calibri"/>
            <w:i w:val="1"/>
            <w:color w:val="000000"/>
            <w:u w:val="none"/>
            <w:rtl w:val="0"/>
          </w:rPr>
          <w:t xml:space="preserve">Nat Biotechnol</w:t>
        </w:r>
      </w:hyperlink>
      <w:hyperlink r:id="rId24">
        <w:r w:rsidDel="00000000" w:rsidR="00000000" w:rsidRPr="00000000">
          <w:rPr>
            <w:rFonts w:ascii="Calibri" w:cs="Calibri" w:eastAsia="Calibri" w:hAnsi="Calibri"/>
            <w:color w:val="000000"/>
            <w:u w:val="none"/>
            <w:rtl w:val="0"/>
          </w:rPr>
          <w:t xml:space="preserve"> </w:t>
        </w:r>
      </w:hyperlink>
      <w:hyperlink r:id="rId25">
        <w:r w:rsidDel="00000000" w:rsidR="00000000" w:rsidRPr="00000000">
          <w:rPr>
            <w:rFonts w:ascii="Calibri" w:cs="Calibri" w:eastAsia="Calibri" w:hAnsi="Calibri"/>
            <w:b w:val="1"/>
            <w:color w:val="000000"/>
            <w:u w:val="none"/>
            <w:rtl w:val="0"/>
          </w:rPr>
          <w:t xml:space="preserve">36</w:t>
        </w:r>
      </w:hyperlink>
      <w:hyperlink r:id="rId26">
        <w:r w:rsidDel="00000000" w:rsidR="00000000" w:rsidRPr="00000000">
          <w:rPr>
            <w:rFonts w:ascii="Calibri" w:cs="Calibri" w:eastAsia="Calibri" w:hAnsi="Calibri"/>
            <w:color w:val="000000"/>
            <w:u w:val="none"/>
            <w:rtl w:val="0"/>
          </w:rPr>
          <w:t xml:space="preserve">: 1083–1090.</w:t>
        </w:r>
      </w:hyperlink>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rPr>
      </w:pPr>
      <w:hyperlink r:id="rId27">
        <w:r w:rsidDel="00000000" w:rsidR="00000000" w:rsidRPr="00000000">
          <w:rPr>
            <w:rFonts w:ascii="Calibri" w:cs="Calibri" w:eastAsia="Calibri" w:hAnsi="Calibri"/>
            <w:color w:val="000000"/>
            <w:u w:val="none"/>
            <w:rtl w:val="0"/>
          </w:rPr>
          <w:t xml:space="preserve">Yu M, Hon GCC, Szulwach KEE, Song C-X, Zhang L, Kim A, Li X, Dai Q, Shen Y, Park B, et al. 2012. Base-resolution analysis of 5-hydroxymethylcytosine in the mammalian genome. </w:t>
        </w:r>
      </w:hyperlink>
      <w:hyperlink r:id="rId28">
        <w:r w:rsidDel="00000000" w:rsidR="00000000" w:rsidRPr="00000000">
          <w:rPr>
            <w:rFonts w:ascii="Calibri" w:cs="Calibri" w:eastAsia="Calibri" w:hAnsi="Calibri"/>
            <w:i w:val="1"/>
            <w:color w:val="000000"/>
            <w:u w:val="none"/>
            <w:rtl w:val="0"/>
          </w:rPr>
          <w:t xml:space="preserve">Cell</w:t>
        </w:r>
      </w:hyperlink>
      <w:hyperlink r:id="rId29">
        <w:r w:rsidDel="00000000" w:rsidR="00000000" w:rsidRPr="00000000">
          <w:rPr>
            <w:rFonts w:ascii="Calibri" w:cs="Calibri" w:eastAsia="Calibri" w:hAnsi="Calibri"/>
            <w:color w:val="000000"/>
            <w:u w:val="none"/>
            <w:rtl w:val="0"/>
          </w:rPr>
          <w:t xml:space="preserve"> </w:t>
        </w:r>
      </w:hyperlink>
      <w:hyperlink r:id="rId30">
        <w:r w:rsidDel="00000000" w:rsidR="00000000" w:rsidRPr="00000000">
          <w:rPr>
            <w:rFonts w:ascii="Calibri" w:cs="Calibri" w:eastAsia="Calibri" w:hAnsi="Calibri"/>
            <w:b w:val="1"/>
            <w:color w:val="000000"/>
            <w:u w:val="none"/>
            <w:rtl w:val="0"/>
          </w:rPr>
          <w:t xml:space="preserve">149</w:t>
        </w:r>
      </w:hyperlink>
      <w:hyperlink r:id="rId31">
        <w:r w:rsidDel="00000000" w:rsidR="00000000" w:rsidRPr="00000000">
          <w:rPr>
            <w:rFonts w:ascii="Calibri" w:cs="Calibri" w:eastAsia="Calibri" w:hAnsi="Calibri"/>
            <w:color w:val="000000"/>
            <w:u w:val="none"/>
            <w:rtl w:val="0"/>
          </w:rPr>
          <w:t xml:space="preserve">: 1368–1380.</w:t>
        </w:r>
      </w:hyperlink>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paperpile.com/b/6AN4Hp/qptd2" TargetMode="External"/><Relationship Id="rId22" Type="http://schemas.openxmlformats.org/officeDocument/2006/relationships/hyperlink" Target="http://paperpile.com/b/6AN4Hp/shqfU" TargetMode="External"/><Relationship Id="rId21" Type="http://schemas.openxmlformats.org/officeDocument/2006/relationships/hyperlink" Target="http://paperpile.com/b/6AN4Hp/qptd2" TargetMode="External"/><Relationship Id="rId24" Type="http://schemas.openxmlformats.org/officeDocument/2006/relationships/hyperlink" Target="http://paperpile.com/b/6AN4Hp/shqfU" TargetMode="External"/><Relationship Id="rId23" Type="http://schemas.openxmlformats.org/officeDocument/2006/relationships/hyperlink" Target="http://paperpile.com/b/6AN4Hp/shqf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perpile.com/c/6AN4Hp/dsPDb" TargetMode="External"/><Relationship Id="rId26" Type="http://schemas.openxmlformats.org/officeDocument/2006/relationships/hyperlink" Target="http://paperpile.com/b/6AN4Hp/shqfU" TargetMode="External"/><Relationship Id="rId25" Type="http://schemas.openxmlformats.org/officeDocument/2006/relationships/hyperlink" Target="http://paperpile.com/b/6AN4Hp/shqfU" TargetMode="External"/><Relationship Id="rId28" Type="http://schemas.openxmlformats.org/officeDocument/2006/relationships/hyperlink" Target="http://paperpile.com/b/6AN4Hp/31AEB" TargetMode="External"/><Relationship Id="rId27" Type="http://schemas.openxmlformats.org/officeDocument/2006/relationships/hyperlink" Target="http://paperpile.com/b/6AN4Hp/31AEB" TargetMode="External"/><Relationship Id="rId5" Type="http://schemas.openxmlformats.org/officeDocument/2006/relationships/styles" Target="styles.xml"/><Relationship Id="rId6" Type="http://schemas.openxmlformats.org/officeDocument/2006/relationships/hyperlink" Target="https://paperpile.com/c/6AN4Hp/31AEB" TargetMode="External"/><Relationship Id="rId29" Type="http://schemas.openxmlformats.org/officeDocument/2006/relationships/hyperlink" Target="http://paperpile.com/b/6AN4Hp/31AEB" TargetMode="External"/><Relationship Id="rId7" Type="http://schemas.openxmlformats.org/officeDocument/2006/relationships/hyperlink" Target="https://paperpile.com/c/6AN4Hp/dsPDb" TargetMode="External"/><Relationship Id="rId8" Type="http://schemas.openxmlformats.org/officeDocument/2006/relationships/hyperlink" Target="https://paperpile.com/c/6AN4Hp/dsPDb" TargetMode="External"/><Relationship Id="rId31" Type="http://schemas.openxmlformats.org/officeDocument/2006/relationships/hyperlink" Target="http://paperpile.com/b/6AN4Hp/31AEB" TargetMode="External"/><Relationship Id="rId30" Type="http://schemas.openxmlformats.org/officeDocument/2006/relationships/hyperlink" Target="http://paperpile.com/b/6AN4Hp/31AEB" TargetMode="External"/><Relationship Id="rId11" Type="http://schemas.openxmlformats.org/officeDocument/2006/relationships/hyperlink" Target="https://paperpile.com/c/6AN4Hp/qptd2" TargetMode="External"/><Relationship Id="rId10" Type="http://schemas.openxmlformats.org/officeDocument/2006/relationships/hyperlink" Target="https://paperpile.com/c/6AN4Hp/shqfU" TargetMode="External"/><Relationship Id="rId13" Type="http://schemas.openxmlformats.org/officeDocument/2006/relationships/hyperlink" Target="http://paperpile.com/b/6AN4Hp/dsPDb" TargetMode="External"/><Relationship Id="rId12" Type="http://schemas.openxmlformats.org/officeDocument/2006/relationships/hyperlink" Target="http://paperpile.com/b/6AN4Hp/dsPDb" TargetMode="External"/><Relationship Id="rId15" Type="http://schemas.openxmlformats.org/officeDocument/2006/relationships/hyperlink" Target="http://paperpile.com/b/6AN4Hp/dsPDb" TargetMode="External"/><Relationship Id="rId14" Type="http://schemas.openxmlformats.org/officeDocument/2006/relationships/hyperlink" Target="http://paperpile.com/b/6AN4Hp/dsPDb" TargetMode="External"/><Relationship Id="rId17" Type="http://schemas.openxmlformats.org/officeDocument/2006/relationships/hyperlink" Target="http://paperpile.com/b/6AN4Hp/qptd2" TargetMode="External"/><Relationship Id="rId16" Type="http://schemas.openxmlformats.org/officeDocument/2006/relationships/hyperlink" Target="http://paperpile.com/b/6AN4Hp/dsPDb" TargetMode="External"/><Relationship Id="rId19" Type="http://schemas.openxmlformats.org/officeDocument/2006/relationships/hyperlink" Target="http://paperpile.com/b/6AN4Hp/qptd2" TargetMode="External"/><Relationship Id="rId18" Type="http://schemas.openxmlformats.org/officeDocument/2006/relationships/hyperlink" Target="http://paperpile.com/b/6AN4Hp/qpt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