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720" w:hanging="72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Supplemental Figure S4 </w:t>
      </w:r>
      <w:r w:rsidDel="00000000" w:rsidR="00000000" w:rsidRPr="00000000">
        <w:rPr>
          <w:rtl w:val="0"/>
        </w:rPr>
        <w:t xml:space="preserve">- Differences in mitochondrial copy number (mtCN) for tissues blood and LCL found in 1000 Genomes Project Phase 3 (n=2,504). Tissue information was available for 870 samples (34.7%).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3683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rd" w:default="1">
    <w:name w:val="Normal"/>
  </w:style>
  <w:style w:type="paragraph" w:styleId="berschrift1">
    <w:name w:val="heading 1"/>
    <w:basedOn w:val="Standard"/>
    <w:next w:val="Standard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pPr>
      <w:keepNext w:val="1"/>
      <w:keepLines w:val="1"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2963B1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2963B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kR56LTzCjzOKYIkkZv6m+VZjg==">AMUW2mU72bUlyq+LWSQ53M26LM/DtirFYZuS7/8HT8YkSnwlRQVNsXyGSxgiQDoC4YwM2BD/ryU7EpHzdaUgtTgLhUB19JNH9POBqab3I3lL3Mt0vLbNWFTE7TdOI/OkmnIlqvOP/lTY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2020-07-17T09:58:00Z</dcterms:created>
</cp:coreProperties>
</file>