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Supplemental Figure S3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Comparing the Haplogroup Quality derived from HaploGrep2. 98 % of the samples show an identical haplogroup between mutserve (x-axis) callMom (y-axis). Quality score ranges between 0.5 (lowest quality) up to 1 (perfect haplogroup match). The majority of the haplogroups show a good haplogroup quality of &gt; 0.9 for both approaches. Colors representing macro haplogroups (not reflecting age of haplogroups, see U vs K, where K is a subgroup of 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5943600" cy="4216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myk01YOa6ev52cYwm8EMCYKuxQ==">AMUW2mWrCqugizxy4GL1+gddDz3cJg+UTIvgsfYiVy/dfT9WNZr+/IVzzXknuCupyQV5fMt4L0Fl1A5HRC3t32sOM3WL7jRxyFh7nIvJcec3+0TTnmU8NIQ=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