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DE7EA" w14:textId="629EBFE6" w:rsidR="00272F99" w:rsidRPr="00A975F6" w:rsidRDefault="00A975F6" w:rsidP="00EF78D1">
      <w:pPr>
        <w:jc w:val="both"/>
        <w:rPr>
          <w:rFonts w:ascii="Arial" w:hAnsi="Arial" w:cs="Arial"/>
          <w:b/>
          <w:bCs/>
          <w:color w:val="000000" w:themeColor="text1"/>
        </w:rPr>
      </w:pPr>
      <w:r>
        <w:rPr>
          <w:rFonts w:ascii="Arial" w:hAnsi="Arial" w:cs="Arial"/>
          <w:b/>
          <w:bCs/>
          <w:color w:val="000000" w:themeColor="text1"/>
        </w:rPr>
        <w:t>SUPPLEMENTARY MATERIALS</w:t>
      </w:r>
    </w:p>
    <w:p w14:paraId="3D47FF8F" w14:textId="0E23D7D6" w:rsidR="00C70D22" w:rsidRPr="00EF78D1" w:rsidRDefault="00C70D22" w:rsidP="00EF78D1">
      <w:pPr>
        <w:jc w:val="both"/>
        <w:rPr>
          <w:rFonts w:ascii="Arial" w:hAnsi="Arial" w:cs="Arial"/>
          <w:color w:val="000000" w:themeColor="text1"/>
        </w:rPr>
      </w:pPr>
    </w:p>
    <w:p w14:paraId="7106F0FF" w14:textId="4AFEDBC9" w:rsidR="00B53CAE" w:rsidRPr="00EF78D1" w:rsidRDefault="00A975F6" w:rsidP="00EF78D1">
      <w:pPr>
        <w:jc w:val="both"/>
        <w:rPr>
          <w:rFonts w:ascii="Arial" w:hAnsi="Arial" w:cs="Arial"/>
          <w:color w:val="000000" w:themeColor="text1"/>
        </w:rPr>
      </w:pPr>
      <w:r>
        <w:rPr>
          <w:rFonts w:ascii="Arial" w:hAnsi="Arial" w:cs="Arial"/>
          <w:color w:val="000000" w:themeColor="text1"/>
        </w:rPr>
        <w:t>Index:</w:t>
      </w:r>
    </w:p>
    <w:p w14:paraId="2A946F99" w14:textId="4996F13F" w:rsidR="00B53CAE" w:rsidRPr="00A975F6" w:rsidRDefault="00B53CAE" w:rsidP="00A975F6">
      <w:pPr>
        <w:pStyle w:val="ListParagraph"/>
        <w:numPr>
          <w:ilvl w:val="0"/>
          <w:numId w:val="3"/>
        </w:numPr>
        <w:jc w:val="both"/>
        <w:rPr>
          <w:rFonts w:ascii="Arial" w:hAnsi="Arial" w:cs="Arial"/>
          <w:color w:val="000000" w:themeColor="text1"/>
        </w:rPr>
      </w:pPr>
      <w:r w:rsidRPr="00A975F6">
        <w:rPr>
          <w:rFonts w:ascii="Arial" w:hAnsi="Arial" w:cs="Arial"/>
          <w:color w:val="000000" w:themeColor="text1"/>
        </w:rPr>
        <w:t>Supplementary figures.</w:t>
      </w:r>
    </w:p>
    <w:p w14:paraId="0E1C28D4" w14:textId="0E13E6A4" w:rsidR="00C70D22" w:rsidRPr="00A975F6" w:rsidRDefault="00C70D22" w:rsidP="00A975F6">
      <w:pPr>
        <w:pStyle w:val="ListParagraph"/>
        <w:numPr>
          <w:ilvl w:val="0"/>
          <w:numId w:val="3"/>
        </w:numPr>
        <w:jc w:val="both"/>
        <w:rPr>
          <w:rFonts w:ascii="Arial" w:hAnsi="Arial" w:cs="Arial"/>
          <w:color w:val="000000" w:themeColor="text1"/>
        </w:rPr>
      </w:pPr>
      <w:r w:rsidRPr="00A975F6">
        <w:rPr>
          <w:rFonts w:ascii="Arial" w:hAnsi="Arial" w:cs="Arial"/>
          <w:color w:val="000000" w:themeColor="text1"/>
        </w:rPr>
        <w:t>Supplementary table</w:t>
      </w:r>
      <w:r w:rsidR="00D12537">
        <w:rPr>
          <w:rFonts w:ascii="Arial" w:hAnsi="Arial" w:cs="Arial"/>
          <w:color w:val="000000" w:themeColor="text1"/>
        </w:rPr>
        <w:t>s</w:t>
      </w:r>
      <w:r w:rsidRPr="00A975F6">
        <w:rPr>
          <w:rFonts w:ascii="Arial" w:hAnsi="Arial" w:cs="Arial"/>
          <w:color w:val="000000" w:themeColor="text1"/>
        </w:rPr>
        <w:t>.</w:t>
      </w:r>
    </w:p>
    <w:p w14:paraId="36DB791B" w14:textId="0F3A421F" w:rsidR="00C70D22" w:rsidRPr="00A975F6" w:rsidRDefault="00FB06BC" w:rsidP="00A975F6">
      <w:pPr>
        <w:pStyle w:val="ListParagraph"/>
        <w:numPr>
          <w:ilvl w:val="0"/>
          <w:numId w:val="3"/>
        </w:numPr>
        <w:jc w:val="both"/>
        <w:rPr>
          <w:rFonts w:ascii="Arial" w:hAnsi="Arial" w:cs="Arial"/>
          <w:color w:val="000000" w:themeColor="text1"/>
        </w:rPr>
      </w:pPr>
      <w:r w:rsidRPr="00A975F6">
        <w:rPr>
          <w:rFonts w:ascii="Arial" w:hAnsi="Arial" w:cs="Arial"/>
          <w:color w:val="000000" w:themeColor="text1"/>
        </w:rPr>
        <w:t>Supplementary</w:t>
      </w:r>
      <w:r w:rsidR="00C70D22" w:rsidRPr="00A975F6">
        <w:rPr>
          <w:rFonts w:ascii="Arial" w:hAnsi="Arial" w:cs="Arial"/>
          <w:color w:val="000000" w:themeColor="text1"/>
        </w:rPr>
        <w:t xml:space="preserve"> </w:t>
      </w:r>
      <w:r w:rsidR="002F1223">
        <w:rPr>
          <w:rFonts w:ascii="Arial" w:hAnsi="Arial" w:cs="Arial"/>
          <w:color w:val="000000" w:themeColor="text1"/>
        </w:rPr>
        <w:t>data</w:t>
      </w:r>
      <w:r w:rsidR="00C70D22" w:rsidRPr="00A975F6">
        <w:rPr>
          <w:rFonts w:ascii="Arial" w:hAnsi="Arial" w:cs="Arial"/>
          <w:color w:val="000000" w:themeColor="text1"/>
        </w:rPr>
        <w:t xml:space="preserve"> legends.</w:t>
      </w:r>
    </w:p>
    <w:p w14:paraId="344BBD3D" w14:textId="6741C0B4" w:rsidR="00B53CAE" w:rsidRPr="00A975F6" w:rsidRDefault="00B53CAE" w:rsidP="00A975F6">
      <w:pPr>
        <w:pStyle w:val="ListParagraph"/>
        <w:numPr>
          <w:ilvl w:val="0"/>
          <w:numId w:val="3"/>
        </w:numPr>
        <w:jc w:val="both"/>
        <w:rPr>
          <w:rFonts w:ascii="Arial" w:hAnsi="Arial" w:cs="Arial"/>
          <w:color w:val="000000" w:themeColor="text1"/>
        </w:rPr>
      </w:pPr>
      <w:r w:rsidRPr="00A975F6">
        <w:rPr>
          <w:rFonts w:ascii="Arial" w:hAnsi="Arial" w:cs="Arial"/>
          <w:color w:val="000000" w:themeColor="text1"/>
        </w:rPr>
        <w:t>Supplementary materials and methods</w:t>
      </w:r>
      <w:r w:rsidR="00C70D22" w:rsidRPr="00A975F6">
        <w:rPr>
          <w:rFonts w:ascii="Arial" w:hAnsi="Arial" w:cs="Arial"/>
          <w:color w:val="000000" w:themeColor="text1"/>
        </w:rPr>
        <w:t>.</w:t>
      </w:r>
    </w:p>
    <w:p w14:paraId="53BBAA78" w14:textId="77777777" w:rsidR="00B53CAE" w:rsidRPr="00EF78D1" w:rsidRDefault="00B53CAE" w:rsidP="00EF78D1">
      <w:pPr>
        <w:jc w:val="both"/>
        <w:rPr>
          <w:rFonts w:ascii="Arial" w:hAnsi="Arial" w:cs="Arial"/>
          <w:color w:val="000000" w:themeColor="text1"/>
        </w:rPr>
      </w:pPr>
    </w:p>
    <w:p w14:paraId="7936BDA4" w14:textId="49D928E9" w:rsidR="00272F99" w:rsidRPr="00470708" w:rsidRDefault="00C70D22" w:rsidP="00EF78D1">
      <w:pPr>
        <w:jc w:val="both"/>
        <w:rPr>
          <w:rFonts w:ascii="Arial" w:hAnsi="Arial" w:cs="Arial"/>
          <w:b/>
          <w:bCs/>
          <w:color w:val="000000" w:themeColor="text1"/>
        </w:rPr>
      </w:pPr>
      <w:r w:rsidRPr="00470708">
        <w:rPr>
          <w:rFonts w:ascii="Arial" w:hAnsi="Arial" w:cs="Arial"/>
          <w:b/>
          <w:bCs/>
          <w:color w:val="000000" w:themeColor="text1"/>
        </w:rPr>
        <w:t>SUPPLEMENTA</w:t>
      </w:r>
      <w:r w:rsidR="00A975F6" w:rsidRPr="00470708">
        <w:rPr>
          <w:rFonts w:ascii="Arial" w:hAnsi="Arial" w:cs="Arial"/>
          <w:b/>
          <w:bCs/>
          <w:color w:val="000000" w:themeColor="text1"/>
        </w:rPr>
        <w:t>RY</w:t>
      </w:r>
      <w:r w:rsidRPr="00470708">
        <w:rPr>
          <w:rFonts w:ascii="Arial" w:hAnsi="Arial" w:cs="Arial"/>
          <w:b/>
          <w:bCs/>
          <w:color w:val="000000" w:themeColor="text1"/>
        </w:rPr>
        <w:t xml:space="preserve"> FIGURES</w:t>
      </w:r>
    </w:p>
    <w:p w14:paraId="6F95D880" w14:textId="1946C01D" w:rsidR="00C70D22" w:rsidRPr="00EF78D1" w:rsidRDefault="006C28DD" w:rsidP="00EF78D1">
      <w:pPr>
        <w:jc w:val="both"/>
        <w:rPr>
          <w:rFonts w:ascii="Arial" w:hAnsi="Arial" w:cs="Arial"/>
          <w:color w:val="000000" w:themeColor="text1"/>
        </w:rPr>
      </w:pPr>
      <w:r w:rsidRPr="006C28DD">
        <w:rPr>
          <w:rFonts w:ascii="Arial" w:hAnsi="Arial" w:cs="Arial"/>
          <w:b/>
          <w:bCs/>
          <w:noProof/>
          <w:color w:val="000000" w:themeColor="text1"/>
        </w:rPr>
        <w:lastRenderedPageBreak/>
        <w:drawing>
          <wp:anchor distT="0" distB="0" distL="114300" distR="114300" simplePos="0" relativeHeight="251663360" behindDoc="0" locked="0" layoutInCell="1" allowOverlap="1" wp14:anchorId="5E972ADC" wp14:editId="19DA7F87">
            <wp:simplePos x="0" y="0"/>
            <wp:positionH relativeFrom="column">
              <wp:posOffset>144145</wp:posOffset>
            </wp:positionH>
            <wp:positionV relativeFrom="paragraph">
              <wp:posOffset>0</wp:posOffset>
            </wp:positionV>
            <wp:extent cx="6377940" cy="75704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300" r="6992" b="9837"/>
                    <a:stretch/>
                  </pic:blipFill>
                  <pic:spPr bwMode="auto">
                    <a:xfrm>
                      <a:off x="0" y="0"/>
                      <a:ext cx="6377940" cy="757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64147" w14:textId="0319BC30" w:rsidR="00272F99" w:rsidRPr="00EF78D1" w:rsidRDefault="006C28DD" w:rsidP="00112078">
      <w:pPr>
        <w:rPr>
          <w:rFonts w:ascii="Arial" w:hAnsi="Arial" w:cs="Arial"/>
          <w:b/>
          <w:bCs/>
          <w:color w:val="000000" w:themeColor="text1"/>
        </w:rPr>
      </w:pPr>
      <w:r w:rsidRPr="006C28DD">
        <w:rPr>
          <w:rFonts w:ascii="Arial" w:hAnsi="Arial" w:cs="Arial"/>
          <w:b/>
          <w:bCs/>
          <w:color w:val="000000" w:themeColor="text1"/>
        </w:rPr>
        <w:t xml:space="preserve"> </w:t>
      </w:r>
      <w:r w:rsidR="00272F99" w:rsidRPr="00EF78D1">
        <w:rPr>
          <w:rFonts w:ascii="Arial" w:hAnsi="Arial" w:cs="Arial"/>
          <w:b/>
          <w:bCs/>
          <w:color w:val="000000" w:themeColor="text1"/>
        </w:rPr>
        <w:t xml:space="preserve">Supplemental Figure </w:t>
      </w:r>
      <w:r w:rsidR="009D0AED">
        <w:rPr>
          <w:rFonts w:ascii="Arial" w:hAnsi="Arial" w:cs="Arial"/>
          <w:b/>
          <w:bCs/>
          <w:color w:val="000000" w:themeColor="text1"/>
        </w:rPr>
        <w:t>S</w:t>
      </w:r>
      <w:r w:rsidR="00272F99" w:rsidRPr="00EF78D1">
        <w:rPr>
          <w:rFonts w:ascii="Arial" w:hAnsi="Arial" w:cs="Arial"/>
          <w:b/>
          <w:bCs/>
          <w:color w:val="000000" w:themeColor="text1"/>
        </w:rPr>
        <w:t>1. BMDMs Provide Robust Circadian Time Courses.</w:t>
      </w:r>
    </w:p>
    <w:p w14:paraId="24D31A2F" w14:textId="7EE9768E" w:rsidR="00272F99" w:rsidRPr="00EF78D1" w:rsidRDefault="00272F99" w:rsidP="00EF78D1">
      <w:pPr>
        <w:jc w:val="both"/>
        <w:rPr>
          <w:rFonts w:ascii="Arial" w:hAnsi="Arial" w:cs="Arial"/>
          <w:color w:val="000000" w:themeColor="text1"/>
        </w:rPr>
      </w:pPr>
      <w:r w:rsidRPr="00EF78D1">
        <w:rPr>
          <w:rFonts w:ascii="Arial" w:hAnsi="Arial" w:cs="Arial"/>
          <w:color w:val="000000" w:themeColor="text1"/>
        </w:rPr>
        <w:t xml:space="preserve">(A and B) Representative flow cytometry plots confirming the near total differentiation of bone marrow stem cells into macrophages using antibodies staining for F4/80 and CD11b surface markers. Flow cytometry confirmations were completed both before and after each time course. (C) A schematic of the BMDM 48-hour time course with staggered time point preparation to optimize the collection window. Four groups (G1-4) of plates each were serum shocked with 12 hour staggering between each so four time points could be processed simultaneously every 2 hours. For 6 total time courses, BMDMs were </w:t>
      </w:r>
      <w:r w:rsidRPr="00EF78D1">
        <w:rPr>
          <w:rFonts w:ascii="Arial" w:hAnsi="Arial" w:cs="Arial"/>
          <w:color w:val="000000" w:themeColor="text1"/>
        </w:rPr>
        <w:lastRenderedPageBreak/>
        <w:t>collected from the bone marrow of a single male PER2::LUC mouse on day 1 and incubated at 37</w:t>
      </w:r>
      <w:r w:rsidRPr="00EF78D1">
        <w:rPr>
          <w:rFonts w:ascii="Arial" w:hAnsi="Arial" w:cs="Arial"/>
          <w:color w:val="000000" w:themeColor="text1"/>
        </w:rPr>
        <w:sym w:font="Symbol" w:char="F0B0"/>
      </w:r>
      <w:r w:rsidRPr="00EF78D1">
        <w:rPr>
          <w:rFonts w:ascii="Arial" w:hAnsi="Arial" w:cs="Arial"/>
          <w:color w:val="000000" w:themeColor="text1"/>
          <w:vertAlign w:val="superscript"/>
        </w:rPr>
        <w:t>C</w:t>
      </w:r>
      <w:r w:rsidRPr="00EF78D1">
        <w:rPr>
          <w:rFonts w:ascii="Arial" w:hAnsi="Arial" w:cs="Arial"/>
          <w:color w:val="000000" w:themeColor="text1"/>
        </w:rPr>
        <w:t xml:space="preserve"> for 6 days in Dulbecco’s Modified Eagle Media (DMEM) supplemented with 10% Fetal Bovine Serum (FBS) to full confluence (red). On day 6 media was replaced with Lebovitz supplemented with 10% FBS (yellow) for 24 hours followed by 24 hours in a Leibovitz starve media containing 0% FBS (gray). BMDMs were then shocked for 2 hours in 50% FBS Lebovitz media (green) and assayed for the time course in 10% FBS Leibovitz with luciferin (black) in plates sealed with glass coverslips. (D) A representative luminescence tracing of the tracings that were used to confirm both the robust rhythmicity of PER2 as well as the synchronization between plates within and between time course experiments. Each line corresponds to a plate of macrophages.</w:t>
      </w:r>
    </w:p>
    <w:p w14:paraId="51A04B4C" w14:textId="1E1AB0CF" w:rsidR="00272F99" w:rsidRPr="00EF78D1" w:rsidRDefault="00576857" w:rsidP="00EF78D1">
      <w:pPr>
        <w:jc w:val="both"/>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59264" behindDoc="0" locked="0" layoutInCell="1" allowOverlap="1" wp14:anchorId="00FDC36E" wp14:editId="2150C573">
            <wp:simplePos x="0" y="0"/>
            <wp:positionH relativeFrom="column">
              <wp:posOffset>-76200</wp:posOffset>
            </wp:positionH>
            <wp:positionV relativeFrom="paragraph">
              <wp:posOffset>0</wp:posOffset>
            </wp:positionV>
            <wp:extent cx="6858000" cy="88233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8823325"/>
                    </a:xfrm>
                    <a:prstGeom prst="rect">
                      <a:avLst/>
                    </a:prstGeom>
                  </pic:spPr>
                </pic:pic>
              </a:graphicData>
            </a:graphic>
          </wp:anchor>
        </w:drawing>
      </w:r>
    </w:p>
    <w:p w14:paraId="0D7594BB" w14:textId="0D553A0F" w:rsidR="00272F99" w:rsidRPr="00EF78D1" w:rsidRDefault="00272F99" w:rsidP="00EF78D1">
      <w:pPr>
        <w:jc w:val="both"/>
        <w:rPr>
          <w:rFonts w:ascii="Arial" w:hAnsi="Arial" w:cs="Arial"/>
          <w:b/>
          <w:bCs/>
          <w:color w:val="000000" w:themeColor="text1"/>
        </w:rPr>
      </w:pPr>
      <w:r w:rsidRPr="00EF78D1">
        <w:rPr>
          <w:rFonts w:ascii="Arial" w:hAnsi="Arial" w:cs="Arial"/>
          <w:b/>
          <w:bCs/>
          <w:color w:val="000000" w:themeColor="text1"/>
        </w:rPr>
        <w:lastRenderedPageBreak/>
        <w:t xml:space="preserve">Supplemental Figure </w:t>
      </w:r>
      <w:r w:rsidR="009D0AED">
        <w:rPr>
          <w:rFonts w:ascii="Arial" w:hAnsi="Arial" w:cs="Arial"/>
          <w:b/>
          <w:bCs/>
          <w:color w:val="000000" w:themeColor="text1"/>
        </w:rPr>
        <w:t>S</w:t>
      </w:r>
      <w:r w:rsidRPr="00EF78D1">
        <w:rPr>
          <w:rFonts w:ascii="Arial" w:hAnsi="Arial" w:cs="Arial"/>
          <w:b/>
          <w:bCs/>
          <w:color w:val="000000" w:themeColor="text1"/>
        </w:rPr>
        <w:t xml:space="preserve">2. ECHO Modeling of Circadian Oscillations. </w:t>
      </w:r>
    </w:p>
    <w:p w14:paraId="72D76F8B" w14:textId="36476689" w:rsidR="00272F99" w:rsidRPr="00EF78D1" w:rsidRDefault="00514E01" w:rsidP="00EF78D1">
      <w:pPr>
        <w:jc w:val="both"/>
        <w:rPr>
          <w:rFonts w:ascii="Arial" w:hAnsi="Arial" w:cs="Arial"/>
          <w:color w:val="000000" w:themeColor="text1"/>
        </w:rPr>
      </w:pPr>
      <w:r w:rsidRPr="00EF78D1">
        <w:rPr>
          <w:rFonts w:ascii="Arial" w:hAnsi="Arial" w:cs="Arial"/>
          <w:color w:val="000000" w:themeColor="text1"/>
        </w:rPr>
        <w:t xml:space="preserve">RNA-seq data for clock genes prior to (A) and after (B) pre-processing steps with LIMBR. </w:t>
      </w:r>
      <w:r w:rsidR="00272F99" w:rsidRPr="00EF78D1">
        <w:rPr>
          <w:rFonts w:ascii="Arial" w:hAnsi="Arial" w:cs="Arial"/>
          <w:color w:val="000000" w:themeColor="text1"/>
        </w:rPr>
        <w:t>(</w:t>
      </w:r>
      <w:r w:rsidRPr="00EF78D1">
        <w:rPr>
          <w:rFonts w:ascii="Arial" w:hAnsi="Arial" w:cs="Arial"/>
          <w:color w:val="000000" w:themeColor="text1"/>
        </w:rPr>
        <w:t>C</w:t>
      </w:r>
      <w:r w:rsidR="00272F99" w:rsidRPr="00EF78D1">
        <w:rPr>
          <w:rFonts w:ascii="Arial" w:hAnsi="Arial" w:cs="Arial"/>
          <w:color w:val="000000" w:themeColor="text1"/>
        </w:rPr>
        <w:t>) Graphs of the modeled oscillator determined by ECHO for each of the clock gene transcripts plotted with corresponding replicate data. Best fitting model periods were calculated by ECHO ranged from 20-29 hours. (</w:t>
      </w:r>
      <w:r w:rsidR="009D0AED">
        <w:rPr>
          <w:rFonts w:ascii="Arial" w:hAnsi="Arial" w:cs="Arial"/>
          <w:color w:val="000000" w:themeColor="text1"/>
        </w:rPr>
        <w:t>D</w:t>
      </w:r>
      <w:r w:rsidR="00272F99" w:rsidRPr="00EF78D1">
        <w:rPr>
          <w:rFonts w:ascii="Arial" w:hAnsi="Arial" w:cs="Arial"/>
          <w:color w:val="000000" w:themeColor="text1"/>
        </w:rPr>
        <w:t>) Density plots for several ECHO model parameters for the genes identified as circadian in the proteome (left panels) and transcriptome (right panels). X-axis represents parameter corresponding to panel row name.</w:t>
      </w:r>
    </w:p>
    <w:p w14:paraId="4DDF2EBE" w14:textId="6FB628DE" w:rsidR="00272F99" w:rsidRPr="00EF78D1" w:rsidRDefault="00272F99" w:rsidP="00EF78D1">
      <w:pPr>
        <w:jc w:val="both"/>
        <w:rPr>
          <w:rFonts w:ascii="Arial" w:hAnsi="Arial" w:cs="Arial"/>
          <w:color w:val="000000" w:themeColor="text1"/>
        </w:rPr>
      </w:pPr>
    </w:p>
    <w:p w14:paraId="414A3C33" w14:textId="77777777" w:rsidR="00576857" w:rsidRDefault="00576857">
      <w:pPr>
        <w:rPr>
          <w:rFonts w:ascii="Arial" w:hAnsi="Arial" w:cs="Arial"/>
          <w:b/>
          <w:bCs/>
          <w:color w:val="000000" w:themeColor="text1"/>
        </w:rPr>
      </w:pPr>
      <w:r>
        <w:rPr>
          <w:rFonts w:ascii="Arial" w:hAnsi="Arial" w:cs="Arial"/>
          <w:b/>
          <w:bCs/>
          <w:color w:val="000000" w:themeColor="text1"/>
        </w:rPr>
        <w:br w:type="page"/>
      </w:r>
    </w:p>
    <w:p w14:paraId="0611039F" w14:textId="19A102E8" w:rsidR="00272F99" w:rsidRPr="00EF78D1" w:rsidRDefault="00576857" w:rsidP="00EF78D1">
      <w:pPr>
        <w:jc w:val="both"/>
        <w:rPr>
          <w:rFonts w:ascii="Arial" w:hAnsi="Arial" w:cs="Arial"/>
          <w:b/>
          <w:bCs/>
          <w:color w:val="000000" w:themeColor="text1"/>
        </w:rPr>
      </w:pPr>
      <w:r>
        <w:rPr>
          <w:rFonts w:ascii="Arial" w:hAnsi="Arial" w:cs="Arial"/>
          <w:noProof/>
          <w:color w:val="000000" w:themeColor="text1"/>
        </w:rPr>
        <w:lastRenderedPageBreak/>
        <w:drawing>
          <wp:anchor distT="0" distB="0" distL="114300" distR="114300" simplePos="0" relativeHeight="251660288" behindDoc="0" locked="0" layoutInCell="1" allowOverlap="1" wp14:anchorId="7EFBC190" wp14:editId="6D745D05">
            <wp:simplePos x="0" y="0"/>
            <wp:positionH relativeFrom="column">
              <wp:posOffset>-114300</wp:posOffset>
            </wp:positionH>
            <wp:positionV relativeFrom="paragraph">
              <wp:posOffset>0</wp:posOffset>
            </wp:positionV>
            <wp:extent cx="6858000" cy="66992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6699250"/>
                    </a:xfrm>
                    <a:prstGeom prst="rect">
                      <a:avLst/>
                    </a:prstGeom>
                  </pic:spPr>
                </pic:pic>
              </a:graphicData>
            </a:graphic>
          </wp:anchor>
        </w:drawing>
      </w:r>
      <w:r w:rsidR="00272F99" w:rsidRPr="00EF78D1">
        <w:rPr>
          <w:rFonts w:ascii="Arial" w:hAnsi="Arial" w:cs="Arial"/>
          <w:b/>
          <w:bCs/>
          <w:color w:val="000000" w:themeColor="text1"/>
        </w:rPr>
        <w:t xml:space="preserve">Supplemental Figure </w:t>
      </w:r>
      <w:r w:rsidR="009D0AED">
        <w:rPr>
          <w:rFonts w:ascii="Arial" w:hAnsi="Arial" w:cs="Arial"/>
          <w:b/>
          <w:bCs/>
          <w:color w:val="000000" w:themeColor="text1"/>
        </w:rPr>
        <w:t>S</w:t>
      </w:r>
      <w:r w:rsidR="00272F99" w:rsidRPr="00EF78D1">
        <w:rPr>
          <w:rFonts w:ascii="Arial" w:hAnsi="Arial" w:cs="Arial"/>
          <w:b/>
          <w:bCs/>
          <w:color w:val="000000" w:themeColor="text1"/>
        </w:rPr>
        <w:t>3. Transcriptome and proteome analysis demonstrate significant discordance.</w:t>
      </w:r>
    </w:p>
    <w:p w14:paraId="55C4A102" w14:textId="0ED35CCD" w:rsidR="00272F99" w:rsidRPr="00EF78D1" w:rsidRDefault="00272F99" w:rsidP="00EF78D1">
      <w:pPr>
        <w:jc w:val="both"/>
        <w:rPr>
          <w:rFonts w:ascii="Arial" w:hAnsi="Arial" w:cs="Arial"/>
          <w:color w:val="000000" w:themeColor="text1"/>
        </w:rPr>
      </w:pPr>
      <w:r w:rsidRPr="00EF78D1">
        <w:rPr>
          <w:rFonts w:ascii="Arial" w:hAnsi="Arial" w:cs="Arial"/>
          <w:color w:val="000000" w:themeColor="text1"/>
        </w:rPr>
        <w:t>(A) Venn diagrams displaying the overlap/discordance between circadian RNAs and circadian proteins. Datasets were subset to compare which proteins and transcripts were detected in both datasets before being compared to each other to determine which proteins were rhythmic in protein, RNA, or both. The resultant oscillating transcripts and proteins were plotted on a clock style graph by Circadian time (CT) (transcripts = blue, proteins = orange) (B and C). Venn diagrams displaying the overlap between circadian RNA (blue) vs Protein (orange) with a protein period cut off of 18-30 and transcript period cutoff of 20-28 (</w:t>
      </w:r>
      <w:r w:rsidR="00B6558C">
        <w:rPr>
          <w:rFonts w:ascii="Arial" w:hAnsi="Arial" w:cs="Arial"/>
          <w:color w:val="000000" w:themeColor="text1"/>
        </w:rPr>
        <w:t>D</w:t>
      </w:r>
      <w:r w:rsidRPr="00EF78D1">
        <w:rPr>
          <w:rFonts w:ascii="Arial" w:hAnsi="Arial" w:cs="Arial"/>
          <w:color w:val="000000" w:themeColor="text1"/>
        </w:rPr>
        <w:t>). More stringent cutoffs of 20-28 for both (E) and less stringent cutoffs of 18-30 for both (F) were also visualized.</w:t>
      </w:r>
    </w:p>
    <w:p w14:paraId="14695771" w14:textId="284C3EBA" w:rsidR="00272F99" w:rsidRPr="00EF78D1" w:rsidRDefault="00576857" w:rsidP="00576857">
      <w:pPr>
        <w:rPr>
          <w:rFonts w:ascii="Arial" w:hAnsi="Arial" w:cs="Arial"/>
          <w:color w:val="000000" w:themeColor="text1"/>
        </w:rPr>
      </w:pPr>
      <w:r>
        <w:rPr>
          <w:rFonts w:ascii="Arial" w:hAnsi="Arial" w:cs="Arial"/>
          <w:color w:val="000000" w:themeColor="text1"/>
        </w:rPr>
        <w:br w:type="page"/>
      </w:r>
    </w:p>
    <w:p w14:paraId="260EA459" w14:textId="39473ABE" w:rsidR="00576857" w:rsidRDefault="003C7B46" w:rsidP="00EF78D1">
      <w:pPr>
        <w:jc w:val="both"/>
        <w:rPr>
          <w:rFonts w:ascii="Arial" w:hAnsi="Arial" w:cs="Arial"/>
          <w:b/>
          <w:bCs/>
          <w:color w:val="000000" w:themeColor="text1"/>
        </w:rPr>
      </w:pPr>
      <w:r w:rsidRPr="003C7B46">
        <w:rPr>
          <w:rFonts w:ascii="Arial" w:hAnsi="Arial" w:cs="Arial"/>
          <w:b/>
          <w:bCs/>
          <w:noProof/>
          <w:color w:val="000000" w:themeColor="text1"/>
        </w:rPr>
        <w:lastRenderedPageBreak/>
        <w:drawing>
          <wp:anchor distT="0" distB="0" distL="114300" distR="114300" simplePos="0" relativeHeight="251671552" behindDoc="0" locked="0" layoutInCell="1" allowOverlap="1" wp14:anchorId="7CA55D97" wp14:editId="6F047080">
            <wp:simplePos x="0" y="0"/>
            <wp:positionH relativeFrom="column">
              <wp:posOffset>0</wp:posOffset>
            </wp:positionH>
            <wp:positionV relativeFrom="paragraph">
              <wp:posOffset>180340</wp:posOffset>
            </wp:positionV>
            <wp:extent cx="6858000" cy="881761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8817610"/>
                    </a:xfrm>
                    <a:prstGeom prst="rect">
                      <a:avLst/>
                    </a:prstGeom>
                  </pic:spPr>
                </pic:pic>
              </a:graphicData>
            </a:graphic>
          </wp:anchor>
        </w:drawing>
      </w:r>
    </w:p>
    <w:p w14:paraId="40A47D32" w14:textId="50F94441" w:rsidR="00272F99" w:rsidRPr="00EF78D1" w:rsidRDefault="003C7B46" w:rsidP="00EF78D1">
      <w:pPr>
        <w:jc w:val="both"/>
        <w:rPr>
          <w:rFonts w:ascii="Arial" w:hAnsi="Arial" w:cs="Arial"/>
          <w:color w:val="000000" w:themeColor="text1"/>
        </w:rPr>
      </w:pPr>
      <w:r w:rsidRPr="003C7B46">
        <w:rPr>
          <w:rFonts w:ascii="Arial" w:hAnsi="Arial" w:cs="Arial"/>
          <w:b/>
          <w:bCs/>
          <w:color w:val="000000" w:themeColor="text1"/>
        </w:rPr>
        <w:lastRenderedPageBreak/>
        <w:t xml:space="preserve"> </w:t>
      </w:r>
      <w:r w:rsidR="00272F99" w:rsidRPr="00EF78D1">
        <w:rPr>
          <w:rFonts w:ascii="Arial" w:hAnsi="Arial" w:cs="Arial"/>
          <w:b/>
          <w:bCs/>
          <w:color w:val="000000" w:themeColor="text1"/>
        </w:rPr>
        <w:t xml:space="preserve">Supplemental Figure </w:t>
      </w:r>
      <w:r w:rsidR="009D0AED">
        <w:rPr>
          <w:rFonts w:ascii="Arial" w:hAnsi="Arial" w:cs="Arial"/>
          <w:b/>
          <w:bCs/>
          <w:color w:val="000000" w:themeColor="text1"/>
        </w:rPr>
        <w:t>S</w:t>
      </w:r>
      <w:r w:rsidR="004016CD" w:rsidRPr="00EF78D1">
        <w:rPr>
          <w:rFonts w:ascii="Arial" w:hAnsi="Arial" w:cs="Arial"/>
          <w:b/>
          <w:bCs/>
          <w:color w:val="000000" w:themeColor="text1"/>
        </w:rPr>
        <w:t>4</w:t>
      </w:r>
      <w:r w:rsidR="00272F99" w:rsidRPr="00EF78D1">
        <w:rPr>
          <w:rFonts w:ascii="Arial" w:hAnsi="Arial" w:cs="Arial"/>
          <w:b/>
          <w:bCs/>
          <w:color w:val="000000" w:themeColor="text1"/>
        </w:rPr>
        <w:t xml:space="preserve">. Phase Set Enrichment Analysis Reveals Translational and Degradative Pathways Peak in the </w:t>
      </w:r>
      <w:r w:rsidR="00514E01" w:rsidRPr="00EF78D1">
        <w:rPr>
          <w:rFonts w:ascii="Arial" w:hAnsi="Arial" w:cs="Arial"/>
          <w:b/>
          <w:bCs/>
          <w:color w:val="000000" w:themeColor="text1"/>
        </w:rPr>
        <w:t>Late</w:t>
      </w:r>
      <w:r w:rsidR="00272F99" w:rsidRPr="00EF78D1">
        <w:rPr>
          <w:rFonts w:ascii="Arial" w:hAnsi="Arial" w:cs="Arial"/>
          <w:b/>
          <w:bCs/>
          <w:color w:val="000000" w:themeColor="text1"/>
        </w:rPr>
        <w:t xml:space="preserve"> Wave</w:t>
      </w:r>
      <w:r w:rsidR="00D86E45" w:rsidRPr="00EF78D1">
        <w:rPr>
          <w:rFonts w:ascii="Arial" w:hAnsi="Arial" w:cs="Arial"/>
          <w:b/>
          <w:bCs/>
          <w:color w:val="000000" w:themeColor="text1"/>
        </w:rPr>
        <w:t>.</w:t>
      </w:r>
    </w:p>
    <w:p w14:paraId="0163BE3C" w14:textId="2287CFBB" w:rsidR="00272F99" w:rsidRDefault="003C7B46" w:rsidP="00EF78D1">
      <w:pPr>
        <w:jc w:val="both"/>
        <w:rPr>
          <w:rFonts w:ascii="Arial" w:hAnsi="Arial" w:cs="Arial"/>
          <w:color w:val="000000" w:themeColor="text1"/>
        </w:rPr>
      </w:pPr>
      <w:r w:rsidRPr="003C7B46">
        <w:rPr>
          <w:rFonts w:ascii="Arial" w:hAnsi="Arial" w:cs="Arial"/>
          <w:b/>
          <w:bCs/>
          <w:noProof/>
          <w:color w:val="000000" w:themeColor="text1"/>
        </w:rPr>
        <w:drawing>
          <wp:anchor distT="0" distB="0" distL="114300" distR="114300" simplePos="0" relativeHeight="251669504" behindDoc="0" locked="0" layoutInCell="1" allowOverlap="1" wp14:anchorId="34E98B4A" wp14:editId="1ECF7654">
            <wp:simplePos x="0" y="0"/>
            <wp:positionH relativeFrom="column">
              <wp:posOffset>0</wp:posOffset>
            </wp:positionH>
            <wp:positionV relativeFrom="paragraph">
              <wp:posOffset>1519844</wp:posOffset>
            </wp:positionV>
            <wp:extent cx="6858000" cy="539115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860"/>
                    <a:stretch/>
                  </pic:blipFill>
                  <pic:spPr bwMode="auto">
                    <a:xfrm>
                      <a:off x="0" y="0"/>
                      <a:ext cx="6858000" cy="5391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72F99" w:rsidRPr="00EF78D1">
        <w:rPr>
          <w:rFonts w:ascii="Arial" w:hAnsi="Arial" w:cs="Arial"/>
          <w:color w:val="000000" w:themeColor="text1"/>
        </w:rPr>
        <w:t>(A) Phase Set Enrichment Analysis (PSEA) of the circadian proteome peaking using mouse gene sets curated by Gene Set Knowledgebase (GSKB). The size of text corresponds to the statistical overrepresentation assuming uniform distribution and placement indicates the circadian time of day that the enriched gene set was calculated to occur. (B) Individual modeled fits of all circadian proteins with aminoacyl-ligase activity. The amino acid ligated by each gene is shown in the legend.</w:t>
      </w:r>
      <w:r w:rsidR="004A1017" w:rsidRPr="00EF78D1">
        <w:rPr>
          <w:rFonts w:ascii="Arial" w:hAnsi="Arial" w:cs="Arial"/>
          <w:color w:val="000000" w:themeColor="text1"/>
        </w:rPr>
        <w:t xml:space="preserve"> (C) Individual modeled fits of all circadian proteins which are Eukaryotic Initiation Factors. </w:t>
      </w:r>
      <w:r w:rsidR="00272F99" w:rsidRPr="00EF78D1">
        <w:rPr>
          <w:rFonts w:ascii="Arial" w:hAnsi="Arial" w:cs="Arial"/>
          <w:color w:val="000000" w:themeColor="text1"/>
        </w:rPr>
        <w:t>(</w:t>
      </w:r>
      <w:r w:rsidR="004A1017" w:rsidRPr="00EF78D1">
        <w:rPr>
          <w:rFonts w:ascii="Arial" w:hAnsi="Arial" w:cs="Arial"/>
          <w:color w:val="000000" w:themeColor="text1"/>
        </w:rPr>
        <w:t>D</w:t>
      </w:r>
      <w:r w:rsidR="00272F99" w:rsidRPr="00EF78D1">
        <w:rPr>
          <w:rFonts w:ascii="Arial" w:hAnsi="Arial" w:cs="Arial"/>
          <w:color w:val="000000" w:themeColor="text1"/>
        </w:rPr>
        <w:t>) Individual modeled fits of all circadian proteins in the ubiquitin-proteasome pathway.</w:t>
      </w:r>
      <w:r w:rsidR="004A1017" w:rsidRPr="00EF78D1">
        <w:rPr>
          <w:rFonts w:ascii="Arial" w:hAnsi="Arial" w:cs="Arial"/>
          <w:color w:val="000000" w:themeColor="text1"/>
        </w:rPr>
        <w:t xml:space="preserve"> (E) </w:t>
      </w:r>
      <w:r w:rsidR="00402DC3" w:rsidRPr="00EF78D1">
        <w:rPr>
          <w:rFonts w:ascii="Arial" w:hAnsi="Arial" w:cs="Arial"/>
          <w:color w:val="000000" w:themeColor="text1"/>
        </w:rPr>
        <w:t xml:space="preserve">ECHO modeled fit for the E3 ubiquitin ligase </w:t>
      </w:r>
      <w:r w:rsidR="00AE1CDB">
        <w:rPr>
          <w:rFonts w:ascii="Arial" w:hAnsi="Arial" w:cs="Arial"/>
          <w:color w:val="000000" w:themeColor="text1"/>
        </w:rPr>
        <w:t>CBLB</w:t>
      </w:r>
      <w:r w:rsidR="00402DC3" w:rsidRPr="00EF78D1">
        <w:rPr>
          <w:rFonts w:ascii="Arial" w:hAnsi="Arial" w:cs="Arial"/>
          <w:color w:val="000000" w:themeColor="text1"/>
        </w:rPr>
        <w:t xml:space="preserve"> (top) and its target </w:t>
      </w:r>
      <w:r w:rsidR="00AE1CDB">
        <w:rPr>
          <w:rFonts w:ascii="Arial" w:hAnsi="Arial" w:cs="Arial"/>
          <w:color w:val="000000" w:themeColor="text1"/>
        </w:rPr>
        <w:t>VAV2</w:t>
      </w:r>
      <w:r w:rsidR="00402DC3" w:rsidRPr="00EF78D1">
        <w:rPr>
          <w:rFonts w:ascii="Arial" w:hAnsi="Arial" w:cs="Arial"/>
          <w:color w:val="000000" w:themeColor="text1"/>
        </w:rPr>
        <w:t xml:space="preserve"> (bottom).</w:t>
      </w:r>
    </w:p>
    <w:p w14:paraId="08678928" w14:textId="39DB1069" w:rsidR="00A4083F" w:rsidRDefault="00A4083F" w:rsidP="00EF78D1">
      <w:pPr>
        <w:jc w:val="both"/>
        <w:rPr>
          <w:rFonts w:ascii="Arial" w:hAnsi="Arial" w:cs="Arial"/>
          <w:color w:val="000000" w:themeColor="text1"/>
        </w:rPr>
      </w:pPr>
    </w:p>
    <w:p w14:paraId="5C6A8DA0" w14:textId="130C1AE0" w:rsidR="00A4083F" w:rsidRPr="00EF78D1" w:rsidRDefault="00A4083F" w:rsidP="00EF78D1">
      <w:pPr>
        <w:jc w:val="both"/>
        <w:rPr>
          <w:rFonts w:ascii="Arial" w:hAnsi="Arial" w:cs="Arial"/>
          <w:color w:val="000000" w:themeColor="text1"/>
        </w:rPr>
      </w:pPr>
    </w:p>
    <w:p w14:paraId="6A85B9D1" w14:textId="3793BAA3" w:rsidR="00272F99" w:rsidRPr="00EF78D1" w:rsidRDefault="00272F99" w:rsidP="00EF78D1">
      <w:pPr>
        <w:jc w:val="both"/>
        <w:rPr>
          <w:rFonts w:ascii="Arial" w:hAnsi="Arial" w:cs="Arial"/>
          <w:color w:val="000000" w:themeColor="text1"/>
        </w:rPr>
      </w:pPr>
    </w:p>
    <w:p w14:paraId="273685B5" w14:textId="05BC553C" w:rsidR="00272F99" w:rsidRPr="00EF78D1" w:rsidRDefault="00272F99" w:rsidP="00EF78D1">
      <w:pPr>
        <w:jc w:val="both"/>
        <w:rPr>
          <w:rFonts w:ascii="Arial" w:hAnsi="Arial" w:cs="Arial"/>
          <w:color w:val="000000" w:themeColor="text1"/>
        </w:rPr>
      </w:pPr>
      <w:r w:rsidRPr="00EF78D1">
        <w:rPr>
          <w:rFonts w:ascii="Arial" w:hAnsi="Arial" w:cs="Arial"/>
          <w:b/>
          <w:bCs/>
          <w:color w:val="000000" w:themeColor="text1"/>
        </w:rPr>
        <w:t xml:space="preserve">Supplemental Figure </w:t>
      </w:r>
      <w:r w:rsidR="009D0AED">
        <w:rPr>
          <w:rFonts w:ascii="Arial" w:hAnsi="Arial" w:cs="Arial"/>
          <w:b/>
          <w:bCs/>
          <w:color w:val="000000" w:themeColor="text1"/>
        </w:rPr>
        <w:t>S</w:t>
      </w:r>
      <w:r w:rsidR="004016CD" w:rsidRPr="00EF78D1">
        <w:rPr>
          <w:rFonts w:ascii="Arial" w:hAnsi="Arial" w:cs="Arial"/>
          <w:b/>
          <w:bCs/>
          <w:color w:val="000000" w:themeColor="text1"/>
        </w:rPr>
        <w:t>5</w:t>
      </w:r>
      <w:r w:rsidRPr="00EF78D1">
        <w:rPr>
          <w:rFonts w:ascii="Arial" w:hAnsi="Arial" w:cs="Arial"/>
          <w:b/>
          <w:bCs/>
          <w:color w:val="000000" w:themeColor="text1"/>
        </w:rPr>
        <w:t>. Circadian Proteins in Central Metabolic Pathways</w:t>
      </w:r>
      <w:r w:rsidR="00D86E45" w:rsidRPr="00EF78D1">
        <w:rPr>
          <w:rFonts w:ascii="Arial" w:hAnsi="Arial" w:cs="Arial"/>
          <w:b/>
          <w:bCs/>
          <w:color w:val="000000" w:themeColor="text1"/>
        </w:rPr>
        <w:t>.</w:t>
      </w:r>
    </w:p>
    <w:p w14:paraId="5CBD512C" w14:textId="43FB15D3" w:rsidR="00272F99" w:rsidRPr="00EF78D1" w:rsidRDefault="00272F99" w:rsidP="003C7B46">
      <w:pPr>
        <w:jc w:val="both"/>
        <w:rPr>
          <w:rFonts w:ascii="Arial" w:hAnsi="Arial" w:cs="Arial"/>
          <w:color w:val="000000" w:themeColor="text1"/>
        </w:rPr>
      </w:pPr>
      <w:r w:rsidRPr="00EF78D1">
        <w:rPr>
          <w:rFonts w:ascii="Arial" w:hAnsi="Arial" w:cs="Arial"/>
          <w:color w:val="000000" w:themeColor="text1"/>
        </w:rPr>
        <w:t xml:space="preserve">(A) Individual modeled fits of all circadian proteins in the glycolysis </w:t>
      </w:r>
      <w:r w:rsidR="00402DC3" w:rsidRPr="00EF78D1">
        <w:rPr>
          <w:rFonts w:ascii="Arial" w:hAnsi="Arial" w:cs="Arial"/>
          <w:color w:val="000000" w:themeColor="text1"/>
        </w:rPr>
        <w:t>pathway</w:t>
      </w:r>
      <w:r w:rsidRPr="00EF78D1">
        <w:rPr>
          <w:rFonts w:ascii="Arial" w:hAnsi="Arial" w:cs="Arial"/>
          <w:color w:val="000000" w:themeColor="text1"/>
        </w:rPr>
        <w:t>. Asterisk denotes protein also identified as circadian at</w:t>
      </w:r>
      <w:r w:rsidR="007D2DD1">
        <w:rPr>
          <w:rFonts w:ascii="Arial" w:hAnsi="Arial" w:cs="Arial"/>
          <w:color w:val="000000" w:themeColor="text1"/>
        </w:rPr>
        <w:t xml:space="preserve"> the</w:t>
      </w:r>
      <w:r w:rsidRPr="00EF78D1">
        <w:rPr>
          <w:rFonts w:ascii="Arial" w:hAnsi="Arial" w:cs="Arial"/>
          <w:color w:val="000000" w:themeColor="text1"/>
        </w:rPr>
        <w:t xml:space="preserve"> mRNA level. (B) Individual modeled fits of all circadian proteins in the Pentose Phosphate Pathway. Asterisk denotes protein also identified as circadian at </w:t>
      </w:r>
      <w:r w:rsidR="007D2DD1">
        <w:rPr>
          <w:rFonts w:ascii="Arial" w:hAnsi="Arial" w:cs="Arial"/>
          <w:color w:val="000000" w:themeColor="text1"/>
        </w:rPr>
        <w:t xml:space="preserve">the </w:t>
      </w:r>
      <w:r w:rsidRPr="00EF78D1">
        <w:rPr>
          <w:rFonts w:ascii="Arial" w:hAnsi="Arial" w:cs="Arial"/>
          <w:color w:val="000000" w:themeColor="text1"/>
        </w:rPr>
        <w:t>mRNA level. (</w:t>
      </w:r>
      <w:r w:rsidR="00402DC3" w:rsidRPr="00EF78D1">
        <w:rPr>
          <w:rFonts w:ascii="Arial" w:hAnsi="Arial" w:cs="Arial"/>
          <w:color w:val="000000" w:themeColor="text1"/>
        </w:rPr>
        <w:t>C</w:t>
      </w:r>
      <w:r w:rsidRPr="00EF78D1">
        <w:rPr>
          <w:rFonts w:ascii="Arial" w:hAnsi="Arial" w:cs="Arial"/>
          <w:color w:val="000000" w:themeColor="text1"/>
        </w:rPr>
        <w:t>) Individual modeled fits of all circadian proteins in the TCA cycle.</w:t>
      </w:r>
      <w:r w:rsidR="00402DC3" w:rsidRPr="00EF78D1">
        <w:rPr>
          <w:rFonts w:ascii="Arial" w:hAnsi="Arial" w:cs="Arial"/>
          <w:color w:val="000000" w:themeColor="text1"/>
        </w:rPr>
        <w:t xml:space="preserve"> None were rhythmic at the RNA level</w:t>
      </w:r>
      <w:r w:rsidRPr="00EF78D1">
        <w:rPr>
          <w:rFonts w:ascii="Arial" w:hAnsi="Arial" w:cs="Arial"/>
          <w:color w:val="000000" w:themeColor="text1"/>
        </w:rPr>
        <w:t xml:space="preserve"> (</w:t>
      </w:r>
      <w:r w:rsidR="00402DC3" w:rsidRPr="00EF78D1">
        <w:rPr>
          <w:rFonts w:ascii="Arial" w:hAnsi="Arial" w:cs="Arial"/>
          <w:color w:val="000000" w:themeColor="text1"/>
        </w:rPr>
        <w:t>D</w:t>
      </w:r>
      <w:r w:rsidRPr="00EF78D1">
        <w:rPr>
          <w:rFonts w:ascii="Arial" w:hAnsi="Arial" w:cs="Arial"/>
          <w:color w:val="000000" w:themeColor="text1"/>
        </w:rPr>
        <w:t xml:space="preserve">) Individual modeled fits of all circadian proteins in the Electron Transport Chain. Asterisk denotes protein also identified as circadian at </w:t>
      </w:r>
      <w:r w:rsidR="007D2DD1">
        <w:rPr>
          <w:rFonts w:ascii="Arial" w:hAnsi="Arial" w:cs="Arial"/>
          <w:color w:val="000000" w:themeColor="text1"/>
        </w:rPr>
        <w:t xml:space="preserve">the </w:t>
      </w:r>
      <w:r w:rsidRPr="00EF78D1">
        <w:rPr>
          <w:rFonts w:ascii="Arial" w:hAnsi="Arial" w:cs="Arial"/>
          <w:color w:val="000000" w:themeColor="text1"/>
        </w:rPr>
        <w:t>mRNA level.</w:t>
      </w:r>
    </w:p>
    <w:p w14:paraId="2A84F313" w14:textId="66EBAC34" w:rsidR="00272F99" w:rsidRPr="00EF78D1" w:rsidRDefault="00DC3D31" w:rsidP="00EF78D1">
      <w:pPr>
        <w:jc w:val="both"/>
        <w:rPr>
          <w:rFonts w:ascii="Arial" w:hAnsi="Arial" w:cs="Arial"/>
          <w:color w:val="000000" w:themeColor="text1"/>
        </w:rPr>
      </w:pPr>
      <w:r w:rsidRPr="00DC3D31">
        <w:rPr>
          <w:rFonts w:ascii="Arial" w:hAnsi="Arial" w:cs="Arial"/>
          <w:noProof/>
          <w:color w:val="000000" w:themeColor="text1"/>
        </w:rPr>
        <w:lastRenderedPageBreak/>
        <w:drawing>
          <wp:anchor distT="0" distB="0" distL="114300" distR="114300" simplePos="0" relativeHeight="251665408" behindDoc="0" locked="0" layoutInCell="1" allowOverlap="1" wp14:anchorId="514DC771" wp14:editId="2FE912FE">
            <wp:simplePos x="0" y="0"/>
            <wp:positionH relativeFrom="column">
              <wp:posOffset>0</wp:posOffset>
            </wp:positionH>
            <wp:positionV relativeFrom="paragraph">
              <wp:posOffset>0</wp:posOffset>
            </wp:positionV>
            <wp:extent cx="6858000" cy="88176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8817610"/>
                    </a:xfrm>
                    <a:prstGeom prst="rect">
                      <a:avLst/>
                    </a:prstGeom>
                  </pic:spPr>
                </pic:pic>
              </a:graphicData>
            </a:graphic>
          </wp:anchor>
        </w:drawing>
      </w:r>
      <w:r w:rsidRPr="00DC3D31">
        <w:rPr>
          <w:rFonts w:ascii="Arial" w:hAnsi="Arial" w:cs="Arial"/>
          <w:color w:val="000000" w:themeColor="text1"/>
        </w:rPr>
        <w:t xml:space="preserve"> </w:t>
      </w:r>
    </w:p>
    <w:p w14:paraId="448D15E2" w14:textId="251E91E6" w:rsidR="004016CD" w:rsidRPr="00EF78D1" w:rsidRDefault="00272F99" w:rsidP="00EF78D1">
      <w:pPr>
        <w:jc w:val="both"/>
        <w:rPr>
          <w:rFonts w:ascii="Arial" w:hAnsi="Arial" w:cs="Arial"/>
          <w:color w:val="000000" w:themeColor="text1"/>
        </w:rPr>
      </w:pPr>
      <w:r w:rsidRPr="00EF78D1">
        <w:rPr>
          <w:rFonts w:ascii="Arial" w:hAnsi="Arial" w:cs="Arial"/>
          <w:b/>
          <w:bCs/>
          <w:color w:val="000000" w:themeColor="text1"/>
        </w:rPr>
        <w:lastRenderedPageBreak/>
        <w:t xml:space="preserve">Supplemental Figure </w:t>
      </w:r>
      <w:r w:rsidR="009D0AED">
        <w:rPr>
          <w:rFonts w:ascii="Arial" w:hAnsi="Arial" w:cs="Arial"/>
          <w:b/>
          <w:bCs/>
          <w:color w:val="000000" w:themeColor="text1"/>
        </w:rPr>
        <w:t>S</w:t>
      </w:r>
      <w:r w:rsidR="004016CD" w:rsidRPr="00EF78D1">
        <w:rPr>
          <w:rFonts w:ascii="Arial" w:hAnsi="Arial" w:cs="Arial"/>
          <w:b/>
          <w:bCs/>
          <w:color w:val="000000" w:themeColor="text1"/>
        </w:rPr>
        <w:t>6</w:t>
      </w:r>
      <w:r w:rsidRPr="00EF78D1">
        <w:rPr>
          <w:rFonts w:ascii="Arial" w:hAnsi="Arial" w:cs="Arial"/>
          <w:b/>
          <w:bCs/>
          <w:color w:val="000000" w:themeColor="text1"/>
        </w:rPr>
        <w:t>. Mitochondrial Maximal Respiration and Spare Respiratory Capacity Decreases over Time.</w:t>
      </w:r>
      <w:r w:rsidRPr="00EF78D1">
        <w:rPr>
          <w:rFonts w:ascii="Arial" w:hAnsi="Arial" w:cs="Arial"/>
          <w:color w:val="000000" w:themeColor="text1"/>
        </w:rPr>
        <w:t xml:space="preserve"> (A) Overview of SEAHORSE protocol showing the frequency of OCR measurement and interpretation of mitochondrial dynamic being measured with each addition of various inhibitors. SEAHORSE-derived measurements for the rate of (B) Maximal respiration and (C) spare respiratory capacity. (D</w:t>
      </w:r>
      <w:r w:rsidR="007D2DD1">
        <w:rPr>
          <w:rFonts w:ascii="Arial" w:hAnsi="Arial" w:cs="Arial"/>
          <w:color w:val="000000" w:themeColor="text1"/>
        </w:rPr>
        <w:t xml:space="preserve"> and E</w:t>
      </w:r>
      <w:r w:rsidRPr="00EF78D1">
        <w:rPr>
          <w:rFonts w:ascii="Arial" w:hAnsi="Arial" w:cs="Arial"/>
          <w:color w:val="000000" w:themeColor="text1"/>
        </w:rPr>
        <w:t>) ECHO modeled fit</w:t>
      </w:r>
      <w:r w:rsidR="00402DC3" w:rsidRPr="00EF78D1">
        <w:rPr>
          <w:rFonts w:ascii="Arial" w:hAnsi="Arial" w:cs="Arial"/>
          <w:color w:val="000000" w:themeColor="text1"/>
        </w:rPr>
        <w:t xml:space="preserve"> and replicate data</w:t>
      </w:r>
      <w:r w:rsidRPr="00EF78D1">
        <w:rPr>
          <w:rFonts w:ascii="Arial" w:hAnsi="Arial" w:cs="Arial"/>
          <w:color w:val="000000" w:themeColor="text1"/>
        </w:rPr>
        <w:t xml:space="preserve"> </w:t>
      </w:r>
      <w:r w:rsidR="00402DC3" w:rsidRPr="00EF78D1">
        <w:rPr>
          <w:rFonts w:ascii="Arial" w:hAnsi="Arial" w:cs="Arial"/>
          <w:color w:val="000000" w:themeColor="text1"/>
        </w:rPr>
        <w:t>for</w:t>
      </w:r>
      <w:r w:rsidRPr="00EF78D1">
        <w:rPr>
          <w:rFonts w:ascii="Arial" w:hAnsi="Arial" w:cs="Arial"/>
          <w:color w:val="000000" w:themeColor="text1"/>
        </w:rPr>
        <w:t xml:space="preserve"> Fis1</w:t>
      </w:r>
      <w:r w:rsidR="007D2DD1">
        <w:rPr>
          <w:rFonts w:ascii="Arial" w:hAnsi="Arial" w:cs="Arial"/>
          <w:color w:val="000000" w:themeColor="text1"/>
        </w:rPr>
        <w:t xml:space="preserve"> (E)</w:t>
      </w:r>
      <w:r w:rsidRPr="00EF78D1">
        <w:rPr>
          <w:rFonts w:ascii="Arial" w:hAnsi="Arial" w:cs="Arial"/>
          <w:color w:val="000000" w:themeColor="text1"/>
        </w:rPr>
        <w:t xml:space="preserve">, </w:t>
      </w:r>
      <w:r w:rsidR="00941C37">
        <w:rPr>
          <w:rFonts w:ascii="Arial" w:hAnsi="Arial" w:cs="Arial"/>
          <w:color w:val="000000" w:themeColor="text1"/>
        </w:rPr>
        <w:t>and Dnm1l (E) other</w:t>
      </w:r>
      <w:r w:rsidRPr="00EF78D1">
        <w:rPr>
          <w:rFonts w:ascii="Arial" w:hAnsi="Arial" w:cs="Arial"/>
          <w:color w:val="000000" w:themeColor="text1"/>
        </w:rPr>
        <w:t xml:space="preserve"> identified circadian protein</w:t>
      </w:r>
      <w:r w:rsidR="00941C37">
        <w:rPr>
          <w:rFonts w:ascii="Arial" w:hAnsi="Arial" w:cs="Arial"/>
          <w:color w:val="000000" w:themeColor="text1"/>
        </w:rPr>
        <w:t>s</w:t>
      </w:r>
      <w:r w:rsidRPr="00EF78D1">
        <w:rPr>
          <w:rFonts w:ascii="Arial" w:hAnsi="Arial" w:cs="Arial"/>
          <w:color w:val="000000" w:themeColor="text1"/>
        </w:rPr>
        <w:t xml:space="preserve"> potentially involved in mitochondrial fission.</w:t>
      </w:r>
    </w:p>
    <w:p w14:paraId="4C410C1F" w14:textId="53FC7A37" w:rsidR="003A564E" w:rsidRDefault="003A564E">
      <w:pPr>
        <w:rPr>
          <w:rFonts w:ascii="Arial" w:hAnsi="Arial" w:cs="Arial"/>
          <w:color w:val="000000" w:themeColor="text1"/>
        </w:rPr>
      </w:pPr>
      <w:r>
        <w:rPr>
          <w:rFonts w:ascii="Arial" w:hAnsi="Arial" w:cs="Arial"/>
          <w:color w:val="000000" w:themeColor="text1"/>
        </w:rPr>
        <w:br w:type="page"/>
      </w:r>
    </w:p>
    <w:p w14:paraId="17E97D9A" w14:textId="3730DD86" w:rsidR="004016CD" w:rsidRPr="00EF78D1" w:rsidRDefault="0015798A" w:rsidP="00EF78D1">
      <w:pPr>
        <w:jc w:val="both"/>
        <w:rPr>
          <w:rFonts w:ascii="Arial" w:hAnsi="Arial" w:cs="Arial"/>
          <w:color w:val="000000" w:themeColor="text1"/>
        </w:rPr>
      </w:pPr>
      <w:r w:rsidRPr="0015798A">
        <w:rPr>
          <w:rFonts w:ascii="Arial" w:hAnsi="Arial" w:cs="Arial"/>
          <w:noProof/>
          <w:color w:val="000000" w:themeColor="text1"/>
        </w:rPr>
        <w:lastRenderedPageBreak/>
        <w:drawing>
          <wp:anchor distT="0" distB="0" distL="114300" distR="114300" simplePos="0" relativeHeight="251667456" behindDoc="0" locked="0" layoutInCell="1" allowOverlap="1" wp14:anchorId="3F593487" wp14:editId="2D2504BB">
            <wp:simplePos x="0" y="0"/>
            <wp:positionH relativeFrom="column">
              <wp:posOffset>0</wp:posOffset>
            </wp:positionH>
            <wp:positionV relativeFrom="paragraph">
              <wp:posOffset>143691</wp:posOffset>
            </wp:positionV>
            <wp:extent cx="6858000" cy="50679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518" b="28002"/>
                    <a:stretch/>
                  </pic:blipFill>
                  <pic:spPr bwMode="auto">
                    <a:xfrm>
                      <a:off x="0" y="0"/>
                      <a:ext cx="6858000" cy="5067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5798A">
        <w:rPr>
          <w:rFonts w:ascii="Arial" w:hAnsi="Arial" w:cs="Arial"/>
          <w:color w:val="000000" w:themeColor="text1"/>
        </w:rPr>
        <w:t xml:space="preserve"> </w:t>
      </w:r>
    </w:p>
    <w:p w14:paraId="688926E3" w14:textId="20CFF9C0" w:rsidR="004016CD" w:rsidRPr="00EF78D1" w:rsidRDefault="004016CD" w:rsidP="00EF78D1">
      <w:pPr>
        <w:jc w:val="both"/>
        <w:rPr>
          <w:rFonts w:ascii="Arial" w:hAnsi="Arial" w:cs="Arial"/>
          <w:b/>
          <w:bCs/>
          <w:color w:val="000000" w:themeColor="text1"/>
        </w:rPr>
      </w:pPr>
      <w:r w:rsidRPr="00EF78D1">
        <w:rPr>
          <w:rFonts w:ascii="Arial" w:hAnsi="Arial" w:cs="Arial"/>
          <w:b/>
          <w:bCs/>
          <w:color w:val="000000" w:themeColor="text1"/>
        </w:rPr>
        <w:t xml:space="preserve">Supplemental Figure </w:t>
      </w:r>
      <w:r w:rsidR="009D0AED">
        <w:rPr>
          <w:rFonts w:ascii="Arial" w:hAnsi="Arial" w:cs="Arial"/>
          <w:b/>
          <w:bCs/>
          <w:color w:val="000000" w:themeColor="text1"/>
        </w:rPr>
        <w:t>S</w:t>
      </w:r>
      <w:r w:rsidR="00EF687A" w:rsidRPr="00EF78D1">
        <w:rPr>
          <w:rFonts w:ascii="Arial" w:hAnsi="Arial" w:cs="Arial"/>
          <w:b/>
          <w:bCs/>
          <w:color w:val="000000" w:themeColor="text1"/>
        </w:rPr>
        <w:t>7</w:t>
      </w:r>
      <w:r w:rsidRPr="00EF78D1">
        <w:rPr>
          <w:rFonts w:ascii="Arial" w:hAnsi="Arial" w:cs="Arial"/>
          <w:b/>
          <w:bCs/>
          <w:color w:val="000000" w:themeColor="text1"/>
        </w:rPr>
        <w:t>. Impact of Zymosan/Oligomycin on the Oscillation of Per2.</w:t>
      </w:r>
    </w:p>
    <w:p w14:paraId="70A5B238" w14:textId="1E7A56CD" w:rsidR="004016CD" w:rsidRPr="00EF78D1" w:rsidRDefault="004016CD" w:rsidP="00EF78D1">
      <w:pPr>
        <w:jc w:val="both"/>
        <w:rPr>
          <w:rFonts w:ascii="Arial" w:hAnsi="Arial" w:cs="Arial"/>
          <w:color w:val="000000" w:themeColor="text1"/>
        </w:rPr>
      </w:pPr>
      <w:r w:rsidRPr="00EF78D1">
        <w:rPr>
          <w:rFonts w:ascii="Arial" w:hAnsi="Arial" w:cs="Arial"/>
          <w:color w:val="000000" w:themeColor="text1"/>
        </w:rPr>
        <w:t xml:space="preserve">Luminescence counts representing Per2 levels immediately following the addition of Zymosan or Zymosan/Oligomycin at (A) </w:t>
      </w:r>
      <w:r w:rsidR="003A669F">
        <w:rPr>
          <w:rFonts w:ascii="Arial" w:hAnsi="Arial" w:cs="Arial"/>
          <w:color w:val="000000" w:themeColor="text1"/>
        </w:rPr>
        <w:t>PS</w:t>
      </w:r>
      <w:r w:rsidRPr="00EF78D1">
        <w:rPr>
          <w:rFonts w:ascii="Arial" w:hAnsi="Arial" w:cs="Arial"/>
          <w:color w:val="000000" w:themeColor="text1"/>
        </w:rPr>
        <w:t xml:space="preserve">16 and (B) </w:t>
      </w:r>
      <w:r w:rsidR="003A669F">
        <w:rPr>
          <w:rFonts w:ascii="Arial" w:hAnsi="Arial" w:cs="Arial"/>
          <w:color w:val="000000" w:themeColor="text1"/>
        </w:rPr>
        <w:t>PS</w:t>
      </w:r>
      <w:r w:rsidRPr="00EF78D1">
        <w:rPr>
          <w:rFonts w:ascii="Arial" w:hAnsi="Arial" w:cs="Arial"/>
          <w:color w:val="000000" w:themeColor="text1"/>
        </w:rPr>
        <w:t xml:space="preserve">28 demonstrates that there is a slight immediate effect of the core rhythms of the clock, but is proportional to the </w:t>
      </w:r>
      <w:r w:rsidR="007C460A">
        <w:rPr>
          <w:rFonts w:ascii="Arial" w:hAnsi="Arial" w:cs="Arial"/>
          <w:color w:val="000000" w:themeColor="text1"/>
        </w:rPr>
        <w:t>PER2</w:t>
      </w:r>
      <w:r w:rsidRPr="00EF78D1">
        <w:rPr>
          <w:rFonts w:ascii="Arial" w:hAnsi="Arial" w:cs="Arial"/>
          <w:color w:val="000000" w:themeColor="text1"/>
        </w:rPr>
        <w:t xml:space="preserve"> level prior to zymosan addition and generally returns to baseline within the time of the 30 minute assay. (C) Long term tracings following zymosan addition shows </w:t>
      </w:r>
      <w:r w:rsidR="007C460A">
        <w:rPr>
          <w:rFonts w:ascii="Arial" w:hAnsi="Arial" w:cs="Arial"/>
          <w:color w:val="000000" w:themeColor="text1"/>
        </w:rPr>
        <w:t>PER2</w:t>
      </w:r>
      <w:r w:rsidRPr="00EF78D1">
        <w:rPr>
          <w:rFonts w:ascii="Arial" w:hAnsi="Arial" w:cs="Arial"/>
          <w:color w:val="000000" w:themeColor="text1"/>
        </w:rPr>
        <w:t xml:space="preserve"> oscillations continue despite addition of zymosan, although with phase-shift and amplitude changes depending on time of exposure to Zymosan. (D) Individual modeled fits of all circadian proteins in the NF-kB signaling pathway.</w:t>
      </w:r>
    </w:p>
    <w:p w14:paraId="64D207FB" w14:textId="77777777" w:rsidR="004016CD" w:rsidRPr="00EF78D1" w:rsidRDefault="004016CD" w:rsidP="00EF78D1">
      <w:pPr>
        <w:jc w:val="both"/>
        <w:rPr>
          <w:rFonts w:ascii="Arial" w:hAnsi="Arial" w:cs="Arial"/>
          <w:color w:val="000000" w:themeColor="text1"/>
        </w:rPr>
      </w:pPr>
    </w:p>
    <w:p w14:paraId="374881BC" w14:textId="65DB2B3E" w:rsidR="00941C37" w:rsidRPr="00EF78D1" w:rsidRDefault="00941C37" w:rsidP="00EF78D1">
      <w:pPr>
        <w:jc w:val="both"/>
        <w:rPr>
          <w:rFonts w:ascii="Arial" w:hAnsi="Arial" w:cs="Arial"/>
          <w:color w:val="000000" w:themeColor="text1"/>
        </w:rPr>
      </w:pPr>
    </w:p>
    <w:p w14:paraId="2416C8FC" w14:textId="040EFCFF" w:rsidR="00272F99" w:rsidRPr="00470708" w:rsidRDefault="00272F99" w:rsidP="00EF78D1">
      <w:pPr>
        <w:jc w:val="both"/>
        <w:rPr>
          <w:rFonts w:ascii="Arial" w:hAnsi="Arial" w:cs="Arial"/>
          <w:b/>
          <w:bCs/>
          <w:color w:val="000000" w:themeColor="text1"/>
        </w:rPr>
      </w:pPr>
      <w:r w:rsidRPr="00470708">
        <w:rPr>
          <w:rFonts w:ascii="Arial" w:hAnsi="Arial" w:cs="Arial"/>
          <w:b/>
          <w:bCs/>
          <w:color w:val="000000" w:themeColor="text1"/>
        </w:rPr>
        <w:t>SUPPLEMENTA</w:t>
      </w:r>
      <w:r w:rsidR="00A975F6" w:rsidRPr="00470708">
        <w:rPr>
          <w:rFonts w:ascii="Arial" w:hAnsi="Arial" w:cs="Arial"/>
          <w:b/>
          <w:bCs/>
          <w:color w:val="000000" w:themeColor="text1"/>
        </w:rPr>
        <w:t>RY</w:t>
      </w:r>
      <w:r w:rsidRPr="00470708">
        <w:rPr>
          <w:rFonts w:ascii="Arial" w:hAnsi="Arial" w:cs="Arial"/>
          <w:b/>
          <w:bCs/>
          <w:color w:val="000000" w:themeColor="text1"/>
        </w:rPr>
        <w:t xml:space="preserve"> TABLE</w:t>
      </w:r>
      <w:r w:rsidR="00D12537" w:rsidRPr="00470708">
        <w:rPr>
          <w:rFonts w:ascii="Arial" w:hAnsi="Arial" w:cs="Arial"/>
          <w:b/>
          <w:bCs/>
          <w:color w:val="000000" w:themeColor="text1"/>
        </w:rPr>
        <w:t>S</w:t>
      </w:r>
    </w:p>
    <w:p w14:paraId="59A145D9" w14:textId="6F2F5EA7" w:rsidR="00272F99" w:rsidRPr="00EF78D1" w:rsidRDefault="00272F99" w:rsidP="007D2DD1">
      <w:pPr>
        <w:jc w:val="both"/>
        <w:rPr>
          <w:rFonts w:ascii="Arial" w:hAnsi="Arial" w:cs="Arial"/>
          <w:b/>
          <w:bCs/>
          <w:color w:val="000000" w:themeColor="text1"/>
        </w:rPr>
      </w:pPr>
    </w:p>
    <w:p w14:paraId="0A11C934" w14:textId="65AD0261" w:rsidR="00D12537" w:rsidRDefault="00D86E45" w:rsidP="007D2DD1">
      <w:pPr>
        <w:jc w:val="both"/>
        <w:rPr>
          <w:rFonts w:ascii="Arial" w:hAnsi="Arial" w:cs="Arial"/>
          <w:b/>
          <w:bCs/>
          <w:color w:val="000000" w:themeColor="text1"/>
        </w:rPr>
      </w:pPr>
      <w:r w:rsidRPr="00EF78D1">
        <w:rPr>
          <w:rFonts w:ascii="Arial" w:hAnsi="Arial" w:cs="Arial"/>
          <w:b/>
          <w:bCs/>
          <w:color w:val="000000" w:themeColor="text1"/>
        </w:rPr>
        <w:t xml:space="preserve">Supplemental Table </w:t>
      </w:r>
      <w:r w:rsidR="009D0AED">
        <w:rPr>
          <w:rFonts w:ascii="Arial" w:hAnsi="Arial" w:cs="Arial"/>
          <w:b/>
          <w:bCs/>
          <w:color w:val="000000" w:themeColor="text1"/>
        </w:rPr>
        <w:t>S</w:t>
      </w:r>
      <w:r w:rsidRPr="00EF78D1">
        <w:rPr>
          <w:rFonts w:ascii="Arial" w:hAnsi="Arial" w:cs="Arial"/>
          <w:b/>
          <w:bCs/>
          <w:color w:val="000000" w:themeColor="text1"/>
        </w:rPr>
        <w:t xml:space="preserve">1: Summary statistics for RNA-seq </w:t>
      </w:r>
      <w:r w:rsidR="002255ED" w:rsidRPr="00EF78D1">
        <w:rPr>
          <w:rFonts w:ascii="Arial" w:hAnsi="Arial" w:cs="Arial"/>
          <w:b/>
          <w:bCs/>
          <w:color w:val="000000" w:themeColor="text1"/>
        </w:rPr>
        <w:t>experiment</w:t>
      </w:r>
      <w:r w:rsidRPr="00EF78D1">
        <w:rPr>
          <w:rFonts w:ascii="Arial" w:hAnsi="Arial" w:cs="Arial"/>
          <w:b/>
          <w:bCs/>
          <w:color w:val="000000" w:themeColor="text1"/>
        </w:rPr>
        <w:t>.</w:t>
      </w:r>
      <w:r w:rsidR="004723EA">
        <w:rPr>
          <w:rFonts w:ascii="Arial" w:hAnsi="Arial" w:cs="Arial"/>
          <w:b/>
          <w:bCs/>
          <w:color w:val="000000" w:themeColor="text1"/>
        </w:rPr>
        <w:t xml:space="preserve"> (Excel File “Supplemental_Table_S1.</w:t>
      </w:r>
      <w:r w:rsidR="00112078">
        <w:rPr>
          <w:rFonts w:ascii="Arial" w:hAnsi="Arial" w:cs="Arial"/>
          <w:b/>
          <w:bCs/>
          <w:color w:val="000000" w:themeColor="text1"/>
        </w:rPr>
        <w:t>xlsx</w:t>
      </w:r>
      <w:r w:rsidR="004723EA">
        <w:rPr>
          <w:rFonts w:ascii="Arial" w:hAnsi="Arial" w:cs="Arial"/>
          <w:b/>
          <w:bCs/>
          <w:color w:val="000000" w:themeColor="text1"/>
        </w:rPr>
        <w:t>”)</w:t>
      </w:r>
    </w:p>
    <w:p w14:paraId="55E5C7E5" w14:textId="77777777" w:rsidR="00D12537" w:rsidRDefault="00D12537" w:rsidP="007D2DD1">
      <w:pPr>
        <w:jc w:val="both"/>
        <w:rPr>
          <w:rFonts w:ascii="Arial" w:hAnsi="Arial" w:cs="Arial"/>
          <w:b/>
          <w:bCs/>
          <w:color w:val="000000" w:themeColor="text1"/>
        </w:rPr>
      </w:pPr>
      <w:r>
        <w:rPr>
          <w:rFonts w:ascii="Arial" w:hAnsi="Arial" w:cs="Arial"/>
          <w:b/>
          <w:bCs/>
          <w:color w:val="000000" w:themeColor="text1"/>
        </w:rPr>
        <w:br w:type="page"/>
      </w:r>
    </w:p>
    <w:p w14:paraId="79C8807E" w14:textId="77777777" w:rsidR="002255ED" w:rsidRPr="00EF78D1" w:rsidRDefault="002255ED" w:rsidP="00AC6184">
      <w:pPr>
        <w:rPr>
          <w:rFonts w:ascii="Arial" w:hAnsi="Arial" w:cs="Arial"/>
          <w:b/>
          <w:bCs/>
          <w:color w:val="000000" w:themeColor="text1"/>
        </w:rPr>
      </w:pPr>
    </w:p>
    <w:tbl>
      <w:tblPr>
        <w:tblW w:w="10317" w:type="dxa"/>
        <w:tblCellMar>
          <w:left w:w="0" w:type="dxa"/>
          <w:right w:w="0" w:type="dxa"/>
        </w:tblCellMar>
        <w:tblLook w:val="0420" w:firstRow="1" w:lastRow="0" w:firstColumn="0" w:lastColumn="0" w:noHBand="0" w:noVBand="1"/>
      </w:tblPr>
      <w:tblGrid>
        <w:gridCol w:w="1376"/>
        <w:gridCol w:w="1224"/>
        <w:gridCol w:w="1213"/>
        <w:gridCol w:w="1084"/>
        <w:gridCol w:w="1084"/>
        <w:gridCol w:w="1084"/>
        <w:gridCol w:w="1084"/>
        <w:gridCol w:w="1084"/>
        <w:gridCol w:w="1084"/>
      </w:tblGrid>
      <w:tr w:rsidR="00D12537" w:rsidRPr="00D12537" w14:paraId="53AFD600"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7F40C0B"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Multiplex # -&gt;</w:t>
            </w:r>
          </w:p>
        </w:tc>
        <w:tc>
          <w:tcPr>
            <w:tcW w:w="122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87EF563"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1</w:t>
            </w:r>
          </w:p>
        </w:tc>
        <w:tc>
          <w:tcPr>
            <w:tcW w:w="121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998A650"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2</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031329E"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3</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A6F8BEC"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4</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457C33D"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5</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5E9CF9A"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6</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5CE3BFD"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7</w:t>
            </w:r>
          </w:p>
        </w:tc>
        <w:tc>
          <w:tcPr>
            <w:tcW w:w="108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3E001BF"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8</w:t>
            </w:r>
          </w:p>
        </w:tc>
      </w:tr>
      <w:tr w:rsidR="00D12537" w:rsidRPr="00D12537" w14:paraId="54DE618C"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BB1A122"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Total Peptides (&lt;1%)</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7F54BF"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112,412</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2CA21"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113,452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7103F1"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105,827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B117FA"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121,907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1D385"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124,280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4C7F58"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130,827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BE0746"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121,987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29B3AA"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124,646</w:t>
            </w:r>
          </w:p>
        </w:tc>
      </w:tr>
      <w:tr w:rsidR="00D12537" w:rsidRPr="00D12537" w14:paraId="0D8ECDF5"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2510D46" w14:textId="77777777" w:rsidR="00D12537" w:rsidRPr="00D12537" w:rsidRDefault="00D12537" w:rsidP="00941C37">
            <w:pPr>
              <w:rPr>
                <w:rFonts w:ascii="Arial" w:hAnsi="Arial" w:cs="Arial"/>
                <w:color w:val="000000" w:themeColor="text1"/>
                <w:sz w:val="22"/>
                <w:szCs w:val="22"/>
              </w:rPr>
            </w:pPr>
            <w:r w:rsidRPr="00D12537">
              <w:rPr>
                <w:rFonts w:ascii="Arial" w:hAnsi="Arial" w:cs="Arial"/>
                <w:b/>
                <w:bCs/>
                <w:color w:val="000000" w:themeColor="text1"/>
                <w:sz w:val="22"/>
                <w:szCs w:val="22"/>
              </w:rPr>
              <w:t>Total Proteins (&lt;1%)</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773955"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8,927</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DF31F1"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8,822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8BD002"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8,704</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B78DF4"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8,952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CDB072"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8,933</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F6C0FC"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9,019</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564688"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9,064</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DCB814" w14:textId="77777777" w:rsidR="00D12537" w:rsidRPr="00D12537" w:rsidRDefault="00D12537" w:rsidP="00941C37">
            <w:pPr>
              <w:rPr>
                <w:rFonts w:ascii="Arial" w:hAnsi="Arial" w:cs="Arial"/>
                <w:color w:val="000000" w:themeColor="text1"/>
                <w:sz w:val="22"/>
                <w:szCs w:val="22"/>
              </w:rPr>
            </w:pPr>
            <w:r w:rsidRPr="00D12537">
              <w:rPr>
                <w:rFonts w:ascii="Arial" w:hAnsi="Arial" w:cs="Arial"/>
                <w:color w:val="000000" w:themeColor="text1"/>
                <w:sz w:val="22"/>
                <w:szCs w:val="22"/>
              </w:rPr>
              <w:t>8,923</w:t>
            </w:r>
          </w:p>
        </w:tc>
      </w:tr>
      <w:tr w:rsidR="00D12537" w:rsidRPr="00D12537" w14:paraId="3863A714"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22285E1D" w14:textId="47BE56BB" w:rsidR="00D12537" w:rsidRPr="00D12537" w:rsidRDefault="00D12537" w:rsidP="00D12537">
            <w:pPr>
              <w:rPr>
                <w:rFonts w:ascii="Arial" w:hAnsi="Arial" w:cs="Arial"/>
                <w:b/>
                <w:bCs/>
                <w:color w:val="000000" w:themeColor="text1"/>
                <w:sz w:val="22"/>
                <w:szCs w:val="22"/>
              </w:rPr>
            </w:pPr>
            <w:r w:rsidRPr="00D12537">
              <w:rPr>
                <w:rFonts w:ascii="Arial" w:hAnsi="Arial" w:cs="Arial"/>
                <w:b/>
                <w:bCs/>
                <w:color w:val="000000" w:themeColor="text1"/>
                <w:sz w:val="22"/>
                <w:szCs w:val="22"/>
              </w:rPr>
              <w:t>Total Protein IDs</w:t>
            </w:r>
          </w:p>
        </w:tc>
        <w:tc>
          <w:tcPr>
            <w:tcW w:w="8941"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CA7E80" w14:textId="24D907C9" w:rsidR="00D12537" w:rsidRPr="00D12537" w:rsidRDefault="00D12537" w:rsidP="00D12537">
            <w:pPr>
              <w:jc w:val="center"/>
              <w:rPr>
                <w:rFonts w:ascii="Arial" w:hAnsi="Arial" w:cs="Arial"/>
                <w:color w:val="000000" w:themeColor="text1"/>
                <w:sz w:val="22"/>
                <w:szCs w:val="22"/>
              </w:rPr>
            </w:pPr>
            <w:r w:rsidRPr="00D12537">
              <w:rPr>
                <w:rFonts w:ascii="Arial" w:hAnsi="Arial" w:cs="Arial"/>
                <w:color w:val="000000" w:themeColor="text1"/>
                <w:sz w:val="22"/>
                <w:szCs w:val="22"/>
              </w:rPr>
              <w:t>10,162 from 162,920 unique peptide sequences</w:t>
            </w:r>
          </w:p>
        </w:tc>
      </w:tr>
      <w:tr w:rsidR="00D12537" w:rsidRPr="00D12537" w14:paraId="6CDE3396"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BD8A7CE" w14:textId="77777777" w:rsidR="00D12537" w:rsidRPr="00D12537" w:rsidRDefault="00D12537" w:rsidP="00D12537">
            <w:pPr>
              <w:rPr>
                <w:rFonts w:ascii="Arial" w:hAnsi="Arial" w:cs="Arial"/>
                <w:color w:val="000000" w:themeColor="text1"/>
                <w:sz w:val="22"/>
                <w:szCs w:val="22"/>
              </w:rPr>
            </w:pPr>
            <w:r w:rsidRPr="00D12537">
              <w:rPr>
                <w:rFonts w:ascii="Arial" w:hAnsi="Arial" w:cs="Arial"/>
                <w:b/>
                <w:bCs/>
                <w:color w:val="000000" w:themeColor="text1"/>
                <w:sz w:val="22"/>
                <w:szCs w:val="22"/>
              </w:rPr>
              <w:t>Total Collapsed Proteins</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AA5DFB"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8,472</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E43F5A"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8,364</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F1904"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8,381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4F8691"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8,480</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A59E4"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8,478</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876B46"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8,551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2B4867"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8,586</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56771"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8,463</w:t>
            </w:r>
          </w:p>
        </w:tc>
      </w:tr>
      <w:tr w:rsidR="00D12537" w:rsidRPr="00D12537" w14:paraId="1D5B8133" w14:textId="77777777" w:rsidTr="00D125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36E0405" w14:textId="77777777" w:rsidR="00D12537" w:rsidRPr="00D12537" w:rsidRDefault="00D12537" w:rsidP="00D12537">
            <w:pPr>
              <w:rPr>
                <w:rFonts w:ascii="Arial" w:hAnsi="Arial" w:cs="Arial"/>
                <w:color w:val="000000" w:themeColor="text1"/>
                <w:sz w:val="22"/>
                <w:szCs w:val="22"/>
              </w:rPr>
            </w:pPr>
            <w:r w:rsidRPr="00D12537">
              <w:rPr>
                <w:rFonts w:ascii="Arial" w:hAnsi="Arial" w:cs="Arial"/>
                <w:b/>
                <w:bCs/>
                <w:color w:val="000000" w:themeColor="text1"/>
                <w:sz w:val="22"/>
                <w:szCs w:val="22"/>
              </w:rPr>
              <w:t>Quantified Proteins</w:t>
            </w:r>
          </w:p>
        </w:tc>
        <w:tc>
          <w:tcPr>
            <w:tcW w:w="12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9CF77A"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7,983</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CEDDFB"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7,795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26DE24"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7,787</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2503F0"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7,835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14E794"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7,849</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04E6FE"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7,872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1E6A08"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7,903</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D65A85" w14:textId="77777777" w:rsidR="00D12537" w:rsidRPr="00D12537" w:rsidRDefault="00D12537" w:rsidP="00D12537">
            <w:pPr>
              <w:rPr>
                <w:rFonts w:ascii="Arial" w:hAnsi="Arial" w:cs="Arial"/>
                <w:color w:val="000000" w:themeColor="text1"/>
                <w:sz w:val="22"/>
                <w:szCs w:val="22"/>
              </w:rPr>
            </w:pPr>
            <w:r w:rsidRPr="00D12537">
              <w:rPr>
                <w:rFonts w:ascii="Arial" w:hAnsi="Arial" w:cs="Arial"/>
                <w:color w:val="000000" w:themeColor="text1"/>
                <w:sz w:val="22"/>
                <w:szCs w:val="22"/>
              </w:rPr>
              <w:t>7,782</w:t>
            </w:r>
          </w:p>
        </w:tc>
      </w:tr>
      <w:tr w:rsidR="00D12537" w:rsidRPr="00D12537" w14:paraId="41093AE6" w14:textId="77777777" w:rsidTr="00941C37">
        <w:trPr>
          <w:trHeight w:val="584"/>
        </w:trPr>
        <w:tc>
          <w:tcPr>
            <w:tcW w:w="13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7AD29BE2" w14:textId="4086AFD2" w:rsidR="00D12537" w:rsidRPr="00D12537" w:rsidRDefault="00D12537" w:rsidP="00D12537">
            <w:pPr>
              <w:rPr>
                <w:rFonts w:ascii="Arial" w:hAnsi="Arial" w:cs="Arial"/>
                <w:b/>
                <w:bCs/>
                <w:color w:val="000000" w:themeColor="text1"/>
                <w:sz w:val="22"/>
                <w:szCs w:val="22"/>
              </w:rPr>
            </w:pPr>
            <w:r w:rsidRPr="00D12537">
              <w:rPr>
                <w:rFonts w:ascii="Arial" w:hAnsi="Arial" w:cs="Arial"/>
                <w:b/>
                <w:bCs/>
                <w:color w:val="000000" w:themeColor="text1"/>
                <w:sz w:val="22"/>
                <w:szCs w:val="22"/>
              </w:rPr>
              <w:t>Shared Quantified Proteins</w:t>
            </w:r>
          </w:p>
        </w:tc>
        <w:tc>
          <w:tcPr>
            <w:tcW w:w="8941"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7AB89D" w14:textId="1480C5D8" w:rsidR="00D12537" w:rsidRPr="00D12537" w:rsidRDefault="00D12537" w:rsidP="00D12537">
            <w:pPr>
              <w:jc w:val="center"/>
              <w:rPr>
                <w:rFonts w:ascii="Arial" w:hAnsi="Arial" w:cs="Arial"/>
                <w:color w:val="000000" w:themeColor="text1"/>
                <w:sz w:val="22"/>
                <w:szCs w:val="22"/>
              </w:rPr>
            </w:pPr>
            <w:r w:rsidRPr="00D12537">
              <w:rPr>
                <w:rFonts w:ascii="Arial" w:hAnsi="Arial" w:cs="Arial"/>
                <w:color w:val="000000" w:themeColor="text1"/>
                <w:sz w:val="22"/>
                <w:szCs w:val="22"/>
              </w:rPr>
              <w:t>6,290 proteins quantified in all 8 10-plexes</w:t>
            </w:r>
          </w:p>
        </w:tc>
      </w:tr>
    </w:tbl>
    <w:p w14:paraId="7A85D6DF" w14:textId="77777777" w:rsidR="002255ED" w:rsidRPr="00EF78D1" w:rsidRDefault="002255ED" w:rsidP="00AC6184">
      <w:pPr>
        <w:rPr>
          <w:rFonts w:ascii="Arial" w:hAnsi="Arial" w:cs="Arial"/>
          <w:b/>
          <w:bCs/>
          <w:color w:val="000000" w:themeColor="text1"/>
        </w:rPr>
      </w:pPr>
    </w:p>
    <w:p w14:paraId="1F54714F" w14:textId="394135F4" w:rsidR="00D86E45" w:rsidRPr="00EF78D1" w:rsidRDefault="002255ED" w:rsidP="00AC6184">
      <w:pPr>
        <w:rPr>
          <w:rFonts w:ascii="Arial" w:hAnsi="Arial" w:cs="Arial"/>
          <w:b/>
          <w:bCs/>
          <w:color w:val="000000" w:themeColor="text1"/>
        </w:rPr>
      </w:pPr>
      <w:r w:rsidRPr="00EF78D1">
        <w:rPr>
          <w:rFonts w:ascii="Arial" w:hAnsi="Arial" w:cs="Arial"/>
          <w:b/>
          <w:bCs/>
          <w:color w:val="000000" w:themeColor="text1"/>
        </w:rPr>
        <w:t xml:space="preserve">Supplemental Table </w:t>
      </w:r>
      <w:r w:rsidR="009D0AED">
        <w:rPr>
          <w:rFonts w:ascii="Arial" w:hAnsi="Arial" w:cs="Arial"/>
          <w:b/>
          <w:bCs/>
          <w:color w:val="000000" w:themeColor="text1"/>
        </w:rPr>
        <w:t>S</w:t>
      </w:r>
      <w:r w:rsidRPr="00EF78D1">
        <w:rPr>
          <w:rFonts w:ascii="Arial" w:hAnsi="Arial" w:cs="Arial"/>
          <w:b/>
          <w:bCs/>
          <w:color w:val="000000" w:themeColor="text1"/>
        </w:rPr>
        <w:t>2: Summary statistics for TMT-MS experiment.</w:t>
      </w:r>
      <w:r w:rsidR="00D86E45" w:rsidRPr="00EF78D1">
        <w:rPr>
          <w:rFonts w:ascii="Arial" w:hAnsi="Arial" w:cs="Arial"/>
          <w:b/>
          <w:bCs/>
          <w:color w:val="000000" w:themeColor="text1"/>
        </w:rPr>
        <w:br/>
      </w:r>
    </w:p>
    <w:p w14:paraId="0A7F3BBA" w14:textId="77777777" w:rsidR="00D12537" w:rsidRDefault="00D12537">
      <w:pPr>
        <w:rPr>
          <w:rFonts w:ascii="Arial" w:hAnsi="Arial" w:cs="Arial"/>
          <w:b/>
          <w:bCs/>
          <w:color w:val="000000" w:themeColor="text1"/>
        </w:rPr>
      </w:pPr>
      <w:r>
        <w:rPr>
          <w:rFonts w:ascii="Arial" w:hAnsi="Arial" w:cs="Arial"/>
          <w:b/>
          <w:bCs/>
          <w:color w:val="000000" w:themeColor="text1"/>
        </w:rPr>
        <w:br w:type="page"/>
      </w:r>
    </w:p>
    <w:tbl>
      <w:tblPr>
        <w:tblW w:w="10541" w:type="dxa"/>
        <w:tblCellMar>
          <w:left w:w="0" w:type="dxa"/>
          <w:right w:w="0" w:type="dxa"/>
        </w:tblCellMar>
        <w:tblLook w:val="0600" w:firstRow="0" w:lastRow="0" w:firstColumn="0" w:lastColumn="0" w:noHBand="1" w:noVBand="1"/>
      </w:tblPr>
      <w:tblGrid>
        <w:gridCol w:w="4032"/>
        <w:gridCol w:w="1591"/>
        <w:gridCol w:w="1062"/>
        <w:gridCol w:w="880"/>
        <w:gridCol w:w="981"/>
        <w:gridCol w:w="1042"/>
        <w:gridCol w:w="953"/>
      </w:tblGrid>
      <w:tr w:rsidR="00D12537" w:rsidRPr="00D12537" w14:paraId="2F326205" w14:textId="77777777" w:rsidTr="00D12537">
        <w:trPr>
          <w:trHeight w:val="644"/>
        </w:trPr>
        <w:tc>
          <w:tcPr>
            <w:tcW w:w="403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1B4684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lastRenderedPageBreak/>
              <w:t>GO term (biological process complete)</w:t>
            </w:r>
          </w:p>
        </w:tc>
        <w:tc>
          <w:tcPr>
            <w:tcW w:w="15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110B4C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 Accession</w:t>
            </w:r>
          </w:p>
        </w:tc>
        <w:tc>
          <w:tcPr>
            <w:tcW w:w="10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8F4C38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genes in category</w:t>
            </w:r>
          </w:p>
        </w:tc>
        <w:tc>
          <w:tcPr>
            <w:tcW w:w="8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50FD447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genes in list</w:t>
            </w:r>
          </w:p>
        </w:tc>
        <w:tc>
          <w:tcPr>
            <w:tcW w:w="98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F396FB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expected</w:t>
            </w:r>
          </w:p>
        </w:tc>
        <w:tc>
          <w:tcPr>
            <w:tcW w:w="104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97E8B9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fold Enrichment</w:t>
            </w:r>
          </w:p>
        </w:tc>
        <w:tc>
          <w:tcPr>
            <w:tcW w:w="95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6BD820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Bonferroni P-value</w:t>
            </w:r>
          </w:p>
        </w:tc>
      </w:tr>
      <w:tr w:rsidR="00D12537" w:rsidRPr="00D12537" w14:paraId="576AEE8D"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E72FF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translation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28AC0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GO:0006412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5CDF2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310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E923F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14D9D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3.48</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F6391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5.18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F815D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2.72E-04</w:t>
            </w:r>
          </w:p>
        </w:tc>
      </w:tr>
      <w:tr w:rsidR="00D12537" w:rsidRPr="00D12537" w14:paraId="10C3B976"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4E68B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peptide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1532D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GO:0043043</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4C389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330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232A6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1EAAE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3.7</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8E3E1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4.86</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F02B8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6.67E-04</w:t>
            </w:r>
          </w:p>
        </w:tc>
      </w:tr>
      <w:tr w:rsidR="00D12537" w:rsidRPr="00D12537" w14:paraId="62A845DA"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AE934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amide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55A3A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GO:0043604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7302E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424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42055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23</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DD4D79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4.75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60948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4.84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2EC78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1.07E-05</w:t>
            </w:r>
          </w:p>
        </w:tc>
      </w:tr>
      <w:tr w:rsidR="00D12537" w:rsidRPr="00D12537" w14:paraId="17D2AF54"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C998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peptide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EBC2D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GO:0006518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9F6FE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451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93CB2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E65F4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5.06</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E2103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4.15</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94FDA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7.03E-04</w:t>
            </w:r>
          </w:p>
        </w:tc>
      </w:tr>
      <w:tr w:rsidR="00D12537" w:rsidRPr="00D12537" w14:paraId="0523F4C4"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9CF8F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amide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06FDB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GO:0043603</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3FDF8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665</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6ED83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30</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68B8C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7.46</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85702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4.02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2B608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2.00E-06</w:t>
            </w:r>
          </w:p>
        </w:tc>
      </w:tr>
      <w:tr w:rsidR="00D12537" w:rsidRPr="00D12537" w14:paraId="3D9A07BB"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71BA4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organonitrogen compound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03FCA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GO:1901566</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014C3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1075</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D6C6B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46</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92D67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12.05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3A679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3.82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A546C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9.90E-11</w:t>
            </w:r>
          </w:p>
        </w:tc>
      </w:tr>
      <w:tr w:rsidR="00D12537" w:rsidRPr="00D12537" w14:paraId="6A04AE91"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27621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carbohydrate derivative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EA8E9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GO:1901137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6D950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451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FAA9F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19</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568D8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5.06</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80E52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3.76</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E443A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1.25E-02</w:t>
            </w:r>
          </w:p>
        </w:tc>
      </w:tr>
      <w:tr w:rsidR="00D12537" w:rsidRPr="00D12537" w14:paraId="6C57B9E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A9DA6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nitrogen compound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2C603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GO:0044271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73B35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1114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B3BB2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42</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201AB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12.49</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ACC95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3.36</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B62FE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8.87E-08</w:t>
            </w:r>
          </w:p>
        </w:tc>
      </w:tr>
      <w:tr w:rsidR="00D12537" w:rsidRPr="00D12537" w14:paraId="0A60FD06"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84CE9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macromolecule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F5EBF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GO:0034645</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6B3C3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1192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F2457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5F387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13.37</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056E4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2.84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64F6E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8.85E-05</w:t>
            </w:r>
          </w:p>
        </w:tc>
      </w:tr>
      <w:tr w:rsidR="00D12537" w:rsidRPr="00D12537" w14:paraId="55E5417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D7816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macromolecule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8B5AE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GO:0009059</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2B22A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1226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DCB56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39</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29449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13.75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38D92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2.84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EE880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5.82E-05</w:t>
            </w:r>
          </w:p>
        </w:tc>
      </w:tr>
      <w:tr w:rsidR="00D12537" w:rsidRPr="00D12537" w14:paraId="2D0B5AD5"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0E6D8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carbohydrate derivative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8C4CA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GO:1901135</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6470A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793</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42073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1C89D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8.89</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E0353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2.81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67AAA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4.41E-02</w:t>
            </w:r>
          </w:p>
        </w:tc>
      </w:tr>
      <w:tr w:rsidR="00D12537" w:rsidRPr="00D12537" w14:paraId="093F0D2B"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A868C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C7A9F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GO:0044249</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D0AAF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1981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3AD89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60</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92E43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22.21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497B3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2.7</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084B5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1.32E-08</w:t>
            </w:r>
          </w:p>
        </w:tc>
      </w:tr>
      <w:tr w:rsidR="00D12537" w:rsidRPr="00D12537" w14:paraId="7DB8C659"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E8E5E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organic substance 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C8294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GO:1901576</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E5682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2073</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D8AF2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62</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C52E7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23.24</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951C7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2.67</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72F89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8.54E-09</w:t>
            </w:r>
          </w:p>
        </w:tc>
      </w:tr>
      <w:tr w:rsidR="00D12537" w:rsidRPr="00D12537" w14:paraId="3223F441"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9E355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biosynthetic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7087B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GO:0009058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1289A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2154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37011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63</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3299A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24.15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3CF5D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2.61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AFAA4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1.38E-08</w:t>
            </w:r>
          </w:p>
        </w:tc>
      </w:tr>
      <w:tr w:rsidR="00D12537" w:rsidRPr="00D12537" w14:paraId="0CCA70B2"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5E3DA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nitrogen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26EFF1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GO:0034641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3BDDC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2768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B81AC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E6EA1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31.04</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AFC3B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2.51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F2DB0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8.79E-11</w:t>
            </w:r>
          </w:p>
        </w:tc>
      </w:tr>
      <w:tr w:rsidR="00D12537" w:rsidRPr="00D12537" w14:paraId="47E5285A"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D521C2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gene expression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0DF20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GO:0010467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0BFBA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1608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C1CCC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44</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D8932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18.03</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91275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2.44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A00B7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4.70E-04</w:t>
            </w:r>
          </w:p>
        </w:tc>
      </w:tr>
      <w:tr w:rsidR="00D12537" w:rsidRPr="00D12537" w14:paraId="1A3663C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49E72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catabolic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35909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GO:0044248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F7FCD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1471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ACA39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0CDAF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16.49</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39A41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58656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2.03E-02</w:t>
            </w:r>
          </w:p>
        </w:tc>
      </w:tr>
      <w:tr w:rsidR="00D12537" w:rsidRPr="00D12537" w14:paraId="34103DC4"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9F8B5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nucleobase-containing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B1303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GO:0006139</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9497B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2170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8DDFA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53</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C94FF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24.33</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0DE28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B8B54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7.18E-04</w:t>
            </w:r>
          </w:p>
        </w:tc>
      </w:tr>
      <w:tr w:rsidR="00D12537" w:rsidRPr="00D12537" w14:paraId="0934DBBB"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1E462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organonitrogen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76C1C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GO:1901564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F4C75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4256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8FF22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102</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48A53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47.72</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F6346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45009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4.73E-11</w:t>
            </w:r>
          </w:p>
        </w:tc>
      </w:tr>
      <w:tr w:rsidR="00D12537" w:rsidRPr="00D12537" w14:paraId="42BC10D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DE48D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protein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9E0C0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GO:0044267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4083F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2839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12AA1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14F42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31.83</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E738F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800E9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1.36E-05</w:t>
            </w:r>
          </w:p>
        </w:tc>
      </w:tr>
      <w:tr w:rsidR="00D12537" w:rsidRPr="00D12537" w14:paraId="63C7A884"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DFEAF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heterocycle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45E92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GO:0046483</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0EA52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2308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E2D28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B2D1C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25.88</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26716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DA039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9.19E-04</w:t>
            </w:r>
          </w:p>
        </w:tc>
      </w:tr>
      <w:tr w:rsidR="00D12537" w:rsidRPr="00D12537" w14:paraId="2C61C753"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98BDC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aromatic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B61FE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GO:0006725</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F22D2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2379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BAAA9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2EA3D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26.68</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50523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2.06</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6FAD8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2.51E-03</w:t>
            </w:r>
          </w:p>
        </w:tc>
      </w:tr>
      <w:tr w:rsidR="00D12537" w:rsidRPr="00D12537" w14:paraId="61AA590F"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28917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protein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618C0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GO:0019538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459D7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3411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B5DB0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A099C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38.25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39036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2.04</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4517A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2.93E-06</w:t>
            </w:r>
          </w:p>
        </w:tc>
      </w:tr>
      <w:tr w:rsidR="00D12537" w:rsidRPr="00D12537" w14:paraId="42DCF93F"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276F0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organic cyclic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DB9D4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GO:1901360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2CE9E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2592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15551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59</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D6D88C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29.06</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E26049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8A7CA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1.39E-03</w:t>
            </w:r>
          </w:p>
        </w:tc>
      </w:tr>
      <w:tr w:rsidR="00D12537" w:rsidRPr="00D12537" w14:paraId="0E2A9451"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52B2E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nitrogen compound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A68A5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GO:0006807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16AC9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5687</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E8B79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D6CF8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63.77</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E43B1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BB07E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5.98E-14</w:t>
            </w:r>
          </w:p>
        </w:tc>
      </w:tr>
      <w:tr w:rsidR="00D12537" w:rsidRPr="00D12537" w14:paraId="4DFA0E6F"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889CC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macromolecule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F33E5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GO:0044260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AC0E8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3948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B58F2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87</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42BE8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44.27</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93898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1.97</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0F9CA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1.11E-06</w:t>
            </w:r>
          </w:p>
        </w:tc>
      </w:tr>
      <w:tr w:rsidR="00D12537" w:rsidRPr="00D12537" w14:paraId="22F8579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0888A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primary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6F175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GO:0044238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FDFC9B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6236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4B1CA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97B120"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69.92</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72ECC5"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1.93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F21AB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8.66E-14</w:t>
            </w:r>
          </w:p>
        </w:tc>
      </w:tr>
      <w:tr w:rsidR="00D12537" w:rsidRPr="00D12537" w14:paraId="45595D2E"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46208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5A32C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GO:0044237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5BF44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6299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B75A2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09740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70.63</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B470A2"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1.91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51ACA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2.15E-13</w:t>
            </w:r>
          </w:p>
        </w:tc>
      </w:tr>
      <w:tr w:rsidR="00D12537" w:rsidRPr="00D12537" w14:paraId="22082041"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5897BD"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organic substance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C1E1F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GO:0071704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066BF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6669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68B52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140</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FA6B8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74.78</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FB726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1.87</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60D63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2.03E-13</w:t>
            </w:r>
          </w:p>
        </w:tc>
      </w:tr>
      <w:tr w:rsidR="00D12537" w:rsidRPr="00D12537" w14:paraId="0D110DEC"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CA30A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macromolecule 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B89A9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GO:0043170</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0F16E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5034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EE6E6A"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105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0EB1D3"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56.45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C8B2E9"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1.86</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846484"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9.47E-08</w:t>
            </w:r>
          </w:p>
        </w:tc>
      </w:tr>
      <w:tr w:rsidR="00D12537" w:rsidRPr="00D12537" w14:paraId="2284ABFF"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4FD4C6"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metabolic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BA2990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GO:0008152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D681DC"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7184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408B3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145</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2ABDD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80.55</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C0AAC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657D4B"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1.00E-12</w:t>
            </w:r>
          </w:p>
        </w:tc>
      </w:tr>
      <w:tr w:rsidR="00D12537" w:rsidRPr="00D12537" w14:paraId="583BB1DF" w14:textId="77777777" w:rsidTr="00D12537">
        <w:trPr>
          <w:trHeight w:val="349"/>
        </w:trPr>
        <w:tc>
          <w:tcPr>
            <w:tcW w:w="4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C71D7E"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 xml:space="preserve">cellular process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C34C08"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GO:0009987</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489FE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13991</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2B4851"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201</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823EBF"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156.88</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ADC76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1.28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C7A617" w14:textId="77777777" w:rsidR="00D12537" w:rsidRPr="00D12537" w:rsidRDefault="00D12537" w:rsidP="00D12537">
            <w:pPr>
              <w:rPr>
                <w:rFonts w:ascii="Arial" w:hAnsi="Arial" w:cs="Arial"/>
                <w:color w:val="000000" w:themeColor="text1"/>
                <w:sz w:val="20"/>
                <w:szCs w:val="20"/>
              </w:rPr>
            </w:pPr>
            <w:r w:rsidRPr="00D12537">
              <w:rPr>
                <w:rFonts w:ascii="Arial" w:hAnsi="Arial" w:cs="Arial"/>
                <w:color w:val="000000" w:themeColor="text1"/>
                <w:sz w:val="20"/>
                <w:szCs w:val="20"/>
              </w:rPr>
              <w:t>1.87E-05</w:t>
            </w:r>
          </w:p>
        </w:tc>
      </w:tr>
    </w:tbl>
    <w:p w14:paraId="43BCAA01" w14:textId="15BFAF01" w:rsidR="00272F99" w:rsidRPr="00EF78D1" w:rsidRDefault="00D12537" w:rsidP="00AC6184">
      <w:pPr>
        <w:rPr>
          <w:rFonts w:ascii="Arial" w:hAnsi="Arial" w:cs="Arial"/>
          <w:b/>
          <w:bCs/>
          <w:color w:val="000000" w:themeColor="text1"/>
        </w:rPr>
      </w:pPr>
      <w:r w:rsidRPr="00D12537">
        <w:rPr>
          <w:rFonts w:ascii="Arial" w:hAnsi="Arial" w:cs="Arial"/>
          <w:b/>
          <w:bCs/>
          <w:color w:val="000000" w:themeColor="text1"/>
        </w:rPr>
        <w:t xml:space="preserve"> </w:t>
      </w:r>
      <w:r w:rsidR="00272F99" w:rsidRPr="00EF78D1">
        <w:rPr>
          <w:rFonts w:ascii="Arial" w:hAnsi="Arial" w:cs="Arial"/>
          <w:b/>
          <w:bCs/>
          <w:color w:val="000000" w:themeColor="text1"/>
        </w:rPr>
        <w:t xml:space="preserve">Supplemental Table </w:t>
      </w:r>
      <w:r w:rsidR="009D0AED">
        <w:rPr>
          <w:rFonts w:ascii="Arial" w:hAnsi="Arial" w:cs="Arial"/>
          <w:b/>
          <w:bCs/>
          <w:color w:val="000000" w:themeColor="text1"/>
        </w:rPr>
        <w:t>S</w:t>
      </w:r>
      <w:r w:rsidR="00EF687A" w:rsidRPr="00EF78D1">
        <w:rPr>
          <w:rFonts w:ascii="Arial" w:hAnsi="Arial" w:cs="Arial"/>
          <w:b/>
          <w:bCs/>
          <w:color w:val="000000" w:themeColor="text1"/>
        </w:rPr>
        <w:t>3</w:t>
      </w:r>
      <w:r w:rsidR="00272F99" w:rsidRPr="00EF78D1">
        <w:rPr>
          <w:rFonts w:ascii="Arial" w:hAnsi="Arial" w:cs="Arial"/>
          <w:b/>
          <w:bCs/>
          <w:color w:val="000000" w:themeColor="text1"/>
        </w:rPr>
        <w:t>: Biological process category enrichments for the 250 genes that are circadian at both the mRNA and protein levels</w:t>
      </w:r>
      <w:r w:rsidR="00D86E45" w:rsidRPr="00EF78D1">
        <w:rPr>
          <w:rFonts w:ascii="Arial" w:hAnsi="Arial" w:cs="Arial"/>
          <w:b/>
          <w:bCs/>
          <w:color w:val="000000" w:themeColor="text1"/>
        </w:rPr>
        <w:t>.</w:t>
      </w:r>
      <w:r w:rsidR="00E02A39" w:rsidRPr="00EF78D1">
        <w:rPr>
          <w:rFonts w:ascii="Arial" w:hAnsi="Arial" w:cs="Arial"/>
          <w:b/>
          <w:bCs/>
          <w:color w:val="000000" w:themeColor="text1"/>
        </w:rPr>
        <w:t xml:space="preserve"> (Excel file)</w:t>
      </w:r>
    </w:p>
    <w:p w14:paraId="5BCE91E8" w14:textId="1EC047FA" w:rsidR="00272F99" w:rsidRPr="00EF78D1" w:rsidRDefault="00272F99" w:rsidP="00AC6184">
      <w:pPr>
        <w:rPr>
          <w:rFonts w:ascii="Arial" w:hAnsi="Arial" w:cs="Arial"/>
          <w:b/>
          <w:bCs/>
          <w:color w:val="000000" w:themeColor="text1"/>
        </w:rPr>
      </w:pPr>
    </w:p>
    <w:tbl>
      <w:tblPr>
        <w:tblW w:w="4398" w:type="dxa"/>
        <w:jc w:val="center"/>
        <w:tblCellMar>
          <w:left w:w="0" w:type="dxa"/>
          <w:right w:w="0" w:type="dxa"/>
        </w:tblCellMar>
        <w:tblLook w:val="0600" w:firstRow="0" w:lastRow="0" w:firstColumn="0" w:lastColumn="0" w:noHBand="1" w:noVBand="1"/>
      </w:tblPr>
      <w:tblGrid>
        <w:gridCol w:w="1375"/>
        <w:gridCol w:w="1648"/>
        <w:gridCol w:w="1375"/>
      </w:tblGrid>
      <w:tr w:rsidR="00941C37" w:rsidRPr="00941C37" w14:paraId="1093A8DA"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1000A51D"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Protein</w:t>
            </w:r>
          </w:p>
        </w:tc>
        <w:tc>
          <w:tcPr>
            <w:tcW w:w="164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03CB0DB9"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Detected</w:t>
            </w:r>
          </w:p>
        </w:tc>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1FDA30ED"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Circadian</w:t>
            </w:r>
          </w:p>
        </w:tc>
      </w:tr>
      <w:tr w:rsidR="00941C37" w:rsidRPr="00941C37" w14:paraId="05DA8FFD"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C161E1"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MFN1</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D4AE70"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34ACEB"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r>
      <w:tr w:rsidR="00941C37" w:rsidRPr="00941C37" w14:paraId="1D917270"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D27D81"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MFN2</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25983B"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4DC529"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r>
      <w:tr w:rsidR="00941C37" w:rsidRPr="00941C37" w14:paraId="2ADC19B9"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E00388"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OPA1</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F4783B"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B56B23"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r>
      <w:tr w:rsidR="00941C37" w:rsidRPr="00941C37" w14:paraId="75C32BE3"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D39949"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DNM1L</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AC5F82"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D8DDD6"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r>
      <w:tr w:rsidR="00941C37" w:rsidRPr="00941C37" w14:paraId="7FA56C51"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7798CD"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FIS1</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2DDBB3"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5212BA"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r>
      <w:tr w:rsidR="00941C37" w:rsidRPr="00941C37" w14:paraId="629DA7FC"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395E48"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MFF</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E2B791"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A8ED1F"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r>
      <w:tr w:rsidR="00941C37" w:rsidRPr="00941C37" w14:paraId="08A24C28"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4253B3"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MID49</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91DC1B"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B5EF18"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w:t>
            </w:r>
          </w:p>
        </w:tc>
      </w:tr>
      <w:tr w:rsidR="00941C37" w:rsidRPr="00941C37" w14:paraId="1F75A9EB"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50453D"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MID51</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7D2389"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C8E13C"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w:t>
            </w:r>
          </w:p>
        </w:tc>
      </w:tr>
      <w:tr w:rsidR="00941C37" w:rsidRPr="00941C37" w14:paraId="29BB87A2" w14:textId="77777777" w:rsidTr="00941C37">
        <w:trPr>
          <w:trHeight w:val="430"/>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045E3D" w14:textId="77777777" w:rsidR="00941C37" w:rsidRPr="00941C37" w:rsidRDefault="00941C37" w:rsidP="00941C37">
            <w:pPr>
              <w:rPr>
                <w:rFonts w:ascii="Arial" w:hAnsi="Arial" w:cs="Arial"/>
                <w:b/>
                <w:bCs/>
                <w:color w:val="000000" w:themeColor="text1"/>
              </w:rPr>
            </w:pPr>
            <w:r w:rsidRPr="00941C37">
              <w:rPr>
                <w:rFonts w:ascii="Arial" w:hAnsi="Arial" w:cs="Arial"/>
                <w:b/>
                <w:bCs/>
                <w:color w:val="000000" w:themeColor="text1"/>
              </w:rPr>
              <w:t>DNM2</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29FF0AC"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YES</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E0DE44" w14:textId="77777777" w:rsidR="00941C37" w:rsidRPr="00941C37" w:rsidRDefault="00941C37" w:rsidP="00941C37">
            <w:pPr>
              <w:rPr>
                <w:rFonts w:ascii="Arial" w:hAnsi="Arial" w:cs="Arial"/>
                <w:color w:val="000000" w:themeColor="text1"/>
              </w:rPr>
            </w:pPr>
            <w:r w:rsidRPr="00941C37">
              <w:rPr>
                <w:rFonts w:ascii="Arial" w:hAnsi="Arial" w:cs="Arial"/>
                <w:color w:val="000000" w:themeColor="text1"/>
              </w:rPr>
              <w:t>NO</w:t>
            </w:r>
          </w:p>
        </w:tc>
      </w:tr>
    </w:tbl>
    <w:p w14:paraId="5195FB5D" w14:textId="7BA85D7B" w:rsidR="00272F99" w:rsidRDefault="00941C37" w:rsidP="00AC6184">
      <w:pPr>
        <w:rPr>
          <w:rFonts w:ascii="Arial" w:hAnsi="Arial" w:cs="Arial"/>
          <w:b/>
          <w:bCs/>
          <w:color w:val="000000" w:themeColor="text1"/>
        </w:rPr>
      </w:pPr>
      <w:r w:rsidRPr="00941C37">
        <w:rPr>
          <w:rFonts w:ascii="Arial" w:hAnsi="Arial" w:cs="Arial"/>
          <w:b/>
          <w:bCs/>
          <w:color w:val="000000" w:themeColor="text1"/>
        </w:rPr>
        <w:t xml:space="preserve"> </w:t>
      </w:r>
      <w:r w:rsidR="00272F99" w:rsidRPr="00EF78D1">
        <w:rPr>
          <w:rFonts w:ascii="Arial" w:hAnsi="Arial" w:cs="Arial"/>
          <w:b/>
          <w:bCs/>
          <w:color w:val="000000" w:themeColor="text1"/>
        </w:rPr>
        <w:t xml:space="preserve">Supplemental Table </w:t>
      </w:r>
      <w:r w:rsidR="00EF687A" w:rsidRPr="00EF78D1">
        <w:rPr>
          <w:rFonts w:ascii="Arial" w:hAnsi="Arial" w:cs="Arial"/>
          <w:b/>
          <w:bCs/>
          <w:color w:val="000000" w:themeColor="text1"/>
        </w:rPr>
        <w:t>4</w:t>
      </w:r>
      <w:r w:rsidR="00272F99" w:rsidRPr="00EF78D1">
        <w:rPr>
          <w:rFonts w:ascii="Arial" w:hAnsi="Arial" w:cs="Arial"/>
          <w:b/>
          <w:bCs/>
          <w:color w:val="000000" w:themeColor="text1"/>
        </w:rPr>
        <w:t xml:space="preserve">: </w:t>
      </w:r>
      <w:r w:rsidR="00D86E45" w:rsidRPr="00EF78D1">
        <w:rPr>
          <w:rFonts w:ascii="Arial" w:hAnsi="Arial" w:cs="Arial"/>
          <w:b/>
          <w:bCs/>
          <w:color w:val="000000" w:themeColor="text1"/>
        </w:rPr>
        <w:t>Mitochondria fission and fusion genes detected in proteome.</w:t>
      </w:r>
    </w:p>
    <w:p w14:paraId="0517374A" w14:textId="77777777" w:rsidR="00941C37" w:rsidRPr="00EF78D1" w:rsidRDefault="00941C37" w:rsidP="00AC6184">
      <w:pPr>
        <w:rPr>
          <w:rFonts w:ascii="Arial" w:hAnsi="Arial" w:cs="Arial"/>
          <w:b/>
          <w:bCs/>
          <w:color w:val="000000" w:themeColor="text1"/>
        </w:rPr>
      </w:pPr>
    </w:p>
    <w:tbl>
      <w:tblPr>
        <w:tblW w:w="10890" w:type="dxa"/>
        <w:tblInd w:w="-10" w:type="dxa"/>
        <w:tblCellMar>
          <w:left w:w="0" w:type="dxa"/>
          <w:right w:w="0" w:type="dxa"/>
        </w:tblCellMar>
        <w:tblLook w:val="0600" w:firstRow="0" w:lastRow="0" w:firstColumn="0" w:lastColumn="0" w:noHBand="1" w:noVBand="1"/>
      </w:tblPr>
      <w:tblGrid>
        <w:gridCol w:w="1471"/>
        <w:gridCol w:w="1464"/>
        <w:gridCol w:w="1554"/>
        <w:gridCol w:w="777"/>
        <w:gridCol w:w="944"/>
        <w:gridCol w:w="990"/>
        <w:gridCol w:w="900"/>
        <w:gridCol w:w="958"/>
        <w:gridCol w:w="932"/>
        <w:gridCol w:w="900"/>
      </w:tblGrid>
      <w:tr w:rsidR="00941C37" w:rsidRPr="00941C37" w14:paraId="506CD726" w14:textId="77777777" w:rsidTr="00941C37">
        <w:trPr>
          <w:trHeight w:val="505"/>
        </w:trPr>
        <w:tc>
          <w:tcPr>
            <w:tcW w:w="147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7F5DA6AB" w14:textId="77777777" w:rsidR="00941C37" w:rsidRPr="00941C37" w:rsidRDefault="00941C37" w:rsidP="00941C37">
            <w:pPr>
              <w:rPr>
                <w:rFonts w:ascii="Arial" w:hAnsi="Arial" w:cs="Arial"/>
                <w:b/>
                <w:bCs/>
                <w:color w:val="000000" w:themeColor="text1"/>
              </w:rPr>
            </w:pPr>
          </w:p>
        </w:tc>
        <w:tc>
          <w:tcPr>
            <w:tcW w:w="662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7397C656" w14:textId="485B3FC2" w:rsidR="00941C37" w:rsidRPr="00941C37" w:rsidRDefault="00941C37" w:rsidP="00941C37">
            <w:pPr>
              <w:jc w:val="center"/>
              <w:rPr>
                <w:rFonts w:ascii="Arial" w:hAnsi="Arial" w:cs="Arial"/>
                <w:b/>
                <w:bCs/>
                <w:color w:val="000000" w:themeColor="text1"/>
              </w:rPr>
            </w:pPr>
            <w:r>
              <w:rPr>
                <w:rFonts w:ascii="Arial" w:hAnsi="Arial" w:cs="Arial"/>
                <w:b/>
                <w:bCs/>
                <w:color w:val="000000" w:themeColor="text1"/>
              </w:rPr>
              <w:t>ECHO</w:t>
            </w:r>
          </w:p>
        </w:tc>
        <w:tc>
          <w:tcPr>
            <w:tcW w:w="2790" w:type="dxa"/>
            <w:gridSpan w:val="3"/>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753A160D" w14:textId="6A54B345" w:rsidR="00941C37" w:rsidRPr="00941C37" w:rsidRDefault="00941C37" w:rsidP="00941C37">
            <w:pPr>
              <w:jc w:val="center"/>
              <w:rPr>
                <w:rFonts w:ascii="Arial" w:hAnsi="Arial" w:cs="Arial"/>
                <w:b/>
                <w:bCs/>
                <w:color w:val="000000" w:themeColor="text1"/>
              </w:rPr>
            </w:pPr>
            <w:r>
              <w:rPr>
                <w:rFonts w:ascii="Arial" w:hAnsi="Arial" w:cs="Arial"/>
                <w:b/>
                <w:bCs/>
                <w:color w:val="000000" w:themeColor="text1"/>
              </w:rPr>
              <w:t>JTK</w:t>
            </w:r>
          </w:p>
        </w:tc>
      </w:tr>
      <w:tr w:rsidR="00941C37" w:rsidRPr="00941C37" w14:paraId="3126D114" w14:textId="77777777" w:rsidTr="00941C37">
        <w:trPr>
          <w:trHeight w:val="972"/>
        </w:trPr>
        <w:tc>
          <w:tcPr>
            <w:tcW w:w="147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1BFB1C6"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Experiment</w:t>
            </w:r>
          </w:p>
        </w:tc>
        <w:tc>
          <w:tcPr>
            <w:tcW w:w="146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2140006"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Oscillation Type</w:t>
            </w:r>
          </w:p>
        </w:tc>
        <w:tc>
          <w:tcPr>
            <w:tcW w:w="15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451D334"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Amplitude</w:t>
            </w:r>
          </w:p>
          <w:p w14:paraId="42203062"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Change</w:t>
            </w:r>
          </w:p>
          <w:p w14:paraId="67ECE5CF"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Coefficient</w:t>
            </w:r>
          </w:p>
        </w:tc>
        <w:tc>
          <w:tcPr>
            <w:tcW w:w="7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639179C"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Period</w:t>
            </w:r>
          </w:p>
        </w:tc>
        <w:tc>
          <w:tcPr>
            <w:tcW w:w="9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574B743E"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P-Value</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4B74DB0"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 xml:space="preserve">BH Adj </w:t>
            </w:r>
          </w:p>
          <w:p w14:paraId="072C0047"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P-Value</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E136522"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 xml:space="preserve">BY Adj </w:t>
            </w:r>
          </w:p>
          <w:p w14:paraId="091B8BD1"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P-Value</w:t>
            </w:r>
          </w:p>
        </w:tc>
        <w:tc>
          <w:tcPr>
            <w:tcW w:w="95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0CF88D4"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BY.Q</w:t>
            </w:r>
          </w:p>
        </w:tc>
        <w:tc>
          <w:tcPr>
            <w:tcW w:w="93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4C0CD76"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BH.Q</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396F44B" w14:textId="77777777" w:rsidR="00941C37" w:rsidRPr="00941C37" w:rsidRDefault="00941C37" w:rsidP="00941C37">
            <w:pPr>
              <w:rPr>
                <w:rFonts w:ascii="Arial" w:hAnsi="Arial" w:cs="Arial"/>
                <w:color w:val="000000" w:themeColor="text1"/>
              </w:rPr>
            </w:pPr>
            <w:r w:rsidRPr="00941C37">
              <w:rPr>
                <w:rFonts w:ascii="Arial" w:hAnsi="Arial" w:cs="Arial"/>
                <w:b/>
                <w:bCs/>
                <w:color w:val="000000" w:themeColor="text1"/>
              </w:rPr>
              <w:t>ADJ.P</w:t>
            </w:r>
          </w:p>
        </w:tc>
      </w:tr>
      <w:tr w:rsidR="00941C37" w:rsidRPr="00941C37" w14:paraId="2177508B" w14:textId="77777777" w:rsidTr="00941C37">
        <w:trPr>
          <w:trHeight w:val="330"/>
        </w:trPr>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92FB6BF"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Per2::Luc</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68285FD"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Harmonic</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85B3B7E"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6.78E-03</w:t>
            </w:r>
          </w:p>
        </w:tc>
        <w:tc>
          <w:tcPr>
            <w:tcW w:w="7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2F05F890"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24</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131D711A"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8.66E-04</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B889C2E"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2.60E-03</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2DC7137"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4.77E-03</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DF0496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1.90E-02</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63C1EEC"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1.04E-02</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B7B3A45"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3.46E-03</w:t>
            </w:r>
          </w:p>
        </w:tc>
      </w:tr>
      <w:tr w:rsidR="00941C37" w:rsidRPr="00941C37" w14:paraId="3D4468F3" w14:textId="77777777" w:rsidTr="00941C37">
        <w:trPr>
          <w:trHeight w:val="330"/>
        </w:trPr>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959B86A"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Per1/Per2 KO</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204A52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Overexpressed</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73FCF1D"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-2.82E-01</w:t>
            </w:r>
          </w:p>
        </w:tc>
        <w:tc>
          <w:tcPr>
            <w:tcW w:w="7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5F9432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24</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69157A5"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3.44E-01</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0DC1981"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3.44E-01</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16CB250F"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6.30E-01</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A5976F6"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9.47E-01</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2535776D"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5.17E-01</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F334756"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3.44E-01</w:t>
            </w:r>
          </w:p>
        </w:tc>
      </w:tr>
      <w:tr w:rsidR="00941C37" w:rsidRPr="00941C37" w14:paraId="5399E901" w14:textId="77777777" w:rsidTr="00941C37">
        <w:trPr>
          <w:trHeight w:val="330"/>
        </w:trPr>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47B050A"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Per2::Luc + Oligomycin</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E7D08D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Repressed</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1DC88FB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7.37E-01</w:t>
            </w:r>
          </w:p>
        </w:tc>
        <w:tc>
          <w:tcPr>
            <w:tcW w:w="7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23D820C"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24</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CB2CCCA"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2.57E-02</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26757B1"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3.86E-02</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19C1A50"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7.07E-02</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CAA3006"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1</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8014288"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1</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3620D03" w14:textId="77777777" w:rsidR="00941C37" w:rsidRPr="00941C37" w:rsidRDefault="00941C37" w:rsidP="00941C37">
            <w:pPr>
              <w:rPr>
                <w:rFonts w:ascii="Arial" w:hAnsi="Arial" w:cs="Arial"/>
                <w:color w:val="000000" w:themeColor="text1"/>
                <w:sz w:val="20"/>
                <w:szCs w:val="20"/>
              </w:rPr>
            </w:pPr>
            <w:r w:rsidRPr="00941C37">
              <w:rPr>
                <w:rFonts w:ascii="Arial" w:hAnsi="Arial" w:cs="Arial"/>
                <w:color w:val="000000" w:themeColor="text1"/>
                <w:sz w:val="20"/>
                <w:szCs w:val="20"/>
              </w:rPr>
              <w:t>1</w:t>
            </w:r>
          </w:p>
        </w:tc>
      </w:tr>
    </w:tbl>
    <w:p w14:paraId="37D2C666" w14:textId="77777777" w:rsidR="00272F99" w:rsidRPr="00EF78D1" w:rsidRDefault="00272F99" w:rsidP="00AC6184">
      <w:pPr>
        <w:rPr>
          <w:rFonts w:ascii="Arial" w:hAnsi="Arial" w:cs="Arial"/>
          <w:color w:val="000000" w:themeColor="text1"/>
        </w:rPr>
      </w:pPr>
    </w:p>
    <w:p w14:paraId="2C120F52" w14:textId="75A97946" w:rsidR="00272F99" w:rsidRPr="00EF78D1" w:rsidRDefault="00272F99" w:rsidP="00AC6184">
      <w:pPr>
        <w:rPr>
          <w:rFonts w:ascii="Arial" w:hAnsi="Arial" w:cs="Arial"/>
          <w:b/>
          <w:bCs/>
          <w:color w:val="000000" w:themeColor="text1"/>
        </w:rPr>
      </w:pPr>
      <w:r w:rsidRPr="00EF78D1">
        <w:rPr>
          <w:rFonts w:ascii="Arial" w:hAnsi="Arial" w:cs="Arial"/>
          <w:b/>
          <w:bCs/>
          <w:color w:val="000000" w:themeColor="text1"/>
        </w:rPr>
        <w:t xml:space="preserve">Supplemental Table </w:t>
      </w:r>
      <w:r w:rsidR="009D0AED">
        <w:rPr>
          <w:rFonts w:ascii="Arial" w:hAnsi="Arial" w:cs="Arial"/>
          <w:b/>
          <w:bCs/>
          <w:color w:val="000000" w:themeColor="text1"/>
        </w:rPr>
        <w:t>S</w:t>
      </w:r>
      <w:r w:rsidR="00EF687A" w:rsidRPr="00EF78D1">
        <w:rPr>
          <w:rFonts w:ascii="Arial" w:hAnsi="Arial" w:cs="Arial"/>
          <w:b/>
          <w:bCs/>
          <w:color w:val="000000" w:themeColor="text1"/>
        </w:rPr>
        <w:t>5</w:t>
      </w:r>
      <w:r w:rsidRPr="00EF78D1">
        <w:rPr>
          <w:rFonts w:ascii="Arial" w:hAnsi="Arial" w:cs="Arial"/>
          <w:b/>
          <w:bCs/>
          <w:color w:val="000000" w:themeColor="text1"/>
        </w:rPr>
        <w:t>: ECHO model parameters for phagocytosis assay data</w:t>
      </w:r>
      <w:r w:rsidR="00D86E45" w:rsidRPr="00EF78D1">
        <w:rPr>
          <w:rFonts w:ascii="Arial" w:hAnsi="Arial" w:cs="Arial"/>
          <w:b/>
          <w:bCs/>
          <w:color w:val="000000" w:themeColor="text1"/>
        </w:rPr>
        <w:t>.</w:t>
      </w:r>
    </w:p>
    <w:p w14:paraId="25927834" w14:textId="7F1A2FD7" w:rsidR="00272F99" w:rsidRPr="00EF78D1" w:rsidRDefault="00272F99" w:rsidP="00EF78D1">
      <w:pPr>
        <w:jc w:val="both"/>
        <w:rPr>
          <w:rFonts w:ascii="Arial" w:hAnsi="Arial" w:cs="Arial"/>
          <w:color w:val="000000" w:themeColor="text1"/>
        </w:rPr>
      </w:pPr>
    </w:p>
    <w:p w14:paraId="695663F0" w14:textId="77777777" w:rsidR="00112078" w:rsidRDefault="00112078">
      <w:pPr>
        <w:rPr>
          <w:rFonts w:ascii="Arial" w:hAnsi="Arial" w:cs="Arial"/>
          <w:color w:val="000000" w:themeColor="text1"/>
        </w:rPr>
      </w:pPr>
      <w:r>
        <w:rPr>
          <w:rFonts w:ascii="Arial" w:hAnsi="Arial" w:cs="Arial"/>
          <w:color w:val="000000" w:themeColor="text1"/>
        </w:rPr>
        <w:br w:type="page"/>
      </w:r>
    </w:p>
    <w:p w14:paraId="2AAA39DA" w14:textId="581217AF" w:rsidR="00272F99" w:rsidRPr="00470708" w:rsidRDefault="00272F99" w:rsidP="00EF78D1">
      <w:pPr>
        <w:jc w:val="both"/>
        <w:rPr>
          <w:rFonts w:ascii="Arial" w:hAnsi="Arial" w:cs="Arial"/>
          <w:b/>
          <w:bCs/>
          <w:color w:val="000000" w:themeColor="text1"/>
        </w:rPr>
      </w:pPr>
      <w:r w:rsidRPr="00470708">
        <w:rPr>
          <w:rFonts w:ascii="Arial" w:hAnsi="Arial" w:cs="Arial"/>
          <w:b/>
          <w:bCs/>
          <w:color w:val="000000" w:themeColor="text1"/>
        </w:rPr>
        <w:lastRenderedPageBreak/>
        <w:t>SUPPLEMENTA</w:t>
      </w:r>
      <w:r w:rsidR="00A975F6" w:rsidRPr="00470708">
        <w:rPr>
          <w:rFonts w:ascii="Arial" w:hAnsi="Arial" w:cs="Arial"/>
          <w:b/>
          <w:bCs/>
          <w:color w:val="000000" w:themeColor="text1"/>
        </w:rPr>
        <w:t>RY</w:t>
      </w:r>
      <w:r w:rsidRPr="00470708">
        <w:rPr>
          <w:rFonts w:ascii="Arial" w:hAnsi="Arial" w:cs="Arial"/>
          <w:b/>
          <w:bCs/>
          <w:color w:val="000000" w:themeColor="text1"/>
        </w:rPr>
        <w:t xml:space="preserve"> </w:t>
      </w:r>
      <w:r w:rsidR="00FE66B2">
        <w:rPr>
          <w:rFonts w:ascii="Arial" w:hAnsi="Arial" w:cs="Arial"/>
          <w:b/>
          <w:bCs/>
          <w:color w:val="000000" w:themeColor="text1"/>
        </w:rPr>
        <w:t>DATA</w:t>
      </w:r>
      <w:r w:rsidR="00A975F6" w:rsidRPr="00470708">
        <w:rPr>
          <w:rFonts w:ascii="Arial" w:hAnsi="Arial" w:cs="Arial"/>
          <w:b/>
          <w:bCs/>
          <w:color w:val="000000" w:themeColor="text1"/>
        </w:rPr>
        <w:t xml:space="preserve"> LEGENDS</w:t>
      </w:r>
    </w:p>
    <w:p w14:paraId="3671A824" w14:textId="77777777" w:rsidR="00272F99" w:rsidRPr="00EF78D1" w:rsidRDefault="00272F99" w:rsidP="00EF78D1">
      <w:pPr>
        <w:jc w:val="both"/>
        <w:rPr>
          <w:rFonts w:ascii="Arial" w:hAnsi="Arial" w:cs="Arial"/>
          <w:color w:val="000000" w:themeColor="text1"/>
        </w:rPr>
      </w:pPr>
    </w:p>
    <w:p w14:paraId="0DCB5D09" w14:textId="21DCE37C" w:rsidR="00272F99" w:rsidRPr="00EF78D1" w:rsidRDefault="00272F99" w:rsidP="00EF78D1">
      <w:pPr>
        <w:jc w:val="both"/>
        <w:rPr>
          <w:rFonts w:ascii="Arial" w:hAnsi="Arial" w:cs="Arial"/>
          <w:b/>
          <w:bCs/>
          <w:color w:val="000000" w:themeColor="text1"/>
        </w:rPr>
      </w:pPr>
      <w:r w:rsidRPr="00EF78D1">
        <w:rPr>
          <w:rFonts w:ascii="Arial" w:hAnsi="Arial" w:cs="Arial"/>
          <w:b/>
          <w:bCs/>
          <w:color w:val="000000" w:themeColor="text1"/>
        </w:rPr>
        <w:t xml:space="preserve">Supplemental </w:t>
      </w:r>
      <w:r w:rsidR="002F1223">
        <w:rPr>
          <w:rFonts w:ascii="Arial" w:hAnsi="Arial" w:cs="Arial"/>
          <w:b/>
          <w:bCs/>
          <w:color w:val="000000" w:themeColor="text1"/>
        </w:rPr>
        <w:t>Data</w:t>
      </w:r>
      <w:r w:rsidRPr="00EF78D1">
        <w:rPr>
          <w:rFonts w:ascii="Arial" w:hAnsi="Arial" w:cs="Arial"/>
          <w:b/>
          <w:bCs/>
          <w:color w:val="000000" w:themeColor="text1"/>
        </w:rPr>
        <w:t xml:space="preserve"> </w:t>
      </w:r>
      <w:r w:rsidR="00257FED">
        <w:rPr>
          <w:rFonts w:ascii="Arial" w:hAnsi="Arial" w:cs="Arial"/>
          <w:b/>
          <w:bCs/>
          <w:color w:val="000000" w:themeColor="text1"/>
        </w:rPr>
        <w:t>S</w:t>
      </w:r>
      <w:r w:rsidRPr="00EF78D1">
        <w:rPr>
          <w:rFonts w:ascii="Arial" w:hAnsi="Arial" w:cs="Arial"/>
          <w:b/>
          <w:bCs/>
          <w:color w:val="000000" w:themeColor="text1"/>
        </w:rPr>
        <w:t xml:space="preserve">1. Protein-Protein Interaction Network of the </w:t>
      </w:r>
      <w:r w:rsidR="004F4108" w:rsidRPr="00EF78D1">
        <w:rPr>
          <w:rFonts w:ascii="Arial" w:hAnsi="Arial" w:cs="Arial"/>
          <w:b/>
          <w:bCs/>
          <w:color w:val="000000" w:themeColor="text1"/>
        </w:rPr>
        <w:t>Late</w:t>
      </w:r>
      <w:r w:rsidRPr="00EF78D1">
        <w:rPr>
          <w:rFonts w:ascii="Arial" w:hAnsi="Arial" w:cs="Arial"/>
          <w:b/>
          <w:bCs/>
          <w:color w:val="000000" w:themeColor="text1"/>
        </w:rPr>
        <w:t xml:space="preserve"> </w:t>
      </w:r>
      <w:r w:rsidR="004F4108" w:rsidRPr="00EF78D1">
        <w:rPr>
          <w:rFonts w:ascii="Arial" w:hAnsi="Arial" w:cs="Arial"/>
          <w:b/>
          <w:bCs/>
          <w:color w:val="000000" w:themeColor="text1"/>
        </w:rPr>
        <w:t>w</w:t>
      </w:r>
      <w:r w:rsidRPr="00EF78D1">
        <w:rPr>
          <w:rFonts w:ascii="Arial" w:hAnsi="Arial" w:cs="Arial"/>
          <w:b/>
          <w:bCs/>
          <w:color w:val="000000" w:themeColor="text1"/>
        </w:rPr>
        <w:t>ave</w:t>
      </w:r>
      <w:r w:rsidR="00EF7C1E">
        <w:rPr>
          <w:rFonts w:ascii="Arial" w:hAnsi="Arial" w:cs="Arial"/>
          <w:b/>
          <w:bCs/>
          <w:color w:val="000000" w:themeColor="text1"/>
        </w:rPr>
        <w:t xml:space="preserve"> (“Supplemental_</w:t>
      </w:r>
      <w:r w:rsidR="002F1223">
        <w:rPr>
          <w:rFonts w:ascii="Arial" w:hAnsi="Arial" w:cs="Arial"/>
          <w:b/>
          <w:bCs/>
          <w:color w:val="000000" w:themeColor="text1"/>
        </w:rPr>
        <w:t>Data</w:t>
      </w:r>
      <w:r w:rsidR="00EF7C1E">
        <w:rPr>
          <w:rFonts w:ascii="Arial" w:hAnsi="Arial" w:cs="Arial"/>
          <w:b/>
          <w:bCs/>
          <w:color w:val="000000" w:themeColor="text1"/>
        </w:rPr>
        <w:t>_S1.</w:t>
      </w:r>
      <w:r w:rsidR="003F4D26">
        <w:rPr>
          <w:rFonts w:ascii="Arial" w:hAnsi="Arial" w:cs="Arial"/>
          <w:b/>
          <w:bCs/>
          <w:color w:val="000000" w:themeColor="text1"/>
        </w:rPr>
        <w:t>pdf</w:t>
      </w:r>
      <w:r w:rsidR="00EF7C1E">
        <w:rPr>
          <w:rFonts w:ascii="Arial" w:hAnsi="Arial" w:cs="Arial"/>
          <w:b/>
          <w:bCs/>
          <w:color w:val="000000" w:themeColor="text1"/>
        </w:rPr>
        <w:t>”)</w:t>
      </w:r>
      <w:r w:rsidRPr="00EF78D1">
        <w:rPr>
          <w:rFonts w:ascii="Arial" w:hAnsi="Arial" w:cs="Arial"/>
          <w:b/>
          <w:bCs/>
          <w:color w:val="000000" w:themeColor="text1"/>
        </w:rPr>
        <w:t>.</w:t>
      </w:r>
    </w:p>
    <w:p w14:paraId="4DBCE0D6" w14:textId="77777777" w:rsidR="00272F99" w:rsidRPr="00EF78D1" w:rsidRDefault="00272F99" w:rsidP="00EF78D1">
      <w:pPr>
        <w:jc w:val="both"/>
        <w:rPr>
          <w:rFonts w:ascii="Arial" w:hAnsi="Arial" w:cs="Arial"/>
          <w:color w:val="000000" w:themeColor="text1"/>
        </w:rPr>
      </w:pPr>
      <w:r w:rsidRPr="00EF78D1">
        <w:rPr>
          <w:rFonts w:ascii="Arial" w:hAnsi="Arial" w:cs="Arial"/>
          <w:color w:val="000000" w:themeColor="text1"/>
        </w:rPr>
        <w:t xml:space="preserve">A high-resolution overview of the late active wave (CT15-3) protein-protein interaction network with individual gene symbols displayed on each node. Strings shown are high confidence (&gt;.9) interactions and node color corresponds to a gene’s enriched </w:t>
      </w:r>
      <w:proofErr w:type="spellStart"/>
      <w:r w:rsidRPr="00EF78D1">
        <w:rPr>
          <w:rFonts w:ascii="Arial" w:hAnsi="Arial" w:cs="Arial"/>
          <w:color w:val="000000" w:themeColor="text1"/>
        </w:rPr>
        <w:t>reactome</w:t>
      </w:r>
      <w:proofErr w:type="spellEnd"/>
      <w:r w:rsidRPr="00EF78D1">
        <w:rPr>
          <w:rFonts w:ascii="Arial" w:hAnsi="Arial" w:cs="Arial"/>
          <w:color w:val="000000" w:themeColor="text1"/>
        </w:rPr>
        <w:t xml:space="preserve"> category. Grey coloring represents genes from enriched </w:t>
      </w:r>
      <w:proofErr w:type="spellStart"/>
      <w:r w:rsidRPr="00EF78D1">
        <w:rPr>
          <w:rFonts w:ascii="Arial" w:hAnsi="Arial" w:cs="Arial"/>
          <w:color w:val="000000" w:themeColor="text1"/>
        </w:rPr>
        <w:t>reactome</w:t>
      </w:r>
      <w:proofErr w:type="spellEnd"/>
      <w:r w:rsidRPr="00EF78D1">
        <w:rPr>
          <w:rFonts w:ascii="Arial" w:hAnsi="Arial" w:cs="Arial"/>
          <w:color w:val="000000" w:themeColor="text1"/>
        </w:rPr>
        <w:t xml:space="preserve"> categories that did not represent a large proportion of the protein-protein interactome or belonged to redundant categories.</w:t>
      </w:r>
    </w:p>
    <w:p w14:paraId="620A3EEB" w14:textId="77777777" w:rsidR="00272F99" w:rsidRPr="00EF78D1" w:rsidRDefault="00272F99" w:rsidP="00EF78D1">
      <w:pPr>
        <w:jc w:val="both"/>
        <w:rPr>
          <w:rFonts w:ascii="Arial" w:hAnsi="Arial" w:cs="Arial"/>
          <w:color w:val="000000" w:themeColor="text1"/>
        </w:rPr>
      </w:pPr>
    </w:p>
    <w:p w14:paraId="3E1C9AA8" w14:textId="3A2A983E" w:rsidR="00272F99" w:rsidRPr="00EF78D1" w:rsidRDefault="00272F99" w:rsidP="00EF78D1">
      <w:pPr>
        <w:jc w:val="both"/>
        <w:rPr>
          <w:rFonts w:ascii="Arial" w:hAnsi="Arial" w:cs="Arial"/>
          <w:b/>
          <w:bCs/>
          <w:color w:val="000000" w:themeColor="text1"/>
        </w:rPr>
      </w:pPr>
      <w:r w:rsidRPr="00EF78D1">
        <w:rPr>
          <w:rFonts w:ascii="Arial" w:hAnsi="Arial" w:cs="Arial"/>
          <w:b/>
          <w:bCs/>
          <w:color w:val="000000" w:themeColor="text1"/>
        </w:rPr>
        <w:t xml:space="preserve">Supplemental </w:t>
      </w:r>
      <w:r w:rsidR="002F1223">
        <w:rPr>
          <w:rFonts w:ascii="Arial" w:hAnsi="Arial" w:cs="Arial"/>
          <w:b/>
          <w:bCs/>
          <w:color w:val="000000" w:themeColor="text1"/>
        </w:rPr>
        <w:t>Data</w:t>
      </w:r>
      <w:r w:rsidRPr="00EF78D1">
        <w:rPr>
          <w:rFonts w:ascii="Arial" w:hAnsi="Arial" w:cs="Arial"/>
          <w:b/>
          <w:bCs/>
          <w:color w:val="000000" w:themeColor="text1"/>
        </w:rPr>
        <w:t xml:space="preserve"> </w:t>
      </w:r>
      <w:r w:rsidR="00257FED">
        <w:rPr>
          <w:rFonts w:ascii="Arial" w:hAnsi="Arial" w:cs="Arial"/>
          <w:b/>
          <w:bCs/>
          <w:color w:val="000000" w:themeColor="text1"/>
        </w:rPr>
        <w:t>S</w:t>
      </w:r>
      <w:r w:rsidRPr="00EF78D1">
        <w:rPr>
          <w:rFonts w:ascii="Arial" w:hAnsi="Arial" w:cs="Arial"/>
          <w:b/>
          <w:bCs/>
          <w:color w:val="000000" w:themeColor="text1"/>
        </w:rPr>
        <w:t xml:space="preserve">2. Protein-protein interaction network of the </w:t>
      </w:r>
      <w:r w:rsidR="004F4108" w:rsidRPr="00EF78D1">
        <w:rPr>
          <w:rFonts w:ascii="Arial" w:hAnsi="Arial" w:cs="Arial"/>
          <w:b/>
          <w:bCs/>
          <w:color w:val="000000" w:themeColor="text1"/>
        </w:rPr>
        <w:t>Early</w:t>
      </w:r>
      <w:r w:rsidRPr="00EF78D1">
        <w:rPr>
          <w:rFonts w:ascii="Arial" w:hAnsi="Arial" w:cs="Arial"/>
          <w:b/>
          <w:bCs/>
          <w:color w:val="000000" w:themeColor="text1"/>
        </w:rPr>
        <w:t xml:space="preserve"> </w:t>
      </w:r>
      <w:r w:rsidR="004F4108" w:rsidRPr="00EF78D1">
        <w:rPr>
          <w:rFonts w:ascii="Arial" w:hAnsi="Arial" w:cs="Arial"/>
          <w:b/>
          <w:bCs/>
          <w:color w:val="000000" w:themeColor="text1"/>
        </w:rPr>
        <w:t>w</w:t>
      </w:r>
      <w:r w:rsidRPr="00EF78D1">
        <w:rPr>
          <w:rFonts w:ascii="Arial" w:hAnsi="Arial" w:cs="Arial"/>
          <w:b/>
          <w:bCs/>
          <w:color w:val="000000" w:themeColor="text1"/>
        </w:rPr>
        <w:t>ave</w:t>
      </w:r>
      <w:r w:rsidR="00EF7C1E">
        <w:rPr>
          <w:rFonts w:ascii="Arial" w:hAnsi="Arial" w:cs="Arial"/>
          <w:b/>
          <w:bCs/>
          <w:color w:val="000000" w:themeColor="text1"/>
        </w:rPr>
        <w:t xml:space="preserve"> (“Supplemental_</w:t>
      </w:r>
      <w:r w:rsidR="002F1223">
        <w:rPr>
          <w:rFonts w:ascii="Arial" w:hAnsi="Arial" w:cs="Arial"/>
          <w:b/>
          <w:bCs/>
          <w:color w:val="000000" w:themeColor="text1"/>
        </w:rPr>
        <w:t>Dat</w:t>
      </w:r>
      <w:r w:rsidR="00450918">
        <w:rPr>
          <w:rFonts w:ascii="Arial" w:hAnsi="Arial" w:cs="Arial"/>
          <w:b/>
          <w:bCs/>
          <w:color w:val="000000" w:themeColor="text1"/>
        </w:rPr>
        <w:t>a</w:t>
      </w:r>
      <w:r w:rsidR="00EF7C1E">
        <w:rPr>
          <w:rFonts w:ascii="Arial" w:hAnsi="Arial" w:cs="Arial"/>
          <w:b/>
          <w:bCs/>
          <w:color w:val="000000" w:themeColor="text1"/>
        </w:rPr>
        <w:t>_S2.</w:t>
      </w:r>
      <w:r w:rsidR="003F4D26">
        <w:rPr>
          <w:rFonts w:ascii="Arial" w:hAnsi="Arial" w:cs="Arial"/>
          <w:b/>
          <w:bCs/>
          <w:color w:val="000000" w:themeColor="text1"/>
        </w:rPr>
        <w:t>pdf</w:t>
      </w:r>
      <w:r w:rsidR="00EF7C1E">
        <w:rPr>
          <w:rFonts w:ascii="Arial" w:hAnsi="Arial" w:cs="Arial"/>
          <w:b/>
          <w:bCs/>
          <w:color w:val="000000" w:themeColor="text1"/>
        </w:rPr>
        <w:t>”).</w:t>
      </w:r>
    </w:p>
    <w:p w14:paraId="6A65FE56" w14:textId="6BF4CEB8" w:rsidR="00272F99" w:rsidRDefault="00272F99" w:rsidP="00EF78D1">
      <w:pPr>
        <w:jc w:val="both"/>
        <w:rPr>
          <w:rFonts w:ascii="Arial" w:hAnsi="Arial" w:cs="Arial"/>
          <w:color w:val="000000" w:themeColor="text1"/>
        </w:rPr>
      </w:pPr>
      <w:r w:rsidRPr="00EF78D1">
        <w:rPr>
          <w:rFonts w:ascii="Arial" w:hAnsi="Arial" w:cs="Arial"/>
          <w:color w:val="000000" w:themeColor="text1"/>
        </w:rPr>
        <w:t xml:space="preserve">A high-resolution overview of the late inactive wave (CT3-15) protein-protein interaction network with individual gene symbols displayed on each node. Strings shown are high confidence (&gt;.9) interactions and node color corresponds to a gene’s enriched </w:t>
      </w:r>
      <w:proofErr w:type="spellStart"/>
      <w:r w:rsidRPr="00EF78D1">
        <w:rPr>
          <w:rFonts w:ascii="Arial" w:hAnsi="Arial" w:cs="Arial"/>
          <w:color w:val="000000" w:themeColor="text1"/>
        </w:rPr>
        <w:t>reactome</w:t>
      </w:r>
      <w:proofErr w:type="spellEnd"/>
      <w:r w:rsidRPr="00EF78D1">
        <w:rPr>
          <w:rFonts w:ascii="Arial" w:hAnsi="Arial" w:cs="Arial"/>
          <w:color w:val="000000" w:themeColor="text1"/>
        </w:rPr>
        <w:t xml:space="preserve"> category. Grey coloring represents genes from enriched </w:t>
      </w:r>
      <w:proofErr w:type="spellStart"/>
      <w:r w:rsidRPr="00EF78D1">
        <w:rPr>
          <w:rFonts w:ascii="Arial" w:hAnsi="Arial" w:cs="Arial"/>
          <w:color w:val="000000" w:themeColor="text1"/>
        </w:rPr>
        <w:t>reactome</w:t>
      </w:r>
      <w:proofErr w:type="spellEnd"/>
      <w:r w:rsidRPr="00EF78D1">
        <w:rPr>
          <w:rFonts w:ascii="Arial" w:hAnsi="Arial" w:cs="Arial"/>
          <w:color w:val="000000" w:themeColor="text1"/>
        </w:rPr>
        <w:t xml:space="preserve"> categories that did not represent a large proportion of the protein-protein interactome or belonged to redundant categories.</w:t>
      </w:r>
    </w:p>
    <w:p w14:paraId="29AB4861" w14:textId="2B047B7E" w:rsidR="00EF7C1E" w:rsidRDefault="00EF7C1E" w:rsidP="00EF78D1">
      <w:pPr>
        <w:jc w:val="both"/>
        <w:rPr>
          <w:rFonts w:ascii="Arial" w:hAnsi="Arial" w:cs="Arial"/>
          <w:color w:val="000000" w:themeColor="text1"/>
        </w:rPr>
      </w:pPr>
    </w:p>
    <w:p w14:paraId="66026AD6" w14:textId="16461242" w:rsidR="00EF7C1E" w:rsidRPr="00EF7C1E" w:rsidRDefault="00EF7C1E" w:rsidP="00EF78D1">
      <w:pPr>
        <w:jc w:val="both"/>
        <w:rPr>
          <w:rFonts w:ascii="Arial" w:hAnsi="Arial" w:cs="Arial"/>
          <w:b/>
          <w:bCs/>
          <w:color w:val="000000" w:themeColor="text1"/>
        </w:rPr>
      </w:pPr>
      <w:r w:rsidRPr="00EF7C1E">
        <w:rPr>
          <w:rFonts w:ascii="Arial" w:hAnsi="Arial" w:cs="Arial"/>
          <w:b/>
          <w:bCs/>
          <w:color w:val="000000" w:themeColor="text1"/>
        </w:rPr>
        <w:t xml:space="preserve">Supplemental </w:t>
      </w:r>
      <w:r w:rsidR="002F1223">
        <w:rPr>
          <w:rFonts w:ascii="Arial" w:hAnsi="Arial" w:cs="Arial"/>
          <w:b/>
          <w:bCs/>
          <w:color w:val="000000" w:themeColor="text1"/>
        </w:rPr>
        <w:t>Data</w:t>
      </w:r>
      <w:r w:rsidRPr="00EF7C1E">
        <w:rPr>
          <w:rFonts w:ascii="Arial" w:hAnsi="Arial" w:cs="Arial"/>
          <w:b/>
          <w:bCs/>
          <w:color w:val="000000" w:themeColor="text1"/>
        </w:rPr>
        <w:t xml:space="preserve"> </w:t>
      </w:r>
      <w:r w:rsidR="00257FED">
        <w:rPr>
          <w:rFonts w:ascii="Arial" w:hAnsi="Arial" w:cs="Arial"/>
          <w:b/>
          <w:bCs/>
          <w:color w:val="000000" w:themeColor="text1"/>
        </w:rPr>
        <w:t>S</w:t>
      </w:r>
      <w:r w:rsidRPr="00EF7C1E">
        <w:rPr>
          <w:rFonts w:ascii="Arial" w:hAnsi="Arial" w:cs="Arial"/>
          <w:b/>
          <w:bCs/>
          <w:color w:val="000000" w:themeColor="text1"/>
        </w:rPr>
        <w:t>3. Processed RNA-seq data input and output from ECHO analysis</w:t>
      </w:r>
      <w:r>
        <w:rPr>
          <w:rFonts w:ascii="Arial" w:hAnsi="Arial" w:cs="Arial"/>
          <w:b/>
          <w:bCs/>
          <w:color w:val="000000" w:themeColor="text1"/>
        </w:rPr>
        <w:t xml:space="preserve"> (“Supplemental_</w:t>
      </w:r>
      <w:r w:rsidR="002F1223">
        <w:rPr>
          <w:rFonts w:ascii="Arial" w:hAnsi="Arial" w:cs="Arial"/>
          <w:b/>
          <w:bCs/>
          <w:color w:val="000000" w:themeColor="text1"/>
        </w:rPr>
        <w:t>Data</w:t>
      </w:r>
      <w:r>
        <w:rPr>
          <w:rFonts w:ascii="Arial" w:hAnsi="Arial" w:cs="Arial"/>
          <w:b/>
          <w:bCs/>
          <w:color w:val="000000" w:themeColor="text1"/>
        </w:rPr>
        <w:t>_S3.</w:t>
      </w:r>
      <w:r w:rsidR="00450918">
        <w:rPr>
          <w:rFonts w:ascii="Arial" w:hAnsi="Arial" w:cs="Arial"/>
          <w:b/>
          <w:bCs/>
          <w:color w:val="000000" w:themeColor="text1"/>
        </w:rPr>
        <w:t>csv</w:t>
      </w:r>
      <w:r>
        <w:rPr>
          <w:rFonts w:ascii="Arial" w:hAnsi="Arial" w:cs="Arial"/>
          <w:b/>
          <w:bCs/>
          <w:color w:val="000000" w:themeColor="text1"/>
        </w:rPr>
        <w:t>”)</w:t>
      </w:r>
    </w:p>
    <w:p w14:paraId="300D0C42" w14:textId="7F9C1A43" w:rsidR="00EF7C1E" w:rsidRPr="00EF7C1E" w:rsidRDefault="00EF7C1E" w:rsidP="00EF78D1">
      <w:pPr>
        <w:jc w:val="both"/>
        <w:rPr>
          <w:rFonts w:ascii="Arial" w:hAnsi="Arial" w:cs="Arial"/>
          <w:b/>
          <w:bCs/>
          <w:color w:val="000000" w:themeColor="text1"/>
        </w:rPr>
      </w:pPr>
    </w:p>
    <w:p w14:paraId="22A877D3" w14:textId="193735E9" w:rsidR="00EF7C1E" w:rsidRPr="00EF7C1E" w:rsidRDefault="00EF7C1E" w:rsidP="00EF78D1">
      <w:pPr>
        <w:jc w:val="both"/>
        <w:rPr>
          <w:rFonts w:ascii="Arial" w:hAnsi="Arial" w:cs="Arial"/>
          <w:b/>
          <w:bCs/>
          <w:color w:val="000000" w:themeColor="text1"/>
        </w:rPr>
      </w:pPr>
      <w:r w:rsidRPr="00EF7C1E">
        <w:rPr>
          <w:rFonts w:ascii="Arial" w:hAnsi="Arial" w:cs="Arial"/>
          <w:b/>
          <w:bCs/>
          <w:color w:val="000000" w:themeColor="text1"/>
        </w:rPr>
        <w:t xml:space="preserve">Supplemental </w:t>
      </w:r>
      <w:r w:rsidR="002F1223">
        <w:rPr>
          <w:rFonts w:ascii="Arial" w:hAnsi="Arial" w:cs="Arial"/>
          <w:b/>
          <w:bCs/>
          <w:color w:val="000000" w:themeColor="text1"/>
        </w:rPr>
        <w:t>Data</w:t>
      </w:r>
      <w:r w:rsidRPr="00EF7C1E">
        <w:rPr>
          <w:rFonts w:ascii="Arial" w:hAnsi="Arial" w:cs="Arial"/>
          <w:b/>
          <w:bCs/>
          <w:color w:val="000000" w:themeColor="text1"/>
        </w:rPr>
        <w:t xml:space="preserve"> </w:t>
      </w:r>
      <w:r w:rsidR="00257FED">
        <w:rPr>
          <w:rFonts w:ascii="Arial" w:hAnsi="Arial" w:cs="Arial"/>
          <w:b/>
          <w:bCs/>
          <w:color w:val="000000" w:themeColor="text1"/>
        </w:rPr>
        <w:t>S</w:t>
      </w:r>
      <w:r w:rsidRPr="00EF7C1E">
        <w:rPr>
          <w:rFonts w:ascii="Arial" w:hAnsi="Arial" w:cs="Arial"/>
          <w:b/>
          <w:bCs/>
          <w:color w:val="000000" w:themeColor="text1"/>
        </w:rPr>
        <w:t>4. Processed TMT-MS data input and output from ECHO analysis</w:t>
      </w:r>
      <w:r>
        <w:rPr>
          <w:rFonts w:ascii="Arial" w:hAnsi="Arial" w:cs="Arial"/>
          <w:b/>
          <w:bCs/>
          <w:color w:val="000000" w:themeColor="text1"/>
        </w:rPr>
        <w:t>(“Supplemental_</w:t>
      </w:r>
      <w:r w:rsidR="002F1223">
        <w:rPr>
          <w:rFonts w:ascii="Arial" w:hAnsi="Arial" w:cs="Arial"/>
          <w:b/>
          <w:bCs/>
          <w:color w:val="000000" w:themeColor="text1"/>
        </w:rPr>
        <w:t>Data</w:t>
      </w:r>
      <w:r>
        <w:rPr>
          <w:rFonts w:ascii="Arial" w:hAnsi="Arial" w:cs="Arial"/>
          <w:b/>
          <w:bCs/>
          <w:color w:val="000000" w:themeColor="text1"/>
        </w:rPr>
        <w:t>_S4.</w:t>
      </w:r>
      <w:r w:rsidR="00450918">
        <w:rPr>
          <w:rFonts w:ascii="Arial" w:hAnsi="Arial" w:cs="Arial"/>
          <w:b/>
          <w:bCs/>
          <w:color w:val="000000" w:themeColor="text1"/>
        </w:rPr>
        <w:t>csv</w:t>
      </w:r>
      <w:r>
        <w:rPr>
          <w:rFonts w:ascii="Arial" w:hAnsi="Arial" w:cs="Arial"/>
          <w:b/>
          <w:bCs/>
          <w:color w:val="000000" w:themeColor="text1"/>
        </w:rPr>
        <w:t>”)</w:t>
      </w:r>
    </w:p>
    <w:p w14:paraId="45C0BACE" w14:textId="629F8CC6" w:rsidR="00272F99" w:rsidRPr="00EF78D1" w:rsidRDefault="00272F99" w:rsidP="00EF78D1">
      <w:pPr>
        <w:jc w:val="both"/>
        <w:rPr>
          <w:rFonts w:ascii="Arial" w:hAnsi="Arial" w:cs="Arial"/>
          <w:color w:val="000000" w:themeColor="text1"/>
        </w:rPr>
      </w:pPr>
    </w:p>
    <w:p w14:paraId="148778A3" w14:textId="1F8DA567" w:rsidR="007426DC" w:rsidRDefault="007426DC">
      <w:pPr>
        <w:rPr>
          <w:rFonts w:ascii="Arial" w:hAnsi="Arial" w:cs="Arial"/>
          <w:color w:val="000000" w:themeColor="text1"/>
        </w:rPr>
      </w:pPr>
      <w:r>
        <w:rPr>
          <w:rFonts w:ascii="Arial" w:hAnsi="Arial" w:cs="Arial"/>
          <w:color w:val="000000" w:themeColor="text1"/>
        </w:rPr>
        <w:br w:type="page"/>
      </w:r>
    </w:p>
    <w:p w14:paraId="1DE885E3" w14:textId="572A9025" w:rsidR="00C70D22" w:rsidRPr="00470708" w:rsidRDefault="00C70D22" w:rsidP="00EF78D1">
      <w:pPr>
        <w:jc w:val="both"/>
        <w:rPr>
          <w:rFonts w:ascii="Arial" w:hAnsi="Arial" w:cs="Arial"/>
          <w:b/>
          <w:bCs/>
          <w:color w:val="000000" w:themeColor="text1"/>
        </w:rPr>
      </w:pPr>
      <w:r w:rsidRPr="00470708">
        <w:rPr>
          <w:rFonts w:ascii="Arial" w:hAnsi="Arial" w:cs="Arial"/>
          <w:b/>
          <w:bCs/>
          <w:color w:val="000000" w:themeColor="text1"/>
        </w:rPr>
        <w:lastRenderedPageBreak/>
        <w:t>SUPPLEMENTA</w:t>
      </w:r>
      <w:r w:rsidR="00A975F6" w:rsidRPr="00470708">
        <w:rPr>
          <w:rFonts w:ascii="Arial" w:hAnsi="Arial" w:cs="Arial"/>
          <w:b/>
          <w:bCs/>
          <w:color w:val="000000" w:themeColor="text1"/>
        </w:rPr>
        <w:t>RY</w:t>
      </w:r>
      <w:r w:rsidRPr="00470708">
        <w:rPr>
          <w:rFonts w:ascii="Arial" w:hAnsi="Arial" w:cs="Arial"/>
          <w:b/>
          <w:bCs/>
          <w:color w:val="000000" w:themeColor="text1"/>
        </w:rPr>
        <w:t xml:space="preserve"> MATERIALS AND METHODS </w:t>
      </w:r>
    </w:p>
    <w:p w14:paraId="393CB123" w14:textId="68645AFD" w:rsidR="00FD6B67" w:rsidRPr="00EF78D1" w:rsidRDefault="00FD6B67" w:rsidP="00EF78D1">
      <w:pPr>
        <w:jc w:val="both"/>
        <w:rPr>
          <w:rFonts w:ascii="Arial" w:hAnsi="Arial" w:cs="Arial"/>
          <w:color w:val="000000" w:themeColor="text1"/>
        </w:rPr>
      </w:pPr>
    </w:p>
    <w:p w14:paraId="3941D6BB" w14:textId="77777777" w:rsidR="00EF78D1" w:rsidRPr="00EF78D1" w:rsidRDefault="00EF78D1" w:rsidP="00EF78D1">
      <w:pPr>
        <w:jc w:val="both"/>
        <w:rPr>
          <w:rFonts w:ascii="Arial" w:hAnsi="Arial" w:cs="Arial"/>
          <w:b/>
          <w:color w:val="000000" w:themeColor="text1"/>
        </w:rPr>
      </w:pPr>
      <w:r w:rsidRPr="00EF78D1">
        <w:rPr>
          <w:rFonts w:ascii="Arial" w:hAnsi="Arial" w:cs="Arial"/>
          <w:b/>
          <w:color w:val="000000" w:themeColor="text1"/>
        </w:rPr>
        <w:t>Animals</w:t>
      </w:r>
    </w:p>
    <w:p w14:paraId="2DD7905D" w14:textId="628D48A6" w:rsidR="00EF78D1" w:rsidRPr="00EF78D1" w:rsidRDefault="00EF78D1" w:rsidP="00EF78D1">
      <w:pPr>
        <w:jc w:val="both"/>
        <w:rPr>
          <w:rFonts w:ascii="Arial" w:hAnsi="Arial" w:cs="Arial"/>
          <w:color w:val="000000" w:themeColor="text1"/>
        </w:rPr>
      </w:pPr>
      <w:r w:rsidRPr="00EF78D1">
        <w:rPr>
          <w:rFonts w:ascii="Arial" w:hAnsi="Arial" w:cs="Arial"/>
          <w:color w:val="000000" w:themeColor="text1"/>
        </w:rPr>
        <w:t>PER2::LUC C5</w:t>
      </w:r>
      <w:r w:rsidR="00D44633">
        <w:rPr>
          <w:rFonts w:ascii="Arial" w:hAnsi="Arial" w:cs="Arial"/>
          <w:color w:val="000000" w:themeColor="text1"/>
        </w:rPr>
        <w:t>7</w:t>
      </w:r>
      <w:r w:rsidRPr="00EF78D1">
        <w:rPr>
          <w:rFonts w:ascii="Arial" w:hAnsi="Arial" w:cs="Arial"/>
          <w:color w:val="000000" w:themeColor="text1"/>
        </w:rPr>
        <w:t>BL/6</w:t>
      </w:r>
      <w:r w:rsidR="00D44633">
        <w:rPr>
          <w:rFonts w:ascii="Arial" w:hAnsi="Arial" w:cs="Arial"/>
          <w:color w:val="000000" w:themeColor="text1"/>
        </w:rPr>
        <w:t>J</w:t>
      </w:r>
      <w:r w:rsidRPr="00EF78D1">
        <w:rPr>
          <w:rFonts w:ascii="Arial" w:hAnsi="Arial" w:cs="Arial"/>
          <w:color w:val="000000" w:themeColor="text1"/>
        </w:rPr>
        <w:t xml:space="preserve"> mice were acquired from Jackson Labs (Accession # 006852) and housed under 12:12 LD conditions with ad libitum access to standard rodent chow. Male mice between the ages of 3-6 months were used for all omics and phagocytosis experiments and were euthanized for tissue collection via CO</w:t>
      </w:r>
      <w:r w:rsidRPr="00EF78D1">
        <w:rPr>
          <w:rFonts w:ascii="Arial" w:hAnsi="Arial" w:cs="Arial"/>
          <w:color w:val="000000" w:themeColor="text1"/>
          <w:vertAlign w:val="subscript"/>
        </w:rPr>
        <w:t>2</w:t>
      </w:r>
      <w:r w:rsidRPr="00EF78D1">
        <w:rPr>
          <w:rFonts w:ascii="Arial" w:hAnsi="Arial" w:cs="Arial"/>
          <w:color w:val="000000" w:themeColor="text1"/>
        </w:rPr>
        <w:t xml:space="preserve"> inhalation/cervical dislocation.</w:t>
      </w:r>
    </w:p>
    <w:p w14:paraId="41C9FDC0" w14:textId="77777777" w:rsidR="00EF78D1" w:rsidRPr="00EF78D1" w:rsidRDefault="00EF78D1" w:rsidP="00EF78D1">
      <w:pPr>
        <w:jc w:val="both"/>
        <w:rPr>
          <w:rFonts w:ascii="Arial" w:hAnsi="Arial" w:cs="Arial"/>
          <w:color w:val="000000" w:themeColor="text1"/>
        </w:rPr>
      </w:pPr>
    </w:p>
    <w:p w14:paraId="7D1890E7" w14:textId="77777777" w:rsidR="00EF78D1" w:rsidRPr="00EF78D1" w:rsidRDefault="00EF78D1" w:rsidP="00EF78D1">
      <w:pPr>
        <w:jc w:val="both"/>
        <w:rPr>
          <w:rFonts w:ascii="Arial" w:hAnsi="Arial" w:cs="Arial"/>
          <w:b/>
          <w:color w:val="000000" w:themeColor="text1"/>
        </w:rPr>
      </w:pPr>
      <w:r w:rsidRPr="00EF78D1">
        <w:rPr>
          <w:rFonts w:ascii="Arial" w:hAnsi="Arial" w:cs="Arial"/>
          <w:b/>
          <w:color w:val="000000" w:themeColor="text1"/>
        </w:rPr>
        <w:t>Time Course Cell Synchronization</w:t>
      </w:r>
    </w:p>
    <w:p w14:paraId="327BEC2C" w14:textId="5225416F" w:rsidR="00EF78D1" w:rsidRPr="00EF78D1" w:rsidRDefault="00EF78D1" w:rsidP="00EF78D1">
      <w:pPr>
        <w:jc w:val="both"/>
        <w:rPr>
          <w:rFonts w:ascii="Arial" w:hAnsi="Arial" w:cs="Arial"/>
          <w:color w:val="000000" w:themeColor="text1"/>
        </w:rPr>
      </w:pPr>
      <w:r w:rsidRPr="00EF78D1">
        <w:rPr>
          <w:rFonts w:ascii="Arial" w:hAnsi="Arial" w:cs="Arial"/>
          <w:color w:val="000000" w:themeColor="text1"/>
        </w:rPr>
        <w:t xml:space="preserve">For each time course, bone marrow was harvested from femurs and tibias of 1 mouse with needle and syringe and red blood cells were lysed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{"citationItems":[{"id":"ITEM-1","itemData":{"DOI":"https://doi.org/10.1002/0471142735.im1401s83","ISBN":"0471142735","ISSN":"1934-3671","abstract":"Macrophages are mononuclear phagocytes that are widely distributed throughout the body. These cells can contribute to development and homeostasis and participate in innate and adaptive immune responses. The physiology of macrophages can vary tremendously depending on the environment in which they reside and the local stimuli to which they are exposed. Macrophages are prodigious secretory cells, and in that role can promote and regulate immune responses and contribute to autoimmune pathologies. Macrophages are highly phagocytic, and in this capacity have long been considered to be essential immune effector cells. The important roles of macrophages in maintaining homeostasis and in contributing to tissue remodeling and wound healing is sometimes overlooked because of their vital role in host defense","author":[{"dropping-particle":"","family":"Zhang","given":"Xia","non-dropping-particle":"","parse-names":false,"suffix":""},{"dropping-particle":"","family":"Goncalves","given":"Ricardo","non-dropping-particle":"","parse-names":false,"suffix":""},{"dropping-particle":"","family":"Mosser","given":"David M","non-dropping-particle":"","parse-names":false,"suffix":""}],"container-title":"Current protocols in immunology","id":"ITEM-1","issue":"1","issued":{"date-parts":[["2008"]]},"note":"Flow cyt and culture protocol","page":"14.1.1-14.1.14","title":"The Isolation and Characterization of Murine Macrophages","type":"article-journal","volume":"83"},"uris":["http://www.mendeley.com/documents/?uuid=461e96f5-61a1-4ab7-9a0d-0598aa3f1a45"]}],"mendeley":{"formattedCitation":"(Zhang, Goncalves and Mosser, 2008)","plainTextFormattedCitation":"(Zhang, Goncalves and Mosser, 2008)","previouslyFormattedCitation":"(Zhang, Goncalves and Mosser, 2008)"},"properties":{"noteIndex":0},"schema":"https://github.com/citation-style-language/schema/raw/master/csl-citation.json"}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(Zhang, Goncalves and Mosser, 2008)</w:t>
      </w:r>
      <w:r w:rsidRPr="00EF78D1">
        <w:rPr>
          <w:rFonts w:ascii="Arial" w:hAnsi="Arial" w:cs="Arial"/>
          <w:color w:val="000000" w:themeColor="text1"/>
        </w:rPr>
        <w:fldChar w:fldCharType="end"/>
      </w:r>
      <w:r w:rsidRPr="00EF78D1">
        <w:rPr>
          <w:rFonts w:ascii="Arial" w:hAnsi="Arial" w:cs="Arial"/>
          <w:color w:val="000000" w:themeColor="text1"/>
        </w:rPr>
        <w:t>. Cells were then plated at a density of 1*10</w:t>
      </w:r>
      <w:r w:rsidRPr="00EF78D1">
        <w:rPr>
          <w:rFonts w:ascii="Arial" w:hAnsi="Arial" w:cs="Arial"/>
          <w:color w:val="000000" w:themeColor="text1"/>
          <w:vertAlign w:val="superscript"/>
        </w:rPr>
        <w:t>6</w:t>
      </w:r>
      <w:r w:rsidRPr="00EF78D1">
        <w:rPr>
          <w:rFonts w:ascii="Arial" w:hAnsi="Arial" w:cs="Arial"/>
          <w:color w:val="000000" w:themeColor="text1"/>
        </w:rPr>
        <w:t xml:space="preserve"> in DMEM supplemented with recombinant M-CSF</w:t>
      </w:r>
      <w:r w:rsidR="00C37C23">
        <w:rPr>
          <w:rFonts w:ascii="Arial" w:hAnsi="Arial" w:cs="Arial"/>
          <w:color w:val="000000" w:themeColor="text1"/>
        </w:rPr>
        <w:t xml:space="preserve"> (0.1 µg/ml)</w:t>
      </w:r>
      <w:r w:rsidRPr="00EF78D1">
        <w:rPr>
          <w:rFonts w:ascii="Arial" w:hAnsi="Arial" w:cs="Arial"/>
          <w:color w:val="000000" w:themeColor="text1"/>
        </w:rPr>
        <w:t>, 10% Fetal Bovine Serum (FBS), L-glutamine, penicillin/</w:t>
      </w:r>
      <w:proofErr w:type="spellStart"/>
      <w:r w:rsidRPr="00EF78D1">
        <w:rPr>
          <w:rFonts w:ascii="Arial" w:hAnsi="Arial" w:cs="Arial"/>
          <w:color w:val="000000" w:themeColor="text1"/>
        </w:rPr>
        <w:t>streptomicin</w:t>
      </w:r>
      <w:proofErr w:type="spellEnd"/>
      <w:r w:rsidRPr="00EF78D1">
        <w:rPr>
          <w:rFonts w:ascii="Arial" w:hAnsi="Arial" w:cs="Arial"/>
          <w:color w:val="000000" w:themeColor="text1"/>
        </w:rPr>
        <w:t>, and gentamicin. After 3 days incubation at 37</w:t>
      </w:r>
      <w:r w:rsidRPr="00EF78D1">
        <w:rPr>
          <w:rFonts w:ascii="Arial" w:hAnsi="Arial" w:cs="Arial"/>
          <w:color w:val="000000" w:themeColor="text1"/>
        </w:rPr>
        <w:sym w:font="Symbol" w:char="F0B0"/>
      </w:r>
      <w:r w:rsidRPr="00EF78D1">
        <w:rPr>
          <w:rFonts w:ascii="Arial" w:hAnsi="Arial" w:cs="Arial"/>
          <w:color w:val="000000" w:themeColor="text1"/>
        </w:rPr>
        <w:t>C in 5% CO</w:t>
      </w:r>
      <w:r w:rsidRPr="00EF78D1">
        <w:rPr>
          <w:rFonts w:ascii="Arial" w:hAnsi="Arial" w:cs="Arial"/>
          <w:color w:val="000000" w:themeColor="text1"/>
          <w:vertAlign w:val="subscript"/>
        </w:rPr>
        <w:t>2</w:t>
      </w:r>
      <w:r w:rsidRPr="00EF78D1">
        <w:rPr>
          <w:rFonts w:ascii="Arial" w:hAnsi="Arial" w:cs="Arial"/>
          <w:color w:val="000000" w:themeColor="text1"/>
        </w:rPr>
        <w:t xml:space="preserve">, additional fresh media was added and incubated another 3 days. </w:t>
      </w:r>
      <w:r w:rsidR="005332FE">
        <w:rPr>
          <w:rFonts w:ascii="Arial" w:hAnsi="Arial" w:cs="Arial"/>
          <w:color w:val="000000" w:themeColor="text1"/>
        </w:rPr>
        <w:t>For 4 12-hour staggered groups, n</w:t>
      </w:r>
      <w:r w:rsidRPr="00EF78D1">
        <w:rPr>
          <w:rFonts w:ascii="Arial" w:hAnsi="Arial" w:cs="Arial"/>
          <w:color w:val="000000" w:themeColor="text1"/>
        </w:rPr>
        <w:t>on-adherent cells were then washed off with warmed PBS and media replaced with Leibovitz supplemented with MCSF and 10% FBS for 24 hours. Plates were again washed with warmed PBS and cells starved for 24 hours in Leibovitz with MCSF</w:t>
      </w:r>
      <w:r w:rsidR="00B535AC">
        <w:rPr>
          <w:rFonts w:ascii="Arial" w:hAnsi="Arial" w:cs="Arial"/>
          <w:color w:val="000000" w:themeColor="text1"/>
        </w:rPr>
        <w:t xml:space="preserve"> (</w:t>
      </w:r>
      <w:proofErr w:type="spellStart"/>
      <w:r w:rsidR="00B535AC">
        <w:rPr>
          <w:rFonts w:ascii="Arial" w:hAnsi="Arial" w:cs="Arial"/>
          <w:color w:val="000000" w:themeColor="text1"/>
        </w:rPr>
        <w:t>Prospec</w:t>
      </w:r>
      <w:proofErr w:type="spellEnd"/>
      <w:r w:rsidR="00B535AC">
        <w:rPr>
          <w:rFonts w:ascii="Arial" w:hAnsi="Arial" w:cs="Arial"/>
          <w:color w:val="000000" w:themeColor="text1"/>
        </w:rPr>
        <w:t xml:space="preserve"> CYT-439)</w:t>
      </w:r>
      <w:r w:rsidRPr="00EF78D1">
        <w:rPr>
          <w:rFonts w:ascii="Arial" w:hAnsi="Arial" w:cs="Arial"/>
          <w:color w:val="000000" w:themeColor="text1"/>
        </w:rPr>
        <w:t xml:space="preserve">. Cells were then serum shocked for 2 hours in </w:t>
      </w:r>
      <w:proofErr w:type="spellStart"/>
      <w:r w:rsidRPr="00EF78D1">
        <w:rPr>
          <w:rFonts w:ascii="Arial" w:hAnsi="Arial" w:cs="Arial"/>
          <w:color w:val="000000" w:themeColor="text1"/>
        </w:rPr>
        <w:t>Liebovitz</w:t>
      </w:r>
      <w:proofErr w:type="spellEnd"/>
      <w:r w:rsidRPr="00EF78D1">
        <w:rPr>
          <w:rFonts w:ascii="Arial" w:hAnsi="Arial" w:cs="Arial"/>
          <w:color w:val="000000" w:themeColor="text1"/>
        </w:rPr>
        <w:t xml:space="preserve"> with </w:t>
      </w:r>
      <w:r w:rsidR="00B535AC">
        <w:rPr>
          <w:rFonts w:ascii="Arial" w:hAnsi="Arial" w:cs="Arial"/>
          <w:color w:val="000000" w:themeColor="text1"/>
        </w:rPr>
        <w:t>5</w:t>
      </w:r>
      <w:r w:rsidRPr="00EF78D1">
        <w:rPr>
          <w:rFonts w:ascii="Arial" w:hAnsi="Arial" w:cs="Arial"/>
          <w:color w:val="000000" w:themeColor="text1"/>
        </w:rPr>
        <w:t xml:space="preserve">0% FBS and MCSF and then washed with PBS and assayed in </w:t>
      </w:r>
      <w:proofErr w:type="spellStart"/>
      <w:r w:rsidRPr="00EF78D1">
        <w:rPr>
          <w:rFonts w:ascii="Arial" w:hAnsi="Arial" w:cs="Arial"/>
          <w:color w:val="000000" w:themeColor="text1"/>
        </w:rPr>
        <w:t>Liebovitz</w:t>
      </w:r>
      <w:proofErr w:type="spellEnd"/>
      <w:r w:rsidRPr="00EF78D1">
        <w:rPr>
          <w:rFonts w:ascii="Arial" w:hAnsi="Arial" w:cs="Arial"/>
          <w:color w:val="000000" w:themeColor="text1"/>
        </w:rPr>
        <w:t xml:space="preserve"> with 10% FBS, MCSF</w:t>
      </w:r>
      <w:r w:rsidR="00AB3953">
        <w:rPr>
          <w:rFonts w:ascii="Arial" w:hAnsi="Arial" w:cs="Arial"/>
          <w:color w:val="000000" w:themeColor="text1"/>
        </w:rPr>
        <w:t>,</w:t>
      </w:r>
      <w:r w:rsidRPr="00EF78D1">
        <w:rPr>
          <w:rFonts w:ascii="Arial" w:hAnsi="Arial" w:cs="Arial"/>
          <w:color w:val="000000" w:themeColor="text1"/>
        </w:rPr>
        <w:t xml:space="preserve"> and Luciferin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{"citationItems":[{"id":"ITEM-1","itemData":{"DOI":"10.1016/S0092-8674(00)81199-X","ISBN":"0092-8674 (Print)","ISSN":"00928674","PMID":"9635423","abstract":"The treatment of cultured rat-1 fibroblasts or H35 hepatoma cells with high concentrations of serum induces the circadian expression of various genes whose transcription also oscillates in living animals. Oscillating genes include rper1 and rper2 (rat homologs of the Drosophila clock gene period), and the genes encoding the transcription factors Rev-Erbα, DBP, and TEF. In rat-1 fibroblasts, up to three consecutive daily oscillations with an average period length of 22.5 hr could be recorded. The temporal sequence of the various mRNA accumulation cycles is the same in cultured cells and in vivo. The serum shock of rat-1 fibroblasts also results in a transient stimulation of c-fos and rper expression and thus mimics light-induced immediate-early gene expression in the suprachiasmatic nucleus.","author":[{"dropping-particle":"","family":"Balsalobre","given":"Aurélio","non-dropping-particle":"","parse-names":false,"suffix":""},{"dropping-particle":"","family":"Damiola","given":"Francesca","non-dropping-particle":"","parse-names":false,"suffix":""},{"dropping-particle":"","family":"Schibler","given":"Ueli","non-dropping-particle":"","parse-names":false,"suffix":""}],"container-title":"Cell","id":"ITEM-1","issue":"6","issued":{"date-parts":[["1998"]]},"page":"929-937","title":"A serum shock induces circadian gene expression in mammalian tissue culture cells","type":"article-journal","volume":"93"},"uris":["http://www.mendeley.com/documents/?uuid=27f7dcee-c971-4e0f-9c79-a8748a7364c8"]}],"mendeley":{"formattedCitation":"(Balsalobre, Damiola and Schibler, 1998)","plainTextFormattedCitation":"(Balsalobre, Damiola and Schibler, 1998)","previouslyFormattedCitation":"(Balsalobre, Damiola and Schibler, 1998)"},"properties":{"noteIndex":0},"schema":"https://github.com/citation-style-language/schema/raw/master/csl-citation.json"}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(Balsalobre, Damiola and Schibler, 1998)</w:t>
      </w:r>
      <w:r w:rsidRPr="00EF78D1">
        <w:rPr>
          <w:rFonts w:ascii="Arial" w:hAnsi="Arial" w:cs="Arial"/>
          <w:color w:val="000000" w:themeColor="text1"/>
        </w:rPr>
        <w:fldChar w:fldCharType="end"/>
      </w:r>
      <w:r w:rsidRPr="00EF78D1">
        <w:rPr>
          <w:rFonts w:ascii="Arial" w:hAnsi="Arial" w:cs="Arial"/>
          <w:color w:val="000000" w:themeColor="text1"/>
        </w:rPr>
        <w:t>. Plates were sealed with grease and glass cover slips. Luminescence over time was recorded using a LumiCycle32 luminometer (</w:t>
      </w:r>
      <w:proofErr w:type="spellStart"/>
      <w:r w:rsidRPr="00EF78D1">
        <w:rPr>
          <w:rFonts w:ascii="Arial" w:hAnsi="Arial" w:cs="Arial"/>
          <w:color w:val="000000" w:themeColor="text1"/>
        </w:rPr>
        <w:t>Actimetrics</w:t>
      </w:r>
      <w:proofErr w:type="spellEnd"/>
      <w:r w:rsidRPr="00EF78D1">
        <w:rPr>
          <w:rFonts w:ascii="Arial" w:hAnsi="Arial" w:cs="Arial"/>
          <w:color w:val="000000" w:themeColor="text1"/>
        </w:rPr>
        <w:t>) to confirm synchronization of circadian rhythmicity.</w:t>
      </w:r>
    </w:p>
    <w:p w14:paraId="5720305F" w14:textId="77777777" w:rsidR="00EF78D1" w:rsidRPr="00EF78D1" w:rsidRDefault="00EF78D1" w:rsidP="00EF78D1">
      <w:pPr>
        <w:jc w:val="both"/>
        <w:rPr>
          <w:rFonts w:ascii="Arial" w:hAnsi="Arial" w:cs="Arial"/>
          <w:color w:val="000000" w:themeColor="text1"/>
        </w:rPr>
      </w:pPr>
    </w:p>
    <w:p w14:paraId="08EC84EE" w14:textId="77777777" w:rsidR="00EF78D1" w:rsidRPr="00EF78D1" w:rsidRDefault="00EF78D1" w:rsidP="00EF78D1">
      <w:pPr>
        <w:jc w:val="both"/>
        <w:rPr>
          <w:rFonts w:ascii="Arial" w:hAnsi="Arial" w:cs="Arial"/>
          <w:b/>
          <w:color w:val="000000" w:themeColor="text1"/>
        </w:rPr>
      </w:pPr>
      <w:r w:rsidRPr="00EF78D1">
        <w:rPr>
          <w:rFonts w:ascii="Arial" w:hAnsi="Arial" w:cs="Arial"/>
          <w:b/>
          <w:color w:val="000000" w:themeColor="text1"/>
        </w:rPr>
        <w:t>Flow Cytometry</w:t>
      </w:r>
    </w:p>
    <w:p w14:paraId="74B45ED2" w14:textId="1CC7BA04" w:rsidR="00EF78D1" w:rsidRDefault="00EF78D1" w:rsidP="00EF78D1">
      <w:pPr>
        <w:jc w:val="both"/>
        <w:rPr>
          <w:rFonts w:ascii="Arial" w:hAnsi="Arial" w:cs="Arial"/>
          <w:color w:val="000000" w:themeColor="text1"/>
        </w:rPr>
      </w:pPr>
      <w:r w:rsidRPr="00EF78D1">
        <w:rPr>
          <w:rFonts w:ascii="Arial" w:hAnsi="Arial" w:cs="Arial"/>
          <w:color w:val="000000" w:themeColor="text1"/>
        </w:rPr>
        <w:t xml:space="preserve">To confirm uniform differentiation of bone marrow cells into macrophages, cells were probed for macrophage-specific markers </w:t>
      </w:r>
      <w:r w:rsidR="00AE1CDB">
        <w:rPr>
          <w:rFonts w:ascii="Arial" w:hAnsi="Arial" w:cs="Arial"/>
          <w:color w:val="000000" w:themeColor="text1"/>
        </w:rPr>
        <w:t>ITGAM (</w:t>
      </w:r>
      <w:r w:rsidRPr="00EF78D1">
        <w:rPr>
          <w:rFonts w:ascii="Arial" w:hAnsi="Arial" w:cs="Arial"/>
          <w:color w:val="000000" w:themeColor="text1"/>
        </w:rPr>
        <w:t>CD11b</w:t>
      </w:r>
      <w:r w:rsidR="00AE1CDB">
        <w:rPr>
          <w:rFonts w:ascii="Arial" w:hAnsi="Arial" w:cs="Arial"/>
          <w:color w:val="000000" w:themeColor="text1"/>
        </w:rPr>
        <w:t>)</w:t>
      </w:r>
      <w:r w:rsidRPr="00EF78D1">
        <w:rPr>
          <w:rFonts w:ascii="Arial" w:hAnsi="Arial" w:cs="Arial"/>
          <w:color w:val="000000" w:themeColor="text1"/>
        </w:rPr>
        <w:t xml:space="preserve"> and </w:t>
      </w:r>
      <w:r w:rsidR="00AE1CDB">
        <w:rPr>
          <w:rFonts w:ascii="Arial" w:hAnsi="Arial" w:cs="Arial"/>
          <w:color w:val="000000" w:themeColor="text1"/>
        </w:rPr>
        <w:t>ADGRE1</w:t>
      </w:r>
      <w:r w:rsidR="00AE1CDB" w:rsidRPr="00C17996">
        <w:rPr>
          <w:rFonts w:ascii="Arial" w:hAnsi="Arial" w:cs="Arial"/>
          <w:color w:val="000000" w:themeColor="text1"/>
        </w:rPr>
        <w:t xml:space="preserve"> </w:t>
      </w:r>
      <w:r w:rsidR="00AE1CDB">
        <w:rPr>
          <w:rFonts w:ascii="Arial" w:hAnsi="Arial" w:cs="Arial"/>
          <w:color w:val="000000" w:themeColor="text1"/>
        </w:rPr>
        <w:t>(</w:t>
      </w:r>
      <w:r w:rsidRPr="00EF78D1">
        <w:rPr>
          <w:rFonts w:ascii="Arial" w:hAnsi="Arial" w:cs="Arial"/>
          <w:color w:val="000000" w:themeColor="text1"/>
        </w:rPr>
        <w:t>F4/80</w:t>
      </w:r>
      <w:r w:rsidR="00AE1CDB">
        <w:rPr>
          <w:rFonts w:ascii="Arial" w:hAnsi="Arial" w:cs="Arial"/>
          <w:color w:val="000000" w:themeColor="text1"/>
        </w:rPr>
        <w:t>)</w:t>
      </w:r>
      <w:r w:rsidRPr="00EF78D1">
        <w:rPr>
          <w:rFonts w:ascii="Arial" w:hAnsi="Arial" w:cs="Arial"/>
          <w:color w:val="000000" w:themeColor="text1"/>
        </w:rPr>
        <w:t xml:space="preserve"> both after 6 days of DMEM incubation as well as at the completion of each time course. Cells were lifted off the plate with Cell Stripper, washed with PBS, and incubated with Fc-receptor blocking antibodies to prevent non-specific binding and Zombie Violet to determine proportions of viable and dead cells. Heat killed cells were included as a Zombie Violet positive control. Cells were then incubated with anti-CD11b(AF488) and anti-F4/80(</w:t>
      </w:r>
      <w:proofErr w:type="spellStart"/>
      <w:r w:rsidRPr="00EF78D1">
        <w:rPr>
          <w:rFonts w:ascii="Arial" w:hAnsi="Arial" w:cs="Arial"/>
          <w:color w:val="000000" w:themeColor="text1"/>
        </w:rPr>
        <w:t>PerCP</w:t>
      </w:r>
      <w:proofErr w:type="spellEnd"/>
      <w:r w:rsidRPr="00EF78D1">
        <w:rPr>
          <w:rFonts w:ascii="Arial" w:hAnsi="Arial" w:cs="Arial"/>
          <w:color w:val="000000" w:themeColor="text1"/>
        </w:rPr>
        <w:t>/Cy5.5) fluorescently conjugated antibodies (Invitrogen) and assayed with a BD LSRII flow cytometer.</w:t>
      </w:r>
    </w:p>
    <w:p w14:paraId="2DD79B5A" w14:textId="77777777" w:rsidR="00EF78D1" w:rsidRPr="00EF78D1" w:rsidRDefault="00EF78D1" w:rsidP="00EF78D1">
      <w:pPr>
        <w:jc w:val="both"/>
        <w:rPr>
          <w:rFonts w:ascii="Arial" w:hAnsi="Arial" w:cs="Arial"/>
          <w:color w:val="000000" w:themeColor="text1"/>
        </w:rPr>
      </w:pPr>
    </w:p>
    <w:p w14:paraId="39CBCCC9" w14:textId="77777777" w:rsidR="00FD6B67" w:rsidRPr="00EF78D1" w:rsidRDefault="00FD6B67" w:rsidP="00EF78D1">
      <w:pPr>
        <w:jc w:val="both"/>
        <w:rPr>
          <w:rFonts w:ascii="Arial" w:hAnsi="Arial" w:cs="Arial"/>
          <w:b/>
          <w:color w:val="000000" w:themeColor="text1"/>
        </w:rPr>
      </w:pPr>
      <w:r w:rsidRPr="00EF78D1">
        <w:rPr>
          <w:rFonts w:ascii="Arial" w:hAnsi="Arial" w:cs="Arial"/>
          <w:b/>
          <w:color w:val="000000" w:themeColor="text1"/>
        </w:rPr>
        <w:t>Proteomics</w:t>
      </w:r>
    </w:p>
    <w:p w14:paraId="5A7BFAC8" w14:textId="7E724DD2"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 xml:space="preserve">Every 2 hours over 48 hours starting at 16 hours post serum shock, protein was extracted to determine global proteome changes over 2 circadian cycles. Triplicate independent time courses were completed for a total of 72 samples. At each time point, cells were lysed with 8M Urea buffer (8.5 pH) and lysate was flash frozen in liquid nitrogen. Multiplex proteomics was performed by Harvard’s Thermo Fisher Center for Multiplexed Proteomics using Tandem Mass Tag Mass Spectrometry (Supplemental Table 2). </w:t>
      </w:r>
      <w:r w:rsidRPr="00EF78D1">
        <w:rPr>
          <w:rFonts w:ascii="Arial" w:eastAsiaTheme="minorEastAsia" w:hAnsi="Arial" w:cs="Arial"/>
          <w:color w:val="000000" w:themeColor="text1"/>
          <w:kern w:val="24"/>
          <w:sz w:val="32"/>
          <w:szCs w:val="32"/>
        </w:rPr>
        <w:t xml:space="preserve"> </w:t>
      </w:r>
      <w:r w:rsidRPr="00EF78D1">
        <w:rPr>
          <w:rFonts w:ascii="Arial" w:hAnsi="Arial" w:cs="Arial"/>
          <w:color w:val="000000" w:themeColor="text1"/>
        </w:rPr>
        <w:t xml:space="preserve">Protein Quantification was performed using the micro-BCA assay by Pierce and after quantification samples were reduced with DTT, alkylated, and an ~200µg aliquot was precipitated by Methanol Chloroform. Proteins were resuspended in 6M urea and digested overnight with </w:t>
      </w:r>
      <w:proofErr w:type="spellStart"/>
      <w:r w:rsidRPr="00EF78D1">
        <w:rPr>
          <w:rFonts w:ascii="Arial" w:hAnsi="Arial" w:cs="Arial"/>
          <w:color w:val="000000" w:themeColor="text1"/>
        </w:rPr>
        <w:t>LysC</w:t>
      </w:r>
      <w:proofErr w:type="spellEnd"/>
      <w:r w:rsidRPr="00EF78D1">
        <w:rPr>
          <w:rFonts w:ascii="Arial" w:hAnsi="Arial" w:cs="Arial"/>
          <w:color w:val="000000" w:themeColor="text1"/>
        </w:rPr>
        <w:t xml:space="preserve"> (1:50 </w:t>
      </w:r>
      <w:proofErr w:type="spellStart"/>
      <w:r w:rsidRPr="00EF78D1">
        <w:rPr>
          <w:rFonts w:ascii="Arial" w:hAnsi="Arial" w:cs="Arial"/>
          <w:color w:val="000000" w:themeColor="text1"/>
        </w:rPr>
        <w:t>protease:protein</w:t>
      </w:r>
      <w:proofErr w:type="spellEnd"/>
      <w:r w:rsidRPr="00EF78D1">
        <w:rPr>
          <w:rFonts w:ascii="Arial" w:hAnsi="Arial" w:cs="Arial"/>
          <w:color w:val="000000" w:themeColor="text1"/>
        </w:rPr>
        <w:t xml:space="preserve"> ratio) and Trypsin (1:100 </w:t>
      </w:r>
      <w:proofErr w:type="spellStart"/>
      <w:r w:rsidRPr="00EF78D1">
        <w:rPr>
          <w:rFonts w:ascii="Arial" w:hAnsi="Arial" w:cs="Arial"/>
          <w:color w:val="000000" w:themeColor="text1"/>
        </w:rPr>
        <w:t>protease:protein</w:t>
      </w:r>
      <w:proofErr w:type="spellEnd"/>
      <w:r w:rsidRPr="00EF78D1">
        <w:rPr>
          <w:rFonts w:ascii="Arial" w:hAnsi="Arial" w:cs="Arial"/>
          <w:color w:val="000000" w:themeColor="text1"/>
        </w:rPr>
        <w:t xml:space="preserve"> ratio). 8 total multiplexes were run with each containing 50 ug each of protein from 9 randomized time point samples and one common pooled sample between all multiplexes</w:t>
      </w:r>
      <w:r w:rsidR="008E4FB0" w:rsidRPr="00EF78D1">
        <w:rPr>
          <w:rFonts w:ascii="Arial" w:hAnsi="Arial" w:cs="Arial"/>
          <w:color w:val="000000" w:themeColor="text1"/>
        </w:rPr>
        <w:t xml:space="preserve"> to prevent and account for batch effects</w:t>
      </w:r>
      <w:r w:rsidRPr="00EF78D1">
        <w:rPr>
          <w:rFonts w:ascii="Arial" w:hAnsi="Arial" w:cs="Arial"/>
          <w:color w:val="000000" w:themeColor="text1"/>
        </w:rPr>
        <w:t xml:space="preserve">. One complete set of 12 fractions from the total proteome Basic pH reverse phase fractionation from all experiments was analyzed on an Orbitrap Lumos mass spectrometer. Peptides were identified by their MS2 spectra and mapped to corresponding proteins using the SEQUEST algorithm with </w:t>
      </w:r>
      <w:proofErr w:type="spellStart"/>
      <w:r w:rsidRPr="00EF78D1">
        <w:rPr>
          <w:rFonts w:ascii="Arial" w:hAnsi="Arial" w:cs="Arial"/>
          <w:color w:val="000000" w:themeColor="text1"/>
        </w:rPr>
        <w:t>UniProt</w:t>
      </w:r>
      <w:proofErr w:type="spellEnd"/>
      <w:r w:rsidRPr="00EF78D1">
        <w:rPr>
          <w:rFonts w:ascii="Arial" w:hAnsi="Arial" w:cs="Arial"/>
          <w:color w:val="000000" w:themeColor="text1"/>
        </w:rPr>
        <w:t xml:space="preserve"> reference </w:t>
      </w:r>
      <w:r w:rsidRPr="00EF78D1">
        <w:rPr>
          <w:rFonts w:ascii="Arial" w:hAnsi="Arial" w:cs="Arial"/>
          <w:i/>
          <w:color w:val="000000" w:themeColor="text1"/>
        </w:rPr>
        <w:t>Mus musculus</w:t>
      </w:r>
      <w:r w:rsidRPr="00EF78D1">
        <w:rPr>
          <w:rFonts w:ascii="Arial" w:hAnsi="Arial" w:cs="Arial"/>
          <w:color w:val="000000" w:themeColor="text1"/>
        </w:rPr>
        <w:t xml:space="preserve"> proteome UP000000589. </w:t>
      </w:r>
      <w:r w:rsidRPr="00EF78D1">
        <w:rPr>
          <w:rFonts w:ascii="Arial" w:hAnsi="Arial" w:cs="Arial"/>
          <w:color w:val="000000" w:themeColor="text1"/>
          <w:lang w:val="en-GB"/>
        </w:rPr>
        <w:t>Peptide spectral matches were filtered to a 1% false discovery rate and proteins were quantified only from peptides with a summed SN threshold of &gt;=200 and MS2 isolation specificity of 0.5.</w:t>
      </w:r>
    </w:p>
    <w:p w14:paraId="6150BA99" w14:textId="180F21FC" w:rsidR="00FD6B67" w:rsidRDefault="00FD6B67" w:rsidP="00EF78D1">
      <w:pPr>
        <w:jc w:val="both"/>
        <w:rPr>
          <w:rFonts w:ascii="Arial" w:eastAsia="Times New Roman" w:hAnsi="Arial" w:cs="Arial"/>
          <w:color w:val="000000" w:themeColor="text1"/>
        </w:rPr>
      </w:pPr>
    </w:p>
    <w:p w14:paraId="1797718E" w14:textId="27EC001F" w:rsidR="00A9745C" w:rsidRDefault="00A9745C" w:rsidP="00EF78D1">
      <w:pPr>
        <w:jc w:val="both"/>
        <w:rPr>
          <w:rFonts w:ascii="Arial" w:eastAsia="Times New Roman" w:hAnsi="Arial" w:cs="Arial"/>
          <w:color w:val="000000" w:themeColor="text1"/>
        </w:rPr>
      </w:pPr>
    </w:p>
    <w:p w14:paraId="23CD6D32" w14:textId="77777777" w:rsidR="00A9745C" w:rsidRPr="00EF78D1" w:rsidRDefault="00A9745C" w:rsidP="00EF78D1">
      <w:pPr>
        <w:jc w:val="both"/>
        <w:rPr>
          <w:rFonts w:ascii="Arial" w:eastAsia="Times New Roman" w:hAnsi="Arial" w:cs="Arial"/>
          <w:color w:val="000000" w:themeColor="text1"/>
        </w:rPr>
      </w:pPr>
    </w:p>
    <w:p w14:paraId="711367A8" w14:textId="77777777" w:rsidR="00FD6B67" w:rsidRPr="00EF78D1" w:rsidRDefault="00FD6B67" w:rsidP="00EF78D1">
      <w:pPr>
        <w:jc w:val="both"/>
        <w:rPr>
          <w:rFonts w:ascii="Arial" w:hAnsi="Arial" w:cs="Arial"/>
          <w:b/>
          <w:color w:val="000000" w:themeColor="text1"/>
        </w:rPr>
      </w:pPr>
      <w:r w:rsidRPr="00EF78D1">
        <w:rPr>
          <w:rFonts w:ascii="Arial" w:hAnsi="Arial" w:cs="Arial"/>
          <w:b/>
          <w:color w:val="000000" w:themeColor="text1"/>
        </w:rPr>
        <w:t>RNA-seq</w:t>
      </w:r>
    </w:p>
    <w:p w14:paraId="12E115E6" w14:textId="451E1C6F"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 xml:space="preserve">Every 2 hours over 48 hours starting at 16 hours post serum shock, RNA was extracted to determine global transcriptome changes over 2 circadian cycles. Triplicate independent time courses were completed for a total of 72 samples. At each time point, cells were lysed with Qiagen’s Buffer RLT and lysate was homogenized with </w:t>
      </w:r>
      <w:proofErr w:type="spellStart"/>
      <w:r w:rsidRPr="00EF78D1">
        <w:rPr>
          <w:rFonts w:ascii="Arial" w:hAnsi="Arial" w:cs="Arial"/>
          <w:color w:val="000000" w:themeColor="text1"/>
        </w:rPr>
        <w:t>Qiashredder</w:t>
      </w:r>
      <w:proofErr w:type="spellEnd"/>
      <w:r w:rsidRPr="00EF78D1">
        <w:rPr>
          <w:rFonts w:ascii="Arial" w:hAnsi="Arial" w:cs="Arial"/>
          <w:color w:val="000000" w:themeColor="text1"/>
        </w:rPr>
        <w:t xml:space="preserve"> columns and flash frozen in liquid nitrogen. All samples were then processed on the same day with Qiagen’s RNeasy kit with on-column DNase digestion. rRNA depletion and RNA-seq was completed by Genewiz on an Illumina HiSeq configured with 2</w:t>
      </w:r>
      <w:r w:rsidRPr="004921E5">
        <w:rPr>
          <w:rFonts w:ascii="Arial" w:hAnsi="Arial" w:cs="Arial"/>
          <w:color w:val="000000" w:themeColor="text1"/>
        </w:rPr>
        <w:t>×</w:t>
      </w:r>
      <w:r w:rsidRPr="00EF78D1">
        <w:rPr>
          <w:rFonts w:ascii="Arial" w:hAnsi="Arial" w:cs="Arial"/>
          <w:color w:val="000000" w:themeColor="text1"/>
        </w:rPr>
        <w:t xml:space="preserve">150 bp paired-end output (Supplemental Table 1). Sequence reads were trimmed for adapter sequences then mapped to </w:t>
      </w:r>
      <w:r w:rsidRPr="00EF78D1">
        <w:rPr>
          <w:rFonts w:ascii="Arial" w:hAnsi="Arial" w:cs="Arial"/>
          <w:i/>
          <w:color w:val="000000" w:themeColor="text1"/>
        </w:rPr>
        <w:t>Mus musculus</w:t>
      </w:r>
      <w:r w:rsidRPr="00EF78D1">
        <w:rPr>
          <w:rFonts w:ascii="Arial" w:hAnsi="Arial" w:cs="Arial"/>
          <w:color w:val="000000" w:themeColor="text1"/>
        </w:rPr>
        <w:t xml:space="preserve"> GRCm38.87 reference genome using </w:t>
      </w:r>
      <w:r w:rsidR="00634D68">
        <w:rPr>
          <w:rFonts w:ascii="Arial" w:hAnsi="Arial" w:cs="Arial"/>
          <w:color w:val="000000" w:themeColor="text1"/>
        </w:rPr>
        <w:t xml:space="preserve">the </w:t>
      </w:r>
      <w:r w:rsidRPr="00EF78D1">
        <w:rPr>
          <w:rFonts w:ascii="Arial" w:hAnsi="Arial" w:cs="Arial"/>
          <w:color w:val="000000" w:themeColor="text1"/>
        </w:rPr>
        <w:t xml:space="preserve">DRAGEN alignment software. Hit counts were calculated with </w:t>
      </w:r>
      <w:proofErr w:type="spellStart"/>
      <w:r w:rsidRPr="00EF78D1">
        <w:rPr>
          <w:rFonts w:ascii="Arial" w:hAnsi="Arial" w:cs="Arial"/>
          <w:color w:val="000000" w:themeColor="text1"/>
        </w:rPr>
        <w:t>HTseq</w:t>
      </w:r>
      <w:proofErr w:type="spellEnd"/>
      <w:r w:rsidRPr="00EF78D1">
        <w:rPr>
          <w:rFonts w:ascii="Arial" w:hAnsi="Arial" w:cs="Arial"/>
          <w:color w:val="000000" w:themeColor="text1"/>
        </w:rPr>
        <w:t xml:space="preserve"> and then normalized</w:t>
      </w:r>
      <w:r w:rsidR="005C0D20" w:rsidRPr="00EF78D1">
        <w:rPr>
          <w:rFonts w:ascii="Arial" w:hAnsi="Arial" w:cs="Arial"/>
          <w:color w:val="000000" w:themeColor="text1"/>
        </w:rPr>
        <w:t xml:space="preserve"> for varying gene size by calculating</w:t>
      </w:r>
      <w:r w:rsidRPr="00EF78D1">
        <w:rPr>
          <w:rFonts w:ascii="Arial" w:hAnsi="Arial" w:cs="Arial"/>
          <w:color w:val="000000" w:themeColor="text1"/>
        </w:rPr>
        <w:t xml:space="preserve"> transcripts per million (TPM).</w:t>
      </w:r>
    </w:p>
    <w:p w14:paraId="1E27AEF0" w14:textId="77777777" w:rsidR="00FD6B67" w:rsidRPr="00EF78D1" w:rsidRDefault="00FD6B67" w:rsidP="00EF78D1">
      <w:pPr>
        <w:jc w:val="both"/>
        <w:rPr>
          <w:rFonts w:ascii="Arial" w:hAnsi="Arial" w:cs="Arial"/>
          <w:b/>
          <w:bCs/>
          <w:color w:val="000000" w:themeColor="text1"/>
        </w:rPr>
      </w:pPr>
    </w:p>
    <w:p w14:paraId="736EE0BC" w14:textId="77777777" w:rsidR="00FD6B67" w:rsidRPr="00EF78D1" w:rsidRDefault="00FD6B67" w:rsidP="00EF78D1">
      <w:pPr>
        <w:jc w:val="both"/>
        <w:rPr>
          <w:rFonts w:ascii="Arial" w:hAnsi="Arial" w:cs="Arial"/>
          <w:b/>
          <w:bCs/>
          <w:color w:val="000000" w:themeColor="text1"/>
        </w:rPr>
      </w:pPr>
      <w:r w:rsidRPr="00EF78D1">
        <w:rPr>
          <w:rFonts w:ascii="Arial" w:hAnsi="Arial" w:cs="Arial"/>
          <w:b/>
          <w:bCs/>
          <w:color w:val="000000" w:themeColor="text1"/>
        </w:rPr>
        <w:t>Phase Set Enrichment Analysis</w:t>
      </w:r>
    </w:p>
    <w:p w14:paraId="7FB08B4C" w14:textId="30716D2E"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 xml:space="preserve">Phase set enrichment analysis for circadian proteins was completed using the downloaded .jar tool and with default analysis parameters as defined by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{"citationItems":[{"id":"ITEM-1","itemData":{"DOI":"10.1177/0748730416631895","ISSN":"15524531","abstract":"Several tools use prior biological knowledge to interpret gene expression data. However, existing enrichment tools assume that variables are monotonic and incorrectly measure the distance between periodic phases. As a result, these tools are poorly suited for the analysis of the cell cycle, circadian clock, or other periodic systems. Here, we develop Phase Set Enrichment Analysis (PSEA) to incorporate prior knowledge into the analysis of periodic data. PSEA identifies biologically related gene sets showing temporally coordinated expression. Using synthetic gene sets of various sizes generated from von Mises (circular normal) distributions, we benchmarked PSEA alongside existing methods. PSEA offered enhanced sensitivity over a broad range of von Mises distributions and gene set sizes. Importantly, and unlike existing tools, the sensitivity of PSEA is independent of the mean expression phase of the set. We applied PSEA to 4 published datasets. Application of PSEA to the mouse circadian atlas revealed that several pathways, including those regulating immune and cell-cycle function, demonstrate temporal orchestration across multiple tissues. We then applied PSEA to the phase shifts following a restricted feeding paradigm. We found that this perturbation disrupts intraorgan metabolic synchrony in the liver, altering the timing between anabolic and catabolic pathways. Reanalysis of expression data using custom gene sets derived from recent ChIP-seq results revealed circadian transcriptional targets bound exclusively by CLOCK, independently of BMAL1, differ from other exclusive circadian output genes and have well-synchronized phases. Finally, we used PSEA to compare 2 cell-cycle datasets. PSEA increased the apparent biological overlap while also revealing evidence of cell-cycle dysregulation in these cancer cells. To encourage its use by the community, we have implemented PSEA as a Java application. In sum, PSEA offers a powerful new tool to investigate large-scale, periodic data for biological insight.","author":[{"dropping-particle":"","family":"Zhang","given":"Ray","non-dropping-particle":"","parse-names":false,"suffix":""},{"dropping-particle":"","family":"Podtelezhnikov","given":"Alexei A.","non-dropping-particle":"","parse-names":false,"suffix":""},{"dropping-particle":"","family":"Hogenesch","given":"John B.","non-dropping-particle":"","parse-names":false,"suffix":""},{"dropping-particle":"","family":"Anafi","given":"Ron C.","non-dropping-particle":"","parse-names":false,"suffix":""}],"container-title":"Journal of Biological Rhythms","id":"ITEM-1","issue":"3","issued":{"date-parts":[["2016"]]},"page":"244-257","title":"Discovering Biology in Periodic Data through Phase Set Enrichment Analysis (PSEA)","type":"article-journal","volume":"31"},"uris":["http://www.mendeley.com/documents/?uuid=e6c856b4-f921-49a9-a583-24d81c5d3f8e"]}],"mendeley":{"formattedCitation":"(Zhang &lt;i&gt;et al.&lt;/i&gt;, 2016)","plainTextFormattedCitation":"(Zhang et al., 2016)","previouslyFormattedCitation":"(Zhang &lt;i&gt;et al.&lt;/i&gt;, 2016)"},"properties":{"noteIndex":0},"schema":"https://github.com/citation-style-language/schema/raw/master/csl-citation.json"}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 xml:space="preserve">(Zhang </w:t>
      </w:r>
      <w:r w:rsidRPr="00EF78D1">
        <w:rPr>
          <w:rFonts w:ascii="Arial" w:hAnsi="Arial" w:cs="Arial"/>
          <w:i/>
          <w:noProof/>
          <w:color w:val="000000" w:themeColor="text1"/>
        </w:rPr>
        <w:t>et al.</w:t>
      </w:r>
      <w:r w:rsidRPr="00EF78D1">
        <w:rPr>
          <w:rFonts w:ascii="Arial" w:hAnsi="Arial" w:cs="Arial"/>
          <w:noProof/>
          <w:color w:val="000000" w:themeColor="text1"/>
        </w:rPr>
        <w:t>, 2016)</w:t>
      </w:r>
      <w:r w:rsidRPr="00EF78D1">
        <w:rPr>
          <w:rFonts w:ascii="Arial" w:hAnsi="Arial" w:cs="Arial"/>
          <w:color w:val="000000" w:themeColor="text1"/>
        </w:rPr>
        <w:fldChar w:fldCharType="end"/>
      </w:r>
      <w:r w:rsidRPr="00EF78D1">
        <w:rPr>
          <w:rFonts w:ascii="Arial" w:hAnsi="Arial" w:cs="Arial"/>
          <w:color w:val="000000" w:themeColor="text1"/>
        </w:rPr>
        <w:t xml:space="preserve">. Murine Gene Ontology gene sets were downloaded from Gene Set Knowledgebase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10.18129/B9.bioc.gskb","author":[{"dropping-particle":"","family":"Bares","given":"Valerie","non-dropping-particle":"","parse-names":false,"suffix":""},{"dropping-particle":"","family":"Ge","given":"Xijin","non-dropping-particle":"","parse-names":false,"suffix":""}],"id":"ITEM-1","issued":{"date-parts":[["2019"]]},"number":"R package version 1.18.0.","publisher":"R package version 1.18.0.","title":"gskb: Gene Set data for pathway analysis in mouse.","type":"article"},"uris":["http://www.mendeley.com/documents/?uuid=d1e76b6f-f09a-4d48-89fd-9fa268a493b2"]}],"mendeley":{"formattedCitation":"(Bares and Ge, 2019)","plainTextFormattedCitation":"(Bares and Ge, 2019)","previouslyFormattedCitation":"(Bares and Ge, 2019)"},"properties":{"noteIndex":0},"schema":"https://github.com/citation-style-language/schema/raw/master/csl-citation.json"}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(Bares and Ge, 2019)</w:t>
      </w:r>
      <w:r w:rsidRPr="00EF78D1">
        <w:rPr>
          <w:rFonts w:ascii="Arial" w:hAnsi="Arial" w:cs="Arial"/>
          <w:color w:val="000000" w:themeColor="text1"/>
        </w:rPr>
        <w:fldChar w:fldCharType="end"/>
      </w:r>
      <w:r w:rsidRPr="00EF78D1">
        <w:rPr>
          <w:rFonts w:ascii="Arial" w:hAnsi="Arial" w:cs="Arial"/>
          <w:color w:val="000000" w:themeColor="text1"/>
        </w:rPr>
        <w:t>. Enrichment was determined versus a uniform background and using the standard cutoff of adjusted p&lt;</w:t>
      </w:r>
      <w:r w:rsidR="00634D68">
        <w:rPr>
          <w:rFonts w:ascii="Arial" w:hAnsi="Arial" w:cs="Arial"/>
          <w:color w:val="000000" w:themeColor="text1"/>
        </w:rPr>
        <w:t>0</w:t>
      </w:r>
      <w:r w:rsidRPr="00EF78D1">
        <w:rPr>
          <w:rFonts w:ascii="Arial" w:hAnsi="Arial" w:cs="Arial"/>
          <w:color w:val="000000" w:themeColor="text1"/>
        </w:rPr>
        <w:t>.05.</w:t>
      </w:r>
    </w:p>
    <w:p w14:paraId="32DCDE51" w14:textId="77777777" w:rsidR="00FD6B67" w:rsidRPr="00EF78D1" w:rsidRDefault="00FD6B67" w:rsidP="00EF78D1">
      <w:pPr>
        <w:jc w:val="both"/>
        <w:rPr>
          <w:rFonts w:ascii="Arial" w:hAnsi="Arial" w:cs="Arial"/>
          <w:b/>
          <w:bCs/>
          <w:color w:val="000000" w:themeColor="text1"/>
        </w:rPr>
      </w:pPr>
    </w:p>
    <w:p w14:paraId="5E499F11" w14:textId="77777777" w:rsidR="00FD6B67" w:rsidRPr="00EF78D1" w:rsidRDefault="00FD6B67" w:rsidP="00EF78D1">
      <w:pPr>
        <w:jc w:val="both"/>
        <w:rPr>
          <w:rFonts w:ascii="Arial" w:hAnsi="Arial" w:cs="Arial"/>
          <w:b/>
          <w:bCs/>
          <w:color w:val="000000" w:themeColor="text1"/>
        </w:rPr>
      </w:pPr>
      <w:r w:rsidRPr="00EF78D1">
        <w:rPr>
          <w:rFonts w:ascii="Arial" w:hAnsi="Arial" w:cs="Arial"/>
          <w:b/>
          <w:bCs/>
          <w:color w:val="000000" w:themeColor="text1"/>
        </w:rPr>
        <w:t>Zymosan Phagocytosis Assay</w:t>
      </w:r>
    </w:p>
    <w:p w14:paraId="4968409E" w14:textId="6C3EEF96"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 xml:space="preserve">Macrophages were differentiated/grown to confluence, serum shocked as described above utilizing two 12-hour staggered groups and assayed in a 32-plate </w:t>
      </w:r>
      <w:proofErr w:type="spellStart"/>
      <w:r w:rsidRPr="00EF78D1">
        <w:rPr>
          <w:rFonts w:ascii="Arial" w:hAnsi="Arial" w:cs="Arial"/>
          <w:color w:val="000000" w:themeColor="text1"/>
        </w:rPr>
        <w:t>lumicycle</w:t>
      </w:r>
      <w:proofErr w:type="spellEnd"/>
      <w:r w:rsidRPr="00EF78D1">
        <w:rPr>
          <w:rFonts w:ascii="Arial" w:hAnsi="Arial" w:cs="Arial"/>
          <w:color w:val="000000" w:themeColor="text1"/>
        </w:rPr>
        <w:t xml:space="preserve"> (</w:t>
      </w:r>
      <w:proofErr w:type="spellStart"/>
      <w:r w:rsidRPr="00EF78D1">
        <w:rPr>
          <w:rFonts w:ascii="Arial" w:hAnsi="Arial" w:cs="Arial"/>
          <w:color w:val="000000" w:themeColor="text1"/>
        </w:rPr>
        <w:t>Actimetrics</w:t>
      </w:r>
      <w:proofErr w:type="spellEnd"/>
      <w:r w:rsidRPr="00EF78D1">
        <w:rPr>
          <w:rFonts w:ascii="Arial" w:hAnsi="Arial" w:cs="Arial"/>
          <w:color w:val="000000" w:themeColor="text1"/>
        </w:rPr>
        <w:t xml:space="preserve">). Starting at 16 hours post serum shock, every 4 hours over 24 hours, in triplicate, 11 ul of 20 mg/ml zymosan per plate (~1:100 </w:t>
      </w:r>
      <w:proofErr w:type="spellStart"/>
      <w:r w:rsidRPr="00EF78D1">
        <w:rPr>
          <w:rFonts w:ascii="Arial" w:hAnsi="Arial" w:cs="Arial"/>
          <w:color w:val="000000" w:themeColor="text1"/>
        </w:rPr>
        <w:t>cell:zymosan</w:t>
      </w:r>
      <w:proofErr w:type="spellEnd"/>
      <w:r w:rsidRPr="00EF78D1">
        <w:rPr>
          <w:rFonts w:ascii="Arial" w:hAnsi="Arial" w:cs="Arial"/>
          <w:color w:val="000000" w:themeColor="text1"/>
        </w:rPr>
        <w:t xml:space="preserve"> ratio) was added directly to assay media with macrophages and returned to </w:t>
      </w:r>
      <w:proofErr w:type="spellStart"/>
      <w:r w:rsidRPr="00EF78D1">
        <w:rPr>
          <w:rFonts w:ascii="Arial" w:hAnsi="Arial" w:cs="Arial"/>
          <w:color w:val="000000" w:themeColor="text1"/>
        </w:rPr>
        <w:t>lumicycle</w:t>
      </w:r>
      <w:proofErr w:type="spellEnd"/>
      <w:r w:rsidRPr="00EF78D1">
        <w:rPr>
          <w:rFonts w:ascii="Arial" w:hAnsi="Arial" w:cs="Arial"/>
          <w:color w:val="000000" w:themeColor="text1"/>
        </w:rPr>
        <w:t xml:space="preserve"> for incubation at 37C for 30 minutes. Prior to incubation, AF488 labeled Zymosan (Invitrogen, cat #: Z23373) was opsonized with FBS from the same lot as used for macrophage media according to manufacturer’s instructions. For </w:t>
      </w:r>
      <w:r w:rsidR="00634D68">
        <w:rPr>
          <w:rFonts w:ascii="Arial" w:hAnsi="Arial" w:cs="Arial"/>
          <w:color w:val="000000" w:themeColor="text1"/>
        </w:rPr>
        <w:t xml:space="preserve">the </w:t>
      </w:r>
      <w:r w:rsidRPr="00EF78D1">
        <w:rPr>
          <w:rFonts w:ascii="Arial" w:hAnsi="Arial" w:cs="Arial"/>
          <w:color w:val="000000" w:themeColor="text1"/>
        </w:rPr>
        <w:t>oligomycin time course, oligomycin was added to the media at the same time as zymosan to a final concentration of 1.5uM. After incubation, cells were washed 3 times with PBS and lifted from plates using CellStripper. Cells were then fixed in Neutral Buffered Formalin for 30 minutes in the dark at room temperature. Cells were then resuspended in PBS and stored at 4</w:t>
      </w:r>
      <w:r w:rsidR="00634D68">
        <w:rPr>
          <w:rFonts w:ascii="Arial" w:hAnsi="Arial" w:cs="Arial"/>
          <w:color w:val="000000" w:themeColor="text1"/>
        </w:rPr>
        <w:sym w:font="Symbol" w:char="F0B0"/>
      </w:r>
      <w:r w:rsidRPr="00EF78D1">
        <w:rPr>
          <w:rFonts w:ascii="Arial" w:hAnsi="Arial" w:cs="Arial"/>
          <w:color w:val="000000" w:themeColor="text1"/>
        </w:rPr>
        <w:t>C until imaging. On day of imaging cells were stained with DAPI and imaged with a Zeiss LSM 510 laser scanning confocal microscope using a 40</w:t>
      </w:r>
      <w:r w:rsidRPr="004921E5">
        <w:rPr>
          <w:rFonts w:ascii="Arial" w:eastAsia="Times New Roman" w:hAnsi="Arial" w:cs="Arial"/>
          <w:color w:val="000000" w:themeColor="text1"/>
          <w:sz w:val="18"/>
          <w:szCs w:val="18"/>
        </w:rPr>
        <w:t>×</w:t>
      </w:r>
      <w:r w:rsidRPr="00EF78D1">
        <w:rPr>
          <w:rFonts w:ascii="Arial" w:hAnsi="Arial" w:cs="Arial"/>
          <w:color w:val="000000" w:themeColor="text1"/>
        </w:rPr>
        <w:t xml:space="preserve"> objective until well over 100 cells were imaged for each sample. For each image, first the number of total macrophages was counted in ImageJ using “</w:t>
      </w:r>
      <w:proofErr w:type="spellStart"/>
      <w:r w:rsidRPr="00EF78D1">
        <w:rPr>
          <w:rFonts w:ascii="Arial" w:hAnsi="Arial" w:cs="Arial"/>
          <w:color w:val="000000" w:themeColor="text1"/>
        </w:rPr>
        <w:t>CellCounter</w:t>
      </w:r>
      <w:proofErr w:type="spellEnd"/>
      <w:r w:rsidRPr="00EF78D1">
        <w:rPr>
          <w:rFonts w:ascii="Arial" w:hAnsi="Arial" w:cs="Arial"/>
          <w:color w:val="000000" w:themeColor="text1"/>
        </w:rPr>
        <w:t>” plugin with the composite of brightfield/DAPI channels. Only macrophages with clearly defined borders entirely within the image bounds and a DAPI stained nucleus were considered suitable for analysis. Then the number of macrophages with positive Zymosan-AF488 signal was counted to calculate of the percent of zymosan-positive macrophages out of at least 100 total macrophages observed per time point.</w:t>
      </w:r>
    </w:p>
    <w:p w14:paraId="3F83C763" w14:textId="77777777" w:rsidR="00FD6B67" w:rsidRPr="00EF78D1" w:rsidRDefault="00FD6B67" w:rsidP="00EF78D1">
      <w:pPr>
        <w:jc w:val="both"/>
        <w:rPr>
          <w:rFonts w:ascii="Arial" w:hAnsi="Arial" w:cs="Arial"/>
          <w:color w:val="000000" w:themeColor="text1"/>
        </w:rPr>
      </w:pPr>
    </w:p>
    <w:p w14:paraId="3D850093" w14:textId="77824B06" w:rsidR="00FD6B67" w:rsidRPr="00EF78D1" w:rsidRDefault="006D51C9" w:rsidP="00EF78D1">
      <w:pPr>
        <w:jc w:val="both"/>
        <w:rPr>
          <w:rFonts w:ascii="Arial" w:hAnsi="Arial" w:cs="Arial"/>
          <w:b/>
          <w:bCs/>
          <w:color w:val="000000" w:themeColor="text1"/>
        </w:rPr>
      </w:pPr>
      <w:r>
        <w:rPr>
          <w:rFonts w:ascii="Arial" w:hAnsi="Arial" w:cs="Arial"/>
          <w:b/>
          <w:bCs/>
          <w:color w:val="000000" w:themeColor="text1"/>
        </w:rPr>
        <w:t>Animals</w:t>
      </w:r>
      <w:r w:rsidR="00FD6B67" w:rsidRPr="00EF78D1">
        <w:rPr>
          <w:rFonts w:ascii="Arial" w:hAnsi="Arial" w:cs="Arial"/>
          <w:b/>
          <w:bCs/>
          <w:color w:val="000000" w:themeColor="text1"/>
        </w:rPr>
        <w:t xml:space="preserve"> for Mitochondrial Experiments</w:t>
      </w:r>
    </w:p>
    <w:p w14:paraId="3273D88D" w14:textId="77777777"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WT Mice used for experiments were both male and female, aged between 8-12 weeks. These mice were bred and maintained in specific pathogen free conditions in the comparative medicine unit, Trinity College Dublin. All mice were maintained according to European Union regulations and the Irish Health Products Regulatory Authority.</w:t>
      </w:r>
    </w:p>
    <w:p w14:paraId="21476833" w14:textId="77777777" w:rsidR="00FD6B67" w:rsidRPr="00EF78D1" w:rsidRDefault="00FD6B67" w:rsidP="00EF78D1">
      <w:pPr>
        <w:jc w:val="both"/>
        <w:rPr>
          <w:rFonts w:ascii="Arial" w:hAnsi="Arial" w:cs="Arial"/>
          <w:color w:val="000000" w:themeColor="text1"/>
        </w:rPr>
      </w:pPr>
    </w:p>
    <w:p w14:paraId="4B75313C" w14:textId="77777777" w:rsidR="00FD6B67" w:rsidRPr="00EF78D1" w:rsidRDefault="00FD6B67" w:rsidP="00EF78D1">
      <w:pPr>
        <w:jc w:val="both"/>
        <w:rPr>
          <w:rFonts w:ascii="Arial" w:hAnsi="Arial" w:cs="Arial"/>
          <w:b/>
          <w:bCs/>
          <w:color w:val="000000" w:themeColor="text1"/>
        </w:rPr>
      </w:pPr>
      <w:r w:rsidRPr="00EF78D1">
        <w:rPr>
          <w:rFonts w:ascii="Arial" w:hAnsi="Arial" w:cs="Arial"/>
          <w:b/>
          <w:bCs/>
          <w:color w:val="000000" w:themeColor="text1"/>
        </w:rPr>
        <w:t>Bone Marrow Derived Macrophage Differentiation for Mitochondrial Experiments</w:t>
      </w:r>
    </w:p>
    <w:p w14:paraId="69EEBA4A" w14:textId="77777777"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Bone marrow derived macrophages (BMDMs) were prepared from the femurs and tibia of mice. Mice were sacrificed by carbon dioxide inhalation and cervical dislocation. Hair, skin, and muscle was removed from each bone and both ends were cut using a scissors. A syringe was used to flush bone marrow with warm complete Dulbecco’s Modified Eagle’s Media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10% fetal bovine serum, 1% penicillin/streptomycin) which was collected into a Falcon tube. The cell suspension was centrifuged, the supernatant was discarded, the cell pellet was resuspended in red blood cell lysis buffer, and after </w:t>
      </w:r>
      <w:r w:rsidRPr="00EF78D1">
        <w:rPr>
          <w:rFonts w:ascii="Arial" w:hAnsi="Arial" w:cs="Arial"/>
          <w:color w:val="000000" w:themeColor="text1"/>
        </w:rPr>
        <w:lastRenderedPageBreak/>
        <w:t xml:space="preserve">3 minutes warm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was added to deactivate the lysis buffer. The cell suspension was passed through a 40μm mesh filter into a Falcon tube, centrifuged, and the supernatant was discarded. The cell pellet was resuspended in warm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supplemented with 10% L-929 fibroblast supernatant. The cell suspension was divided between 3 10cm cell culture plates and incubated in a humidified 5% CO</w:t>
      </w:r>
      <w:r w:rsidRPr="00EF78D1">
        <w:rPr>
          <w:rFonts w:ascii="Arial" w:hAnsi="Arial" w:cs="Arial"/>
          <w:color w:val="000000" w:themeColor="text1"/>
          <w:vertAlign w:val="subscript"/>
        </w:rPr>
        <w:t>2</w:t>
      </w:r>
      <w:r w:rsidRPr="00EF78D1">
        <w:rPr>
          <w:rFonts w:ascii="Arial" w:hAnsi="Arial" w:cs="Arial"/>
          <w:color w:val="000000" w:themeColor="text1"/>
        </w:rPr>
        <w:t xml:space="preserve"> incubator at 37°C. After 6 days of growth, cells were scraped in ice cold Dulbecco’s phosphate buffered saline (PBS), collected in a falcon tube, and centrifuged. The supernatant was </w:t>
      </w:r>
      <w:proofErr w:type="gramStart"/>
      <w:r w:rsidRPr="00EF78D1">
        <w:rPr>
          <w:rFonts w:ascii="Arial" w:hAnsi="Arial" w:cs="Arial"/>
          <w:color w:val="000000" w:themeColor="text1"/>
        </w:rPr>
        <w:t>discarded</w:t>
      </w:r>
      <w:proofErr w:type="gramEnd"/>
      <w:r w:rsidRPr="00EF78D1">
        <w:rPr>
          <w:rFonts w:ascii="Arial" w:hAnsi="Arial" w:cs="Arial"/>
          <w:color w:val="000000" w:themeColor="text1"/>
        </w:rPr>
        <w:t xml:space="preserve"> and the cell pellet was resuspended in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Viable macrophages were counted by </w:t>
      </w:r>
      <w:proofErr w:type="spellStart"/>
      <w:r w:rsidRPr="00EF78D1">
        <w:rPr>
          <w:rFonts w:ascii="Arial" w:hAnsi="Arial" w:cs="Arial"/>
          <w:color w:val="000000" w:themeColor="text1"/>
        </w:rPr>
        <w:t>haemocytometric</w:t>
      </w:r>
      <w:proofErr w:type="spellEnd"/>
      <w:r w:rsidRPr="00EF78D1">
        <w:rPr>
          <w:rFonts w:ascii="Arial" w:hAnsi="Arial" w:cs="Arial"/>
          <w:color w:val="000000" w:themeColor="text1"/>
        </w:rPr>
        <w:t xml:space="preserve"> analysis using the Countess Automated Cell Counter (Invitrogen) according to manufacturer protocol and equalized to an appropriate density.</w:t>
      </w:r>
    </w:p>
    <w:p w14:paraId="066D8D84" w14:textId="77777777" w:rsidR="00FD6B67" w:rsidRPr="00EF78D1" w:rsidRDefault="00FD6B67" w:rsidP="00EF78D1">
      <w:pPr>
        <w:jc w:val="both"/>
        <w:rPr>
          <w:rFonts w:ascii="Arial" w:hAnsi="Arial" w:cs="Arial"/>
          <w:color w:val="000000" w:themeColor="text1"/>
        </w:rPr>
      </w:pPr>
    </w:p>
    <w:p w14:paraId="33DAB242" w14:textId="77777777" w:rsidR="00FD6B67" w:rsidRPr="00EF78D1" w:rsidRDefault="00FD6B67" w:rsidP="00EF78D1">
      <w:pPr>
        <w:jc w:val="both"/>
        <w:rPr>
          <w:rFonts w:ascii="Arial" w:hAnsi="Arial" w:cs="Arial"/>
          <w:b/>
          <w:bCs/>
          <w:color w:val="000000" w:themeColor="text1"/>
        </w:rPr>
      </w:pPr>
      <w:r w:rsidRPr="00EF78D1">
        <w:rPr>
          <w:rFonts w:ascii="Arial" w:hAnsi="Arial" w:cs="Arial"/>
          <w:b/>
          <w:bCs/>
          <w:color w:val="000000" w:themeColor="text1"/>
        </w:rPr>
        <w:t>Seahorse</w:t>
      </w:r>
    </w:p>
    <w:p w14:paraId="67F55562" w14:textId="1A084F44"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50,000 BMDMs were seeded in each well of a 96-well Seahorse plate. Cells were left to adhere for several hours in a humidified 5% CO</w:t>
      </w:r>
      <w:r w:rsidRPr="00EF78D1">
        <w:rPr>
          <w:rFonts w:ascii="Arial" w:hAnsi="Arial" w:cs="Arial"/>
          <w:color w:val="000000" w:themeColor="text1"/>
          <w:vertAlign w:val="subscript"/>
        </w:rPr>
        <w:t>2</w:t>
      </w:r>
      <w:r w:rsidRPr="00EF78D1">
        <w:rPr>
          <w:rFonts w:ascii="Arial" w:hAnsi="Arial" w:cs="Arial"/>
          <w:color w:val="000000" w:themeColor="text1"/>
        </w:rPr>
        <w:t xml:space="preserve"> incubator at 37°C in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supplemented with 10% L-929 medium. Cells were serum shocked to T16, T28, or T40 and the start time of the serum shock for each group was staggered so that each time could be </w:t>
      </w:r>
      <w:r w:rsidR="00634D68" w:rsidRPr="00EF78D1">
        <w:rPr>
          <w:rFonts w:ascii="Arial" w:hAnsi="Arial" w:cs="Arial"/>
          <w:color w:val="000000" w:themeColor="text1"/>
        </w:rPr>
        <w:t>analyzed</w:t>
      </w:r>
      <w:r w:rsidRPr="00EF78D1">
        <w:rPr>
          <w:rFonts w:ascii="Arial" w:hAnsi="Arial" w:cs="Arial"/>
          <w:color w:val="000000" w:themeColor="text1"/>
        </w:rPr>
        <w:t xml:space="preserve"> by Seahorse assay simultaneously. At the appropriate time to begin the serum shock protocol for each group, media was changed to complete Leibovitz L-15 media supplemented with 10% L-929 media and 1% HEPES for 12 hours. Cell media was then changed to serum free DMEM supplemented with 1% P/S and 10% L-929 media for 12 hours. Cells were then serum shocked by replacing cell media with DMEM supplemented with 50% horse serum and 1% P/S for 2 hours. Following this, media was replaced with </w:t>
      </w:r>
      <w:proofErr w:type="spellStart"/>
      <w:r w:rsidRPr="00EF78D1">
        <w:rPr>
          <w:rFonts w:ascii="Arial" w:hAnsi="Arial" w:cs="Arial"/>
          <w:color w:val="000000" w:themeColor="text1"/>
        </w:rPr>
        <w:t>cDMEM</w:t>
      </w:r>
      <w:proofErr w:type="spellEnd"/>
      <w:r w:rsidRPr="00EF78D1">
        <w:rPr>
          <w:rFonts w:ascii="Arial" w:hAnsi="Arial" w:cs="Arial"/>
          <w:color w:val="000000" w:themeColor="text1"/>
        </w:rPr>
        <w:t xml:space="preserve"> supplemented with 10% L-929 medium and cells were incubated for an appropriate time before beginning the Seahorse assay. Following completion of the serum shock protocol for all groups, cells were washed with Seahorse XF DMEM Medium pH 7.4 (Agilent, 103575-100) supplemented with 10mM glucose, 1mM sodium pyruvate, and 2mM glutamine. Cells were then incubated in a non-CO</w:t>
      </w:r>
      <w:r w:rsidRPr="00EF78D1">
        <w:rPr>
          <w:rFonts w:ascii="Arial" w:hAnsi="Arial" w:cs="Arial"/>
          <w:color w:val="000000" w:themeColor="text1"/>
          <w:vertAlign w:val="subscript"/>
        </w:rPr>
        <w:t>2</w:t>
      </w:r>
      <w:r w:rsidRPr="00EF78D1">
        <w:rPr>
          <w:rFonts w:ascii="Arial" w:hAnsi="Arial" w:cs="Arial"/>
          <w:color w:val="000000" w:themeColor="text1"/>
        </w:rPr>
        <w:t xml:space="preserve"> incubator at 37°C for 45 minutes. Mitochondrial stress test compounds (1.5mM oligomycin, 1mM FCCP, 0.5mM rotenone/antimycin a) were prepared in supplemented Seahorse XF DMEM Medium and loaded into the appropriate ports of an XFe96 Seahorse sensor cartridge. Following calibration, cells were loaded into the Seahorse XFe96 instrument and a mitochondrial stress test was carried out. Following completion of the assay normalization was carried out via </w:t>
      </w:r>
      <w:proofErr w:type="spellStart"/>
      <w:r w:rsidRPr="00EF78D1">
        <w:rPr>
          <w:rFonts w:ascii="Arial" w:hAnsi="Arial" w:cs="Arial"/>
          <w:color w:val="000000" w:themeColor="text1"/>
        </w:rPr>
        <w:t>PicoGreen</w:t>
      </w:r>
      <w:proofErr w:type="spellEnd"/>
      <w:r w:rsidRPr="00EF78D1">
        <w:rPr>
          <w:rFonts w:ascii="Arial" w:hAnsi="Arial" w:cs="Arial"/>
          <w:color w:val="000000" w:themeColor="text1"/>
        </w:rPr>
        <w:t xml:space="preserve"> dsDNA quantitation.</w:t>
      </w:r>
    </w:p>
    <w:p w14:paraId="49D96E69" w14:textId="77777777" w:rsidR="00FD6B67" w:rsidRPr="00EF78D1" w:rsidRDefault="00FD6B67" w:rsidP="00EF78D1">
      <w:pPr>
        <w:jc w:val="both"/>
        <w:rPr>
          <w:rFonts w:ascii="Arial" w:hAnsi="Arial" w:cs="Arial"/>
          <w:color w:val="000000" w:themeColor="text1"/>
        </w:rPr>
      </w:pPr>
    </w:p>
    <w:p w14:paraId="356D9BDF" w14:textId="32E4DC58" w:rsidR="00FD6B67" w:rsidRPr="00EF78D1" w:rsidRDefault="00FD6B67" w:rsidP="00EF78D1">
      <w:pPr>
        <w:jc w:val="both"/>
        <w:rPr>
          <w:rFonts w:ascii="Arial" w:hAnsi="Arial" w:cs="Arial"/>
          <w:b/>
          <w:bCs/>
          <w:color w:val="000000" w:themeColor="text1"/>
        </w:rPr>
      </w:pPr>
      <w:r w:rsidRPr="00EF78D1">
        <w:rPr>
          <w:rFonts w:ascii="Arial" w:hAnsi="Arial" w:cs="Arial"/>
          <w:b/>
          <w:bCs/>
          <w:color w:val="000000" w:themeColor="text1"/>
        </w:rPr>
        <w:t>Mitochondrial Dynamics</w:t>
      </w:r>
      <w:r w:rsidR="00112078">
        <w:rPr>
          <w:rFonts w:ascii="Arial" w:hAnsi="Arial" w:cs="Arial"/>
          <w:b/>
          <w:bCs/>
          <w:color w:val="000000" w:themeColor="text1"/>
        </w:rPr>
        <w:t xml:space="preserve"> Imaging</w:t>
      </w:r>
    </w:p>
    <w:p w14:paraId="490178CD" w14:textId="1795834A" w:rsidR="00FD6B67" w:rsidRPr="00EF78D1" w:rsidRDefault="00FD6B67" w:rsidP="00EF78D1">
      <w:pPr>
        <w:jc w:val="both"/>
        <w:rPr>
          <w:rFonts w:ascii="Arial" w:hAnsi="Arial" w:cs="Arial"/>
          <w:color w:val="000000" w:themeColor="text1"/>
        </w:rPr>
      </w:pPr>
      <w:r w:rsidRPr="00EF78D1">
        <w:rPr>
          <w:rFonts w:ascii="Arial" w:hAnsi="Arial" w:cs="Arial"/>
          <w:color w:val="000000" w:themeColor="text1"/>
        </w:rPr>
        <w:t xml:space="preserve">BMDMs (0.5 </w:t>
      </w:r>
      <w:r w:rsidRPr="004921E5">
        <w:rPr>
          <w:rFonts w:ascii="Arial" w:hAnsi="Arial" w:cs="Arial"/>
          <w:color w:val="000000" w:themeColor="text1"/>
        </w:rPr>
        <w:t>×</w:t>
      </w:r>
      <w:r w:rsidRPr="00EF78D1">
        <w:rPr>
          <w:rFonts w:ascii="Arial" w:hAnsi="Arial" w:cs="Arial"/>
          <w:color w:val="000000" w:themeColor="text1"/>
        </w:rPr>
        <w:t xml:space="preserve"> 10</w:t>
      </w:r>
      <w:r w:rsidR="0093171B">
        <w:rPr>
          <w:rFonts w:ascii="Arial" w:hAnsi="Arial" w:cs="Arial"/>
          <w:color w:val="000000" w:themeColor="text1"/>
        </w:rPr>
        <w:t>^</w:t>
      </w:r>
      <w:r w:rsidRPr="00EF78D1">
        <w:rPr>
          <w:rFonts w:ascii="Arial" w:hAnsi="Arial" w:cs="Arial"/>
          <w:color w:val="000000" w:themeColor="text1"/>
        </w:rPr>
        <w:t>6) were plated on µ-Dish 35 mm, high Glass Bottom (</w:t>
      </w:r>
      <w:proofErr w:type="spellStart"/>
      <w:r w:rsidRPr="00EF78D1">
        <w:rPr>
          <w:rFonts w:ascii="Arial" w:hAnsi="Arial" w:cs="Arial"/>
          <w:color w:val="000000" w:themeColor="text1"/>
        </w:rPr>
        <w:t>Ibidi</w:t>
      </w:r>
      <w:proofErr w:type="spellEnd"/>
      <w:r w:rsidRPr="00EF78D1">
        <w:rPr>
          <w:rFonts w:ascii="Arial" w:hAnsi="Arial" w:cs="Arial"/>
          <w:color w:val="000000" w:themeColor="text1"/>
        </w:rPr>
        <w:t xml:space="preserve">, Germany) and maintained overnight at  37 </w:t>
      </w:r>
      <w:proofErr w:type="spellStart"/>
      <w:r w:rsidRPr="00EF78D1">
        <w:rPr>
          <w:rFonts w:ascii="Arial" w:hAnsi="Arial" w:cs="Arial"/>
          <w:color w:val="000000" w:themeColor="text1"/>
          <w:vertAlign w:val="superscript"/>
        </w:rPr>
        <w:t>o</w:t>
      </w:r>
      <w:r w:rsidRPr="00EF78D1">
        <w:rPr>
          <w:rFonts w:ascii="Arial" w:hAnsi="Arial" w:cs="Arial"/>
          <w:color w:val="000000" w:themeColor="text1"/>
        </w:rPr>
        <w:t>C</w:t>
      </w:r>
      <w:proofErr w:type="spellEnd"/>
      <w:r w:rsidRPr="00EF78D1">
        <w:rPr>
          <w:rFonts w:ascii="Arial" w:hAnsi="Arial" w:cs="Arial"/>
          <w:color w:val="000000" w:themeColor="text1"/>
        </w:rPr>
        <w:t xml:space="preserve"> in a 5% CO</w:t>
      </w:r>
      <w:r w:rsidRPr="00EF78D1">
        <w:rPr>
          <w:rFonts w:ascii="Arial" w:hAnsi="Arial" w:cs="Arial"/>
          <w:color w:val="000000" w:themeColor="text1"/>
          <w:vertAlign w:val="subscript"/>
        </w:rPr>
        <w:t>2</w:t>
      </w:r>
      <w:r w:rsidRPr="00EF78D1">
        <w:rPr>
          <w:rFonts w:ascii="Arial" w:hAnsi="Arial" w:cs="Arial"/>
          <w:color w:val="000000" w:themeColor="text1"/>
          <w:vertAlign w:val="superscript"/>
        </w:rPr>
        <w:t xml:space="preserve"> </w:t>
      </w:r>
      <w:r w:rsidRPr="00EF78D1">
        <w:rPr>
          <w:rFonts w:ascii="Arial" w:hAnsi="Arial" w:cs="Arial"/>
          <w:color w:val="000000" w:themeColor="text1"/>
        </w:rPr>
        <w:t xml:space="preserve">atmosphere. The cells were synchronized by serum shock  as described by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{"citationItems":[{"id":"ITEM-1","itemData":{"DOI":"10.1016/S0092-8674(00)81199-X","ISBN":"0092-8674 (Print)","ISSN":"00928674","PMID":"9635423","abstract":"The treatment of cultured rat-1 fibroblasts or H35 hepatoma cells with high concentrations of serum induces the circadian expression of various genes whose transcription also oscillates in living animals. Oscillating genes include rper1 and rper2 (rat homologs of the Drosophila clock gene period), and the genes encoding the transcription factors Rev-Erbα, DBP, and TEF. In rat-1 fibroblasts, up to three consecutive daily oscillations with an average period length of 22.5 hr could be recorded. The temporal sequence of the various mRNA accumulation cycles is the same in cultured cells and in vivo. The serum shock of rat-1 fibroblasts also results in a transient stimulation of c-fos and rper expression and thus mimics light-induced immediate-early gene expression in the suprachiasmatic nucleus.","author":[{"dropping-particle":"","family":"Balsalobre","given":"Aurélio","non-dropping-particle":"","parse-names":false,"suffix":""},{"dropping-particle":"","family":"Damiola","given":"Francesca","non-dropping-particle":"","parse-names":false,"suffix":""},{"dropping-particle":"","family":"Schibler","given":"Ueli","non-dropping-particle":"","parse-names":false,"suffix":""}],"container-title":"Cell","id":"ITEM-1","issue":"6","issued":{"date-parts":[["1998"]]},"page":"929-937","title":"A serum shock induces circadian gene expression in mammalian tissue culture cells","type":"article-journal","volume":"93"},"uris":["http://www.mendeley.com/documents/?uuid=27f7dcee-c971-4e0f-9c79-a8748a7364c8"]}],"mendeley":{"formattedCitation":"(Balsalobre, Damiola and Schibler, 1998)","plainTextFormattedCitation":"(Balsalobre, Damiola and Schibler, 1998)","previouslyFormattedCitation":"(Balsalobre, Damiola and Schibler, 1998)"},"properties":{"noteIndex":0},"schema":"https://github.com/citation-style-language/schema/raw/master/csl-citation.json"}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(Balsalobre, Damiola and Schibler, 1998)</w:t>
      </w:r>
      <w:r w:rsidRPr="00EF78D1">
        <w:rPr>
          <w:rFonts w:ascii="Arial" w:hAnsi="Arial" w:cs="Arial"/>
          <w:color w:val="000000" w:themeColor="text1"/>
        </w:rPr>
        <w:fldChar w:fldCharType="end"/>
      </w:r>
      <w:r w:rsidRPr="00EF78D1">
        <w:rPr>
          <w:rFonts w:ascii="Arial" w:hAnsi="Arial" w:cs="Arial"/>
          <w:color w:val="000000" w:themeColor="text1"/>
        </w:rPr>
        <w:t xml:space="preserve">. After serum shock, cells suspended in fresh 5% FBS Dulbecco’s Modified Eagle Medium. Thirty minutes before the indicated time, cells were loaded with </w:t>
      </w:r>
      <w:proofErr w:type="spellStart"/>
      <w:r w:rsidRPr="00EF78D1">
        <w:rPr>
          <w:rFonts w:ascii="Arial" w:hAnsi="Arial" w:cs="Arial"/>
          <w:color w:val="000000" w:themeColor="text1"/>
        </w:rPr>
        <w:t>MitoTracker</w:t>
      </w:r>
      <w:proofErr w:type="spellEnd"/>
      <w:r w:rsidRPr="00EF78D1">
        <w:rPr>
          <w:rFonts w:ascii="Arial" w:hAnsi="Arial" w:cs="Arial"/>
          <w:color w:val="000000" w:themeColor="text1"/>
        </w:rPr>
        <w:t xml:space="preserve"> Red </w:t>
      </w:r>
      <w:proofErr w:type="spellStart"/>
      <w:r w:rsidRPr="00EF78D1">
        <w:rPr>
          <w:rFonts w:ascii="Arial" w:hAnsi="Arial" w:cs="Arial"/>
          <w:color w:val="000000" w:themeColor="text1"/>
        </w:rPr>
        <w:t>CMXRos</w:t>
      </w:r>
      <w:proofErr w:type="spellEnd"/>
      <w:r w:rsidRPr="00EF78D1">
        <w:rPr>
          <w:rFonts w:ascii="Arial" w:hAnsi="Arial" w:cs="Arial"/>
          <w:color w:val="000000" w:themeColor="text1"/>
        </w:rPr>
        <w:t xml:space="preserve"> (Life technologies) at a final concentration of 50 </w:t>
      </w:r>
      <w:proofErr w:type="spellStart"/>
      <w:r w:rsidRPr="00EF78D1">
        <w:rPr>
          <w:rFonts w:ascii="Arial" w:hAnsi="Arial" w:cs="Arial"/>
          <w:color w:val="000000" w:themeColor="text1"/>
        </w:rPr>
        <w:t>nM.</w:t>
      </w:r>
      <w:proofErr w:type="spellEnd"/>
      <w:r w:rsidRPr="00EF78D1">
        <w:rPr>
          <w:rFonts w:ascii="Arial" w:hAnsi="Arial" w:cs="Arial"/>
          <w:color w:val="000000" w:themeColor="text1"/>
        </w:rPr>
        <w:t xml:space="preserve"> Cells were washed with PBS fresh; medium was placed, and cells were observed in a Leica SP8 scanning Confocal (</w:t>
      </w:r>
      <w:proofErr w:type="spellStart"/>
      <w:r w:rsidRPr="00EF78D1">
        <w:rPr>
          <w:rFonts w:ascii="Arial" w:hAnsi="Arial" w:cs="Arial"/>
          <w:color w:val="000000" w:themeColor="text1"/>
        </w:rPr>
        <w:t>Wetzlar</w:t>
      </w:r>
      <w:proofErr w:type="spellEnd"/>
      <w:r w:rsidRPr="00EF78D1">
        <w:rPr>
          <w:rFonts w:ascii="Arial" w:hAnsi="Arial" w:cs="Arial"/>
          <w:color w:val="000000" w:themeColor="text1"/>
        </w:rPr>
        <w:t>, Germany), with a 63</w:t>
      </w:r>
      <w:r w:rsidRPr="004921E5">
        <w:rPr>
          <w:rFonts w:ascii="Arial" w:hAnsi="Arial" w:cs="Arial"/>
          <w:color w:val="000000" w:themeColor="text1"/>
        </w:rPr>
        <w:t>×</w:t>
      </w:r>
      <w:r w:rsidRPr="00EF78D1">
        <w:rPr>
          <w:rFonts w:ascii="Arial" w:hAnsi="Arial" w:cs="Arial"/>
          <w:color w:val="000000" w:themeColor="text1"/>
        </w:rPr>
        <w:t xml:space="preserve"> immersion objective. Cell images were analyzed with the ImageJ software (National Institutes of Health, Bethesda, MD). For ImageJ analysis, the mitochondrial length of more than 50 mitochondrial particles per cell was measured in over 25 cells per experimental condition, out of three independent experiments. Mitochondria were then divided into two different categories, based on length, as mitochondria of less than 1 µm (fragmented) and greater than 3 µm (elongated), as described by </w:t>
      </w:r>
      <w:r w:rsidRPr="00EF78D1">
        <w:rPr>
          <w:rFonts w:ascii="Arial" w:hAnsi="Arial" w:cs="Arial"/>
          <w:color w:val="000000" w:themeColor="text1"/>
        </w:rPr>
        <w:fldChar w:fldCharType="begin" w:fldLock="1"/>
      </w:r>
      <w:r w:rsidRPr="00EF78D1">
        <w:rPr>
          <w:rFonts w:ascii="Arial" w:hAnsi="Arial" w:cs="Arial"/>
          <w:color w:val="000000" w:themeColor="text1"/>
        </w:rPr>
        <w:instrText>ADDIN CSL_CITATION {"citationItems":[{"id":"ITEM-1","itemData":{"DOI":"10.1111/jnc.12361","ISSN":"00223042","abstract":"Over-activation of microglia cells in the brain contributes to neurodegenerative processes promoted by the production of various neurotoxic factors including pro-inflammatory cytokines and nitric oxide. Recently, accumulating evidence has suggested that mitochondrial dynamics are an important constituent of cellular quality control and function. However, the role of mitochondrial dynamics in microglial activation is still largely unknown. In this study, we determined whether mitochondrial dynamics are associated with the production of pro-inflammatory mediators in lipopolysaccharide (LPS)-stimulated immortalization of murine microglial cells (BV-2) by a v-raf/v-myc carrying retrovirus (J2). Excessive mitochondrial fission was observed in lentivirus-transfected BV-2 cells stably expressing DsRed2-mito following LPS stimulation. Furthermore, mitochondrial localization of dynamin-related protein 1 (Drp1) (a key regulator of mitochondrial fission) was increased and accompanied by de-phosphorylation of Ser637 in Drp1. Interestingly, inhibition of LPS-induced mitochondrial fission and reactive oxygen species (ROS) generation by Mdivi-1 and Drp1 knock-down attenuated the production of pro-inflammatory mediators via reduced nuclear factor kappa-light-chain-enhancer of activated B cells (NF-κB) and mitogen-activated protein kinase (MAPK) signaling. Our results demonstrated for the first time that mitochondrial fission regulates mitochondrial ROS production in activated microglial cells and influences the expression of pro-inflammatory mediators through the activation of NF-κB and MAPK. We therefore suggest that mitochondrial dynamics may be essential for understanding pro-inflammatory mediator expression in activated microglial cells. This could represent a new therapeutic approach for preventing neurodegenerative diseases. LPS induced excessive mitochondrial fission through mitochondrial localization of de-phosphorylation of Ser637 Drp1. Interestingly, inhibition of LPS-induced mitochondrial fission and mitochondrial ROS generation by Mdivi-1 and Drp1 shRNA attenuate the production of pro-inflammatory mediators via reduced NF-κB and MAPK signaling. Our results suggest that mitochondrial dynamics may be essential for understanding pro-inflammatory mediator expression in activated microglial cells. LPS induced excessive mitochondrial fission through mitochondrial localization of de-phosphorylation of Ser637 Drp1. Interestingly, inhibition of LPS-induced mitochond…","author":[{"dropping-particle":"","family":"Park","given":"Junghyung","non-dropping-particle":"","parse-names":false,"suffix":""},{"dropping-particle":"","family":"Choi","given":"Hoonsung","non-dropping-particle":"","parse-names":false,"suffix":""},{"dropping-particle":"","family":"Min","given":"Ju-Sik","non-dropping-particle":"","parse-names":false,"suffix":""},{"dropping-particle":"","family":"Park","given":"Sun-Ji","non-dropping-particle":"","parse-names":false,"suffix":""},{"dropping-particle":"","family":"Kim","given":"Jung-Hak","non-dropping-particle":"","parse-names":false,"suffix":""},{"dropping-particle":"","family":"Park","given":"Hyo-Jin","non-dropping-particle":"","parse-names":false,"suffix":""},{"dropping-particle":"","family":"Kim","given":"Bokyung","non-dropping-particle":"","parse-names":false,"suffix":""},{"dropping-particle":"","family":"Chae","given":"Jung-Il","non-dropping-particle":"","parse-names":false,"suffix":""},{"dropping-particle":"","family":"Yim","given":"Mijung","non-dropping-particle":"","parse-names":false,"suffix":""},{"dropping-particle":"","family":"Lee","given":"Dong-Seok","non-dropping-particle":"","parse-names":false,"suffix":""}],"container-title":"Journal of Neurochemistry","id":"ITEM-1","issue":"2","issued":{"date-parts":[["2013","10"]]},"page":"221-232","title":"Mitochondrial dynamics modulate the expression of pro-inflammatory mediators in microglial cells","type":"article-journal","volume":"127"},"uris":["http://www.mendeley.com/documents/?uuid=9f5e40eb-7f48-4c06-bb1b-ef1ade2a5e0d"]}],"mendeley":{"formattedCitation":"(Park &lt;i&gt;et al.&lt;/i&gt;, 2013)","plainTextFormattedCitation":"(Park et al., 2013)","previouslyFormattedCitation":"(Park &lt;i&gt;et al.&lt;/i&gt;, 2013)"},"properties":{"noteIndex":0},"schema":"https://github.com/citation-style-language/schema/raw/master/csl-citation.json"}</w:instrText>
      </w:r>
      <w:r w:rsidRPr="00EF78D1">
        <w:rPr>
          <w:rFonts w:ascii="Arial" w:hAnsi="Arial" w:cs="Arial"/>
          <w:color w:val="000000" w:themeColor="text1"/>
        </w:rPr>
        <w:fldChar w:fldCharType="separate"/>
      </w:r>
      <w:r w:rsidRPr="00EF78D1">
        <w:rPr>
          <w:rFonts w:ascii="Arial" w:hAnsi="Arial" w:cs="Arial"/>
          <w:noProof/>
          <w:color w:val="000000" w:themeColor="text1"/>
        </w:rPr>
        <w:t>(Park et al., 2013)</w:t>
      </w:r>
      <w:r w:rsidRPr="00EF78D1">
        <w:rPr>
          <w:rFonts w:ascii="Arial" w:hAnsi="Arial" w:cs="Arial"/>
          <w:color w:val="000000" w:themeColor="text1"/>
        </w:rPr>
        <w:fldChar w:fldCharType="end"/>
      </w:r>
      <w:r w:rsidRPr="00EF78D1">
        <w:rPr>
          <w:rFonts w:ascii="Arial" w:hAnsi="Arial" w:cs="Arial"/>
          <w:color w:val="000000" w:themeColor="text1"/>
        </w:rPr>
        <w:t>.</w:t>
      </w:r>
    </w:p>
    <w:p w14:paraId="6D037C7E" w14:textId="77777777" w:rsidR="00FD6B67" w:rsidRPr="00EF78D1" w:rsidRDefault="00FD6B67" w:rsidP="00EF78D1">
      <w:pPr>
        <w:jc w:val="both"/>
        <w:rPr>
          <w:rFonts w:ascii="Arial" w:hAnsi="Arial" w:cs="Arial"/>
          <w:color w:val="000000" w:themeColor="text1"/>
        </w:rPr>
      </w:pPr>
    </w:p>
    <w:sectPr w:rsidR="00FD6B67" w:rsidRPr="00EF78D1" w:rsidSect="00272F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EC7A27"/>
    <w:multiLevelType w:val="hybridMultilevel"/>
    <w:tmpl w:val="91B0A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B147B8"/>
    <w:multiLevelType w:val="hybridMultilevel"/>
    <w:tmpl w:val="7828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073A47"/>
    <w:multiLevelType w:val="hybridMultilevel"/>
    <w:tmpl w:val="0700D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99"/>
    <w:rsid w:val="00022ACB"/>
    <w:rsid w:val="0009437B"/>
    <w:rsid w:val="000A735C"/>
    <w:rsid w:val="000A74CC"/>
    <w:rsid w:val="00112078"/>
    <w:rsid w:val="00141937"/>
    <w:rsid w:val="0015798A"/>
    <w:rsid w:val="002077AB"/>
    <w:rsid w:val="002255ED"/>
    <w:rsid w:val="00257FED"/>
    <w:rsid w:val="0026117F"/>
    <w:rsid w:val="00272F99"/>
    <w:rsid w:val="002C19FF"/>
    <w:rsid w:val="002F1223"/>
    <w:rsid w:val="00317A65"/>
    <w:rsid w:val="0032680D"/>
    <w:rsid w:val="00331269"/>
    <w:rsid w:val="003A564E"/>
    <w:rsid w:val="003A669F"/>
    <w:rsid w:val="003C00EE"/>
    <w:rsid w:val="003C7B46"/>
    <w:rsid w:val="003E615C"/>
    <w:rsid w:val="003F4D26"/>
    <w:rsid w:val="004016CD"/>
    <w:rsid w:val="00402DC3"/>
    <w:rsid w:val="004261DB"/>
    <w:rsid w:val="00450918"/>
    <w:rsid w:val="00470708"/>
    <w:rsid w:val="004723EA"/>
    <w:rsid w:val="00484A96"/>
    <w:rsid w:val="004A1017"/>
    <w:rsid w:val="004F4108"/>
    <w:rsid w:val="00514E01"/>
    <w:rsid w:val="005332FE"/>
    <w:rsid w:val="00576857"/>
    <w:rsid w:val="005C0D20"/>
    <w:rsid w:val="00606681"/>
    <w:rsid w:val="00627469"/>
    <w:rsid w:val="00634D68"/>
    <w:rsid w:val="006C28DD"/>
    <w:rsid w:val="006D51C9"/>
    <w:rsid w:val="006E3692"/>
    <w:rsid w:val="007426DC"/>
    <w:rsid w:val="00782112"/>
    <w:rsid w:val="00797B39"/>
    <w:rsid w:val="007C460A"/>
    <w:rsid w:val="007C632D"/>
    <w:rsid w:val="007D2DD1"/>
    <w:rsid w:val="008E4FB0"/>
    <w:rsid w:val="00901793"/>
    <w:rsid w:val="0093171B"/>
    <w:rsid w:val="00941C37"/>
    <w:rsid w:val="0097414F"/>
    <w:rsid w:val="009913B3"/>
    <w:rsid w:val="009D0AED"/>
    <w:rsid w:val="00A4083F"/>
    <w:rsid w:val="00A57D96"/>
    <w:rsid w:val="00A9745C"/>
    <w:rsid w:val="00A975F6"/>
    <w:rsid w:val="00AB3953"/>
    <w:rsid w:val="00AC6184"/>
    <w:rsid w:val="00AE1CDB"/>
    <w:rsid w:val="00B535AC"/>
    <w:rsid w:val="00B53CAE"/>
    <w:rsid w:val="00B6558C"/>
    <w:rsid w:val="00B96A64"/>
    <w:rsid w:val="00C05F87"/>
    <w:rsid w:val="00C37C23"/>
    <w:rsid w:val="00C70D22"/>
    <w:rsid w:val="00C738B3"/>
    <w:rsid w:val="00CE0E71"/>
    <w:rsid w:val="00D12537"/>
    <w:rsid w:val="00D27D88"/>
    <w:rsid w:val="00D44633"/>
    <w:rsid w:val="00D86E45"/>
    <w:rsid w:val="00DC3D31"/>
    <w:rsid w:val="00DE5AC5"/>
    <w:rsid w:val="00DE6266"/>
    <w:rsid w:val="00DF3A91"/>
    <w:rsid w:val="00E02A39"/>
    <w:rsid w:val="00EF687A"/>
    <w:rsid w:val="00EF78D1"/>
    <w:rsid w:val="00EF7C1E"/>
    <w:rsid w:val="00F428EC"/>
    <w:rsid w:val="00FB06BC"/>
    <w:rsid w:val="00FD6B67"/>
    <w:rsid w:val="00FE66B2"/>
    <w:rsid w:val="00FE7857"/>
    <w:rsid w:val="00FF0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3E4AC"/>
  <w15:chartTrackingRefBased/>
  <w15:docId w15:val="{3DC83622-4D78-9840-973D-25A40AE5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F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2F99"/>
    <w:rPr>
      <w:rFonts w:ascii="Times New Roman" w:hAnsi="Times New Roman" w:cs="Times New Roman"/>
      <w:sz w:val="18"/>
      <w:szCs w:val="18"/>
    </w:rPr>
  </w:style>
  <w:style w:type="paragraph" w:styleId="ListParagraph">
    <w:name w:val="List Paragraph"/>
    <w:basedOn w:val="Normal"/>
    <w:uiPriority w:val="34"/>
    <w:qFormat/>
    <w:rsid w:val="00A975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93613">
      <w:bodyDiv w:val="1"/>
      <w:marLeft w:val="0"/>
      <w:marRight w:val="0"/>
      <w:marTop w:val="0"/>
      <w:marBottom w:val="0"/>
      <w:divBdr>
        <w:top w:val="none" w:sz="0" w:space="0" w:color="auto"/>
        <w:left w:val="none" w:sz="0" w:space="0" w:color="auto"/>
        <w:bottom w:val="none" w:sz="0" w:space="0" w:color="auto"/>
        <w:right w:val="none" w:sz="0" w:space="0" w:color="auto"/>
      </w:divBdr>
    </w:div>
    <w:div w:id="1069499369">
      <w:bodyDiv w:val="1"/>
      <w:marLeft w:val="0"/>
      <w:marRight w:val="0"/>
      <w:marTop w:val="0"/>
      <w:marBottom w:val="0"/>
      <w:divBdr>
        <w:top w:val="none" w:sz="0" w:space="0" w:color="auto"/>
        <w:left w:val="none" w:sz="0" w:space="0" w:color="auto"/>
        <w:bottom w:val="none" w:sz="0" w:space="0" w:color="auto"/>
        <w:right w:val="none" w:sz="0" w:space="0" w:color="auto"/>
      </w:divBdr>
    </w:div>
    <w:div w:id="1178235249">
      <w:bodyDiv w:val="1"/>
      <w:marLeft w:val="0"/>
      <w:marRight w:val="0"/>
      <w:marTop w:val="0"/>
      <w:marBottom w:val="0"/>
      <w:divBdr>
        <w:top w:val="none" w:sz="0" w:space="0" w:color="auto"/>
        <w:left w:val="none" w:sz="0" w:space="0" w:color="auto"/>
        <w:bottom w:val="none" w:sz="0" w:space="0" w:color="auto"/>
        <w:right w:val="none" w:sz="0" w:space="0" w:color="auto"/>
      </w:divBdr>
    </w:div>
    <w:div w:id="1644651711">
      <w:bodyDiv w:val="1"/>
      <w:marLeft w:val="0"/>
      <w:marRight w:val="0"/>
      <w:marTop w:val="0"/>
      <w:marBottom w:val="0"/>
      <w:divBdr>
        <w:top w:val="none" w:sz="0" w:space="0" w:color="auto"/>
        <w:left w:val="none" w:sz="0" w:space="0" w:color="auto"/>
        <w:bottom w:val="none" w:sz="0" w:space="0" w:color="auto"/>
        <w:right w:val="none" w:sz="0" w:space="0" w:color="auto"/>
      </w:divBdr>
    </w:div>
    <w:div w:id="1794904351">
      <w:bodyDiv w:val="1"/>
      <w:marLeft w:val="0"/>
      <w:marRight w:val="0"/>
      <w:marTop w:val="0"/>
      <w:marBottom w:val="0"/>
      <w:divBdr>
        <w:top w:val="none" w:sz="0" w:space="0" w:color="auto"/>
        <w:left w:val="none" w:sz="0" w:space="0" w:color="auto"/>
        <w:bottom w:val="none" w:sz="0" w:space="0" w:color="auto"/>
        <w:right w:val="none" w:sz="0" w:space="0" w:color="auto"/>
      </w:divBdr>
    </w:div>
    <w:div w:id="18685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18</Pages>
  <Words>5632</Words>
  <Characters>32106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Emily Jean</dc:creator>
  <cp:keywords/>
  <dc:description/>
  <cp:lastModifiedBy>Collins, Emily</cp:lastModifiedBy>
  <cp:revision>25</cp:revision>
  <dcterms:created xsi:type="dcterms:W3CDTF">2020-10-26T15:42:00Z</dcterms:created>
  <dcterms:modified xsi:type="dcterms:W3CDTF">2020-12-22T20:17:00Z</dcterms:modified>
</cp:coreProperties>
</file>