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7418" w:rsidRDefault="00D6052F" w:rsidP="00C87418">
      <w:pPr>
        <w:pStyle w:val="Heading2"/>
        <w:jc w:val="both"/>
        <w:rPr>
          <w:rFonts w:ascii="Times New Roman" w:eastAsia="Times New Roman" w:hAnsi="Times New Roman" w:cs="Times New Roman"/>
          <w:b/>
        </w:rPr>
      </w:pPr>
      <w:r>
        <w:rPr>
          <w:rFonts w:ascii="Times New Roman" w:eastAsia="Times New Roman" w:hAnsi="Times New Roman" w:cs="Times New Roman"/>
          <w:b/>
        </w:rPr>
        <w:t>Supplementary figures</w:t>
      </w:r>
      <w:bookmarkStart w:id="0" w:name="_f26h9ja4ybdb" w:colFirst="0" w:colLast="0"/>
      <w:bookmarkEnd w:id="0"/>
    </w:p>
    <w:p w:rsidR="00D6052F" w:rsidRPr="00C87418" w:rsidRDefault="00C87418" w:rsidP="00C87418">
      <w:pPr>
        <w:pStyle w:val="Heading2"/>
        <w:jc w:val="center"/>
        <w:rPr>
          <w:rFonts w:ascii="Times New Roman" w:eastAsia="Times New Roman" w:hAnsi="Times New Roman" w:cs="Times New Roman"/>
          <w:b/>
        </w:rPr>
      </w:pPr>
      <w:r>
        <w:rPr>
          <w:rFonts w:ascii="Times New Roman" w:eastAsia="Times New Roman" w:hAnsi="Times New Roman" w:cs="Times New Roman"/>
          <w:noProof/>
          <w:sz w:val="22"/>
          <w:szCs w:val="22"/>
        </w:rPr>
        <w:drawing>
          <wp:inline distT="0" distB="0" distL="0" distR="0">
            <wp:extent cx="4563533" cy="8108951"/>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l_Fig_S1-01.png"/>
                    <pic:cNvPicPr/>
                  </pic:nvPicPr>
                  <pic:blipFill rotWithShape="1">
                    <a:blip r:embed="rId7"/>
                    <a:srcRect b="1621"/>
                    <a:stretch/>
                  </pic:blipFill>
                  <pic:spPr bwMode="auto">
                    <a:xfrm>
                      <a:off x="0" y="0"/>
                      <a:ext cx="4563533" cy="8108951"/>
                    </a:xfrm>
                    <a:prstGeom prst="rect">
                      <a:avLst/>
                    </a:prstGeom>
                    <a:ln>
                      <a:noFill/>
                    </a:ln>
                    <a:extLst>
                      <a:ext uri="{53640926-AAD7-44D8-BBD7-CCE9431645EC}">
                        <a14:shadowObscured xmlns:a14="http://schemas.microsoft.com/office/drawing/2010/main"/>
                      </a:ext>
                    </a:extLst>
                  </pic:spPr>
                </pic:pic>
              </a:graphicData>
            </a:graphic>
          </wp:inline>
        </w:drawing>
      </w:r>
    </w:p>
    <w:p w:rsidR="00C87418" w:rsidRDefault="00D6052F" w:rsidP="00D6052F">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 xml:space="preserve">Figure S1. </w:t>
      </w:r>
      <w:r>
        <w:rPr>
          <w:rFonts w:ascii="Times New Roman" w:eastAsia="Times New Roman" w:hAnsi="Times New Roman" w:cs="Times New Roman"/>
          <w:sz w:val="20"/>
          <w:szCs w:val="20"/>
        </w:rPr>
        <w:t>Clustering of melanoma samples across species.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Distribution of the number of ATAC-seq peaks called per sample across species.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Scatterplot of the number of ATAC-seq peaks versus the genome size, where each dot represents a non-human sample. A linear trendline is plotted and the R-squared value is indicated.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Scatterplot of the number of ATAC-seq peaks versus the fraction of reads in peaks (</w:t>
      </w:r>
      <w:proofErr w:type="spellStart"/>
      <w:r>
        <w:rPr>
          <w:rFonts w:ascii="Times New Roman" w:eastAsia="Times New Roman" w:hAnsi="Times New Roman" w:cs="Times New Roman"/>
          <w:sz w:val="20"/>
          <w:szCs w:val="20"/>
        </w:rPr>
        <w:t>FRiP</w:t>
      </w:r>
      <w:proofErr w:type="spellEnd"/>
      <w:r>
        <w:rPr>
          <w:rFonts w:ascii="Times New Roman" w:eastAsia="Times New Roman" w:hAnsi="Times New Roman" w:cs="Times New Roman"/>
          <w:sz w:val="20"/>
          <w:szCs w:val="20"/>
        </w:rPr>
        <w:t>), where each dot represents a human sample. A linear trendline is plotted and the R-squared value is indicated.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PCA plot of the human melanoma lines using normalised ATAC-seq read counts on the 50,000 most variable peaks.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Expression of MEL and MES signature genes (</w:t>
      </w:r>
      <w:proofErr w:type="spellStart"/>
      <w:r>
        <w:rPr>
          <w:rFonts w:ascii="Times New Roman" w:eastAsia="Times New Roman" w:hAnsi="Times New Roman" w:cs="Times New Roman"/>
          <w:sz w:val="20"/>
          <w:szCs w:val="20"/>
        </w:rPr>
        <w:t>Verfaillie</w:t>
      </w:r>
      <w:proofErr w:type="spellEnd"/>
      <w:r>
        <w:rPr>
          <w:rFonts w:ascii="Times New Roman" w:eastAsia="Times New Roman" w:hAnsi="Times New Roman" w:cs="Times New Roman"/>
          <w:sz w:val="20"/>
          <w:szCs w:val="20"/>
        </w:rPr>
        <w:t xml:space="preserve"> et al., 2015) on 12 of the human cell lines. (</w:t>
      </w:r>
      <w:r>
        <w:rPr>
          <w:rFonts w:ascii="Times New Roman" w:eastAsia="Times New Roman" w:hAnsi="Times New Roman" w:cs="Times New Roman"/>
          <w:i/>
          <w:sz w:val="20"/>
          <w:szCs w:val="20"/>
        </w:rPr>
        <w:t>F</w:t>
      </w:r>
      <w:r>
        <w:rPr>
          <w:rFonts w:ascii="Times New Roman" w:eastAsia="Times New Roman" w:hAnsi="Times New Roman" w:cs="Times New Roman"/>
          <w:sz w:val="20"/>
          <w:szCs w:val="20"/>
        </w:rPr>
        <w:t xml:space="preserve">) 339,099 human ATAC-seq regions coloured based on whether they are not </w:t>
      </w:r>
      <w:proofErr w:type="spellStart"/>
      <w:r>
        <w:rPr>
          <w:rFonts w:ascii="Times New Roman" w:eastAsia="Times New Roman" w:hAnsi="Times New Roman" w:cs="Times New Roman"/>
          <w:sz w:val="20"/>
          <w:szCs w:val="20"/>
        </w:rPr>
        <w:t>alignable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alignable</w:t>
      </w:r>
      <w:proofErr w:type="spellEnd"/>
      <w:r>
        <w:rPr>
          <w:rFonts w:ascii="Times New Roman" w:eastAsia="Times New Roman" w:hAnsi="Times New Roman" w:cs="Times New Roman"/>
          <w:sz w:val="20"/>
          <w:szCs w:val="20"/>
        </w:rPr>
        <w:t xml:space="preserve"> or conserved accessible in each of the other non-human species. (</w:t>
      </w:r>
      <w:r>
        <w:rPr>
          <w:rFonts w:ascii="Times New Roman" w:eastAsia="Times New Roman" w:hAnsi="Times New Roman" w:cs="Times New Roman"/>
          <w:i/>
          <w:sz w:val="20"/>
          <w:szCs w:val="20"/>
        </w:rPr>
        <w:t>G</w:t>
      </w:r>
      <w:r>
        <w:rPr>
          <w:rFonts w:ascii="Times New Roman" w:eastAsia="Times New Roman" w:hAnsi="Times New Roman" w:cs="Times New Roman"/>
          <w:sz w:val="20"/>
          <w:szCs w:val="20"/>
        </w:rPr>
        <w:t xml:space="preserve">) Number of human ATAC-seq regions that are conserved accessible in 0 (i.e. human-specific) to 5 different species. </w:t>
      </w:r>
      <w:proofErr w:type="spellStart"/>
      <w:r>
        <w:rPr>
          <w:rFonts w:ascii="Times New Roman" w:eastAsia="Times New Roman" w:hAnsi="Times New Roman" w:cs="Times New Roman"/>
          <w:sz w:val="20"/>
          <w:szCs w:val="20"/>
        </w:rPr>
        <w:t>ChIPseeker</w:t>
      </w:r>
      <w:proofErr w:type="spellEnd"/>
      <w:r>
        <w:rPr>
          <w:rFonts w:ascii="Times New Roman" w:eastAsia="Times New Roman" w:hAnsi="Times New Roman" w:cs="Times New Roman"/>
          <w:sz w:val="20"/>
          <w:szCs w:val="20"/>
        </w:rPr>
        <w:t xml:space="preserve"> results are shown for the 10,592 human regions that are conserved accessible across all mammalian species. (</w:t>
      </w:r>
      <w:r>
        <w:rPr>
          <w:rFonts w:ascii="Times New Roman" w:eastAsia="Times New Roman" w:hAnsi="Times New Roman" w:cs="Times New Roman"/>
          <w:i/>
          <w:sz w:val="20"/>
          <w:szCs w:val="20"/>
        </w:rPr>
        <w:t>H</w:t>
      </w:r>
      <w:r>
        <w:rPr>
          <w:rFonts w:ascii="Times New Roman" w:eastAsia="Times New Roman" w:hAnsi="Times New Roman" w:cs="Times New Roman"/>
          <w:sz w:val="20"/>
          <w:szCs w:val="20"/>
        </w:rPr>
        <w:t>) ATAC-seq and H3K27ac ChIP-seq signal of the human line MM001 on the 10,592 conserved accessible regions and on all human regions. (</w:t>
      </w:r>
      <w:r>
        <w:rPr>
          <w:rFonts w:ascii="Times New Roman" w:eastAsia="Times New Roman" w:hAnsi="Times New Roman" w:cs="Times New Roman"/>
          <w:i/>
          <w:sz w:val="20"/>
          <w:szCs w:val="20"/>
        </w:rPr>
        <w:t>I</w:t>
      </w:r>
      <w:r>
        <w:rPr>
          <w:rFonts w:ascii="Times New Roman" w:eastAsia="Times New Roman" w:hAnsi="Times New Roman" w:cs="Times New Roman"/>
          <w:sz w:val="20"/>
          <w:szCs w:val="20"/>
        </w:rPr>
        <w:t>) ATAC-seq signal of mouse, pig, horse (HoMel-L1) and dog (Dog-OralMel-18249) melanoma samples on the 10,592 conserved accessible regions and on all regions of the specific species. (</w:t>
      </w:r>
      <w:r>
        <w:rPr>
          <w:rFonts w:ascii="Times New Roman" w:eastAsia="Times New Roman" w:hAnsi="Times New Roman" w:cs="Times New Roman"/>
          <w:i/>
          <w:sz w:val="20"/>
          <w:szCs w:val="20"/>
        </w:rPr>
        <w:t>J</w:t>
      </w:r>
      <w:r>
        <w:rPr>
          <w:rFonts w:ascii="Times New Roman" w:eastAsia="Times New Roman" w:hAnsi="Times New Roman" w:cs="Times New Roman"/>
          <w:sz w:val="20"/>
          <w:szCs w:val="20"/>
        </w:rPr>
        <w:t xml:space="preserve">) Boxplots of the </w:t>
      </w:r>
      <w:proofErr w:type="spellStart"/>
      <w:r>
        <w:rPr>
          <w:rFonts w:ascii="Times New Roman" w:eastAsia="Times New Roman" w:hAnsi="Times New Roman" w:cs="Times New Roman"/>
          <w:sz w:val="20"/>
          <w:szCs w:val="20"/>
        </w:rPr>
        <w:t>phasCons</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phyloP</w:t>
      </w:r>
      <w:proofErr w:type="spellEnd"/>
      <w:r>
        <w:rPr>
          <w:rFonts w:ascii="Times New Roman" w:eastAsia="Times New Roman" w:hAnsi="Times New Roman" w:cs="Times New Roman"/>
          <w:sz w:val="20"/>
          <w:szCs w:val="20"/>
        </w:rPr>
        <w:t xml:space="preserve"> score of the set of regions that are </w:t>
      </w:r>
      <w:proofErr w:type="spellStart"/>
      <w:r>
        <w:rPr>
          <w:rFonts w:ascii="Times New Roman" w:eastAsia="Times New Roman" w:hAnsi="Times New Roman" w:cs="Times New Roman"/>
          <w:sz w:val="20"/>
          <w:szCs w:val="20"/>
        </w:rPr>
        <w:t>alignable</w:t>
      </w:r>
      <w:proofErr w:type="spellEnd"/>
      <w:r>
        <w:rPr>
          <w:rFonts w:ascii="Times New Roman" w:eastAsia="Times New Roman" w:hAnsi="Times New Roman" w:cs="Times New Roman"/>
          <w:sz w:val="20"/>
          <w:szCs w:val="20"/>
        </w:rPr>
        <w:t xml:space="preserve"> or conserved accessible across the </w:t>
      </w:r>
      <w:proofErr w:type="gramStart"/>
      <w:r>
        <w:rPr>
          <w:rFonts w:ascii="Times New Roman" w:eastAsia="Times New Roman" w:hAnsi="Times New Roman" w:cs="Times New Roman"/>
          <w:sz w:val="20"/>
          <w:szCs w:val="20"/>
        </w:rPr>
        <w:t>five mammalian</w:t>
      </w:r>
      <w:proofErr w:type="gramEnd"/>
      <w:r>
        <w:rPr>
          <w:rFonts w:ascii="Times New Roman" w:eastAsia="Times New Roman" w:hAnsi="Times New Roman" w:cs="Times New Roman"/>
          <w:sz w:val="20"/>
          <w:szCs w:val="20"/>
        </w:rPr>
        <w:t xml:space="preserve"> species or across all the six studied species. (</w:t>
      </w:r>
      <w:r>
        <w:rPr>
          <w:rFonts w:ascii="Times New Roman" w:eastAsia="Times New Roman" w:hAnsi="Times New Roman" w:cs="Times New Roman"/>
          <w:i/>
          <w:sz w:val="20"/>
          <w:szCs w:val="20"/>
        </w:rPr>
        <w:t>K</w:t>
      </w:r>
      <w:r>
        <w:rPr>
          <w:rFonts w:ascii="Times New Roman" w:eastAsia="Times New Roman" w:hAnsi="Times New Roman" w:cs="Times New Roman"/>
          <w:sz w:val="20"/>
          <w:szCs w:val="20"/>
        </w:rPr>
        <w:t xml:space="preserve">) PCA plot of the mammalian melanoma lines based on the 303,392 </w:t>
      </w:r>
      <w:proofErr w:type="spellStart"/>
      <w:r>
        <w:rPr>
          <w:rFonts w:ascii="Times New Roman" w:eastAsia="Times New Roman" w:hAnsi="Times New Roman" w:cs="Times New Roman"/>
          <w:sz w:val="20"/>
          <w:szCs w:val="20"/>
        </w:rPr>
        <w:t>alignable</w:t>
      </w:r>
      <w:proofErr w:type="spellEnd"/>
      <w:r>
        <w:rPr>
          <w:rFonts w:ascii="Times New Roman" w:eastAsia="Times New Roman" w:hAnsi="Times New Roman" w:cs="Times New Roman"/>
          <w:sz w:val="20"/>
          <w:szCs w:val="20"/>
        </w:rPr>
        <w:t xml:space="preserve"> regions. (</w:t>
      </w:r>
      <w:r>
        <w:rPr>
          <w:rFonts w:ascii="Times New Roman" w:eastAsia="Times New Roman" w:hAnsi="Times New Roman" w:cs="Times New Roman"/>
          <w:i/>
          <w:sz w:val="20"/>
          <w:szCs w:val="20"/>
        </w:rPr>
        <w:t>L</w:t>
      </w:r>
      <w:r>
        <w:rPr>
          <w:rFonts w:ascii="Times New Roman" w:eastAsia="Times New Roman" w:hAnsi="Times New Roman" w:cs="Times New Roman"/>
          <w:sz w:val="20"/>
          <w:szCs w:val="20"/>
        </w:rPr>
        <w:t>) PCA plot of the mammalian melanoma lines based on the 10,592 conserved regions. (</w:t>
      </w:r>
      <w:r>
        <w:rPr>
          <w:rFonts w:ascii="Times New Roman" w:eastAsia="Times New Roman" w:hAnsi="Times New Roman" w:cs="Times New Roman"/>
          <w:i/>
          <w:sz w:val="20"/>
          <w:szCs w:val="20"/>
        </w:rPr>
        <w:t>M</w:t>
      </w:r>
      <w:r>
        <w:rPr>
          <w:rFonts w:ascii="Times New Roman" w:eastAsia="Times New Roman" w:hAnsi="Times New Roman" w:cs="Times New Roman"/>
          <w:sz w:val="20"/>
          <w:szCs w:val="20"/>
        </w:rPr>
        <w:t>) PCA plot of all cross-species melanoma lines based on the 116 globally conserved accessible regions. (</w:t>
      </w:r>
      <w:r>
        <w:rPr>
          <w:rFonts w:ascii="Times New Roman" w:eastAsia="Times New Roman" w:hAnsi="Times New Roman" w:cs="Times New Roman"/>
          <w:i/>
          <w:sz w:val="20"/>
          <w:szCs w:val="20"/>
        </w:rPr>
        <w:t>N</w:t>
      </w:r>
      <w:r>
        <w:rPr>
          <w:rFonts w:ascii="Times New Roman" w:eastAsia="Times New Roman" w:hAnsi="Times New Roman" w:cs="Times New Roman"/>
          <w:sz w:val="20"/>
          <w:szCs w:val="20"/>
        </w:rPr>
        <w:t xml:space="preserve">) Histogram of the cumulative BLS for 20,003 motifs on 5,196 conserved accessible non-promoter regions (i.e. no proximal promoters situated &lt; 1 </w:t>
      </w:r>
      <w:proofErr w:type="spellStart"/>
      <w:r>
        <w:rPr>
          <w:rFonts w:ascii="Times New Roman" w:eastAsia="Times New Roman" w:hAnsi="Times New Roman" w:cs="Times New Roman"/>
          <w:sz w:val="20"/>
          <w:szCs w:val="20"/>
        </w:rPr>
        <w:t>kbp</w:t>
      </w:r>
      <w:proofErr w:type="spellEnd"/>
      <w:r>
        <w:rPr>
          <w:rFonts w:ascii="Times New Roman" w:eastAsia="Times New Roman" w:hAnsi="Times New Roman" w:cs="Times New Roman"/>
          <w:sz w:val="20"/>
          <w:szCs w:val="20"/>
        </w:rPr>
        <w:t xml:space="preserve"> from TSS) in the MEL lines across the mammalian species. The first hit of recurrent TF binding motifs within the top 4% conserved motifs is indicated as a cross and is accompanied by the logo of the motif.</w:t>
      </w:r>
    </w:p>
    <w:p w:rsidR="00C87418" w:rsidRDefault="00C87418" w:rsidP="00C87418">
      <w:r>
        <w:br w:type="page"/>
      </w:r>
    </w:p>
    <w:p w:rsidR="00D6052F" w:rsidRDefault="00C87418" w:rsidP="00D6052F">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727700" cy="33223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l_Fig_S2-01.png"/>
                    <pic:cNvPicPr/>
                  </pic:nvPicPr>
                  <pic:blipFill>
                    <a:blip r:embed="rId8"/>
                    <a:stretch>
                      <a:fillRect/>
                    </a:stretch>
                  </pic:blipFill>
                  <pic:spPr>
                    <a:xfrm>
                      <a:off x="0" y="0"/>
                      <a:ext cx="5727700" cy="3322320"/>
                    </a:xfrm>
                    <a:prstGeom prst="rect">
                      <a:avLst/>
                    </a:prstGeom>
                  </pic:spPr>
                </pic:pic>
              </a:graphicData>
            </a:graphic>
          </wp:inline>
        </w:drawing>
      </w:r>
    </w:p>
    <w:p w:rsidR="00D6052F" w:rsidRDefault="00D6052F" w:rsidP="00D6052F">
      <w:pPr>
        <w:jc w:val="both"/>
        <w:rPr>
          <w:rFonts w:ascii="Times New Roman" w:eastAsia="Times New Roman" w:hAnsi="Times New Roman" w:cs="Times New Roman"/>
        </w:rPr>
      </w:pPr>
    </w:p>
    <w:p w:rsidR="00D6052F" w:rsidRDefault="00D6052F" w:rsidP="00D6052F">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S2.</w:t>
      </w:r>
      <w:r>
        <w:rPr>
          <w:rFonts w:ascii="Times New Roman" w:eastAsia="Times New Roman" w:hAnsi="Times New Roman" w:cs="Times New Roman"/>
          <w:sz w:val="20"/>
          <w:szCs w:val="20"/>
        </w:rPr>
        <w:t xml:space="preserve"> Topic </w:t>
      </w:r>
      <w:proofErr w:type="spellStart"/>
      <w:r>
        <w:rPr>
          <w:rFonts w:ascii="Times New Roman" w:eastAsia="Times New Roman" w:hAnsi="Times New Roman" w:cs="Times New Roman"/>
          <w:sz w:val="20"/>
          <w:szCs w:val="20"/>
        </w:rPr>
        <w:t>modeling</w:t>
      </w:r>
      <w:proofErr w:type="spellEnd"/>
      <w:r>
        <w:rPr>
          <w:rFonts w:ascii="Times New Roman" w:eastAsia="Times New Roman" w:hAnsi="Times New Roman" w:cs="Times New Roman"/>
          <w:sz w:val="20"/>
          <w:szCs w:val="20"/>
        </w:rPr>
        <w:t xml:space="preserve"> on ATAC-seq data of 16 human melanoma cell lines.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cisTopic</w:t>
      </w:r>
      <w:r>
        <w:rPr>
          <w:rFonts w:ascii="Times New Roman" w:eastAsia="Times New Roman" w:hAnsi="Times New Roman" w:cs="Times New Roman"/>
          <w:i/>
          <w:sz w:val="20"/>
          <w:szCs w:val="20"/>
        </w:rPr>
        <w:t xml:space="preserve"> </w:t>
      </w:r>
      <w:r>
        <w:rPr>
          <w:rFonts w:ascii="Times New Roman" w:eastAsia="Times New Roman" w:hAnsi="Times New Roman" w:cs="Times New Roman"/>
          <w:sz w:val="20"/>
          <w:szCs w:val="20"/>
        </w:rPr>
        <w:t>model with 24 topics was selected based on the log-likelihood in the last iteration.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xml:space="preserve">) Number of regions per topic after topic </w:t>
      </w:r>
      <w:proofErr w:type="spellStart"/>
      <w:r>
        <w:rPr>
          <w:rFonts w:ascii="Times New Roman" w:eastAsia="Times New Roman" w:hAnsi="Times New Roman" w:cs="Times New Roman"/>
          <w:sz w:val="20"/>
          <w:szCs w:val="20"/>
        </w:rPr>
        <w:t>binarisation</w:t>
      </w:r>
      <w:proofErr w:type="spellEnd"/>
      <w:r>
        <w:rPr>
          <w:rFonts w:ascii="Times New Roman" w:eastAsia="Times New Roman" w:hAnsi="Times New Roman" w:cs="Times New Roman"/>
          <w:sz w:val="20"/>
          <w:szCs w:val="20"/>
        </w:rPr>
        <w:t>.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xml:space="preserve">) Coverage heatmaps of ATAC-seq data on regions of four selected topics: a promoter topic (topic 19), the MEL-specific topic (topic 4), the MES-specific topic (topic 7) and a cell line-specific topic (topic 24, specific to MM001). Key motifs found enriched in the selected topics by </w:t>
      </w:r>
      <w:proofErr w:type="spellStart"/>
      <w:r>
        <w:rPr>
          <w:rFonts w:ascii="Times New Roman" w:eastAsia="Times New Roman" w:hAnsi="Times New Roman" w:cs="Times New Roman"/>
          <w:sz w:val="20"/>
          <w:szCs w:val="20"/>
        </w:rPr>
        <w:t>i-cisTarget</w:t>
      </w:r>
      <w:proofErr w:type="spellEnd"/>
      <w:r>
        <w:rPr>
          <w:rFonts w:ascii="Times New Roman" w:eastAsia="Times New Roman" w:hAnsi="Times New Roman" w:cs="Times New Roman"/>
          <w:sz w:val="20"/>
          <w:szCs w:val="20"/>
        </w:rPr>
        <w:t>, accompanied by their NES score.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Topic annotation heatmap.</w:t>
      </w:r>
    </w:p>
    <w:p w:rsidR="00D6052F" w:rsidRDefault="00C87418" w:rsidP="00D6052F">
      <w:pPr>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727700" cy="6163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l_Fig_S3-01.png"/>
                    <pic:cNvPicPr/>
                  </pic:nvPicPr>
                  <pic:blipFill>
                    <a:blip r:embed="rId9"/>
                    <a:stretch>
                      <a:fillRect/>
                    </a:stretch>
                  </pic:blipFill>
                  <pic:spPr>
                    <a:xfrm>
                      <a:off x="0" y="0"/>
                      <a:ext cx="5727700" cy="6163310"/>
                    </a:xfrm>
                    <a:prstGeom prst="rect">
                      <a:avLst/>
                    </a:prstGeom>
                  </pic:spPr>
                </pic:pic>
              </a:graphicData>
            </a:graphic>
          </wp:inline>
        </w:drawing>
      </w:r>
    </w:p>
    <w:p w:rsidR="00C87418" w:rsidRDefault="00C87418" w:rsidP="00D6052F">
      <w:pPr>
        <w:jc w:val="both"/>
        <w:rPr>
          <w:rFonts w:ascii="Times New Roman" w:eastAsia="Times New Roman" w:hAnsi="Times New Roman" w:cs="Times New Roman"/>
          <w:b/>
          <w:sz w:val="20"/>
          <w:szCs w:val="20"/>
        </w:rPr>
      </w:pPr>
    </w:p>
    <w:p w:rsidR="00D6052F" w:rsidRDefault="00D6052F" w:rsidP="00D6052F">
      <w:pPr>
        <w:jc w:val="both"/>
        <w:rPr>
          <w:rFonts w:ascii="Times New Roman" w:eastAsia="Times New Roman" w:hAnsi="Times New Roman" w:cs="Times New Roman"/>
        </w:rPr>
      </w:pPr>
      <w:r>
        <w:rPr>
          <w:rFonts w:ascii="Times New Roman" w:eastAsia="Times New Roman" w:hAnsi="Times New Roman" w:cs="Times New Roman"/>
          <w:b/>
          <w:sz w:val="20"/>
          <w:szCs w:val="20"/>
        </w:rPr>
        <w:t xml:space="preserve">Figure S3. </w:t>
      </w:r>
      <w:r>
        <w:rPr>
          <w:rFonts w:ascii="Times New Roman" w:eastAsia="Times New Roman" w:hAnsi="Times New Roman" w:cs="Times New Roman"/>
          <w:sz w:val="20"/>
          <w:szCs w:val="20"/>
        </w:rPr>
        <w:t>Hyperparameter optimisation of DeepMEL. (</w:t>
      </w:r>
      <w:r>
        <w:rPr>
          <w:rFonts w:ascii="Times New Roman" w:eastAsia="Times New Roman" w:hAnsi="Times New Roman" w:cs="Times New Roman"/>
          <w:i/>
          <w:sz w:val="20"/>
          <w:szCs w:val="20"/>
        </w:rPr>
        <w:t>A-D</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auROC</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auPR</w:t>
      </w:r>
      <w:proofErr w:type="spellEnd"/>
      <w:r>
        <w:rPr>
          <w:rFonts w:ascii="Times New Roman" w:eastAsia="Times New Roman" w:hAnsi="Times New Roman" w:cs="Times New Roman"/>
          <w:sz w:val="20"/>
          <w:szCs w:val="20"/>
        </w:rPr>
        <w:t xml:space="preserve"> for topic 1, topic 4 and topic 7 prediction on train, validation, test and shuffled data when varying the number of filters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the filter size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the length of the input DNA sequences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the model architecture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auROC</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auPR</w:t>
      </w:r>
      <w:proofErr w:type="spellEnd"/>
      <w:r>
        <w:rPr>
          <w:rFonts w:ascii="Times New Roman" w:eastAsia="Times New Roman" w:hAnsi="Times New Roman" w:cs="Times New Roman"/>
          <w:sz w:val="20"/>
          <w:szCs w:val="20"/>
        </w:rPr>
        <w:t xml:space="preserve"> of the final model (DeepMEL) before and after adding validation data to the training set.</w:t>
      </w:r>
    </w:p>
    <w:p w:rsidR="00D6052F" w:rsidRDefault="00C87418" w:rsidP="00D6052F">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727700" cy="45993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mental_Fig_S4-01.png"/>
                    <pic:cNvPicPr/>
                  </pic:nvPicPr>
                  <pic:blipFill>
                    <a:blip r:embed="rId10"/>
                    <a:stretch>
                      <a:fillRect/>
                    </a:stretch>
                  </pic:blipFill>
                  <pic:spPr>
                    <a:xfrm>
                      <a:off x="0" y="0"/>
                      <a:ext cx="5727700" cy="4599305"/>
                    </a:xfrm>
                    <a:prstGeom prst="rect">
                      <a:avLst/>
                    </a:prstGeom>
                  </pic:spPr>
                </pic:pic>
              </a:graphicData>
            </a:graphic>
          </wp:inline>
        </w:drawing>
      </w:r>
    </w:p>
    <w:p w:rsidR="00D6052F" w:rsidRPr="00C87418" w:rsidRDefault="00D6052F" w:rsidP="00C87418">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S4. </w:t>
      </w:r>
      <w:r>
        <w:rPr>
          <w:rFonts w:ascii="Times New Roman" w:eastAsia="Times New Roman" w:hAnsi="Times New Roman" w:cs="Times New Roman"/>
          <w:sz w:val="20"/>
          <w:szCs w:val="20"/>
        </w:rPr>
        <w:t>DeepMEL reveals important features in melanoma regulatory classes.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auROC</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auPR</w:t>
      </w:r>
      <w:proofErr w:type="spellEnd"/>
      <w:r>
        <w:rPr>
          <w:rFonts w:ascii="Times New Roman" w:eastAsia="Times New Roman" w:hAnsi="Times New Roman" w:cs="Times New Roman"/>
          <w:sz w:val="20"/>
          <w:szCs w:val="20"/>
        </w:rPr>
        <w:t xml:space="preserve"> curve of DeepMEL for training, test and shuffled data for classifying regions of the 24 topics.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Coverage heatmaps of ATAC-seq data of the 16 human lines on regions of the MEL-specific topic (topic 4) and MES-specific topic (topic 7).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xml:space="preserve">) ATAC-seq signal of human melanocytes on topic 4 predicted regions by DeepMEL in MM001, ordered according to the melanocyte ATAC-seq signal. (D) Genome-wide scoring of may be useful for species where no ATAC-seq data of melanoma is available. Such a scoring yields high recall (86%, proportion of MEL-predicted ATAC-seq regions being found chromosome-wide) and precision (69%, proportion of MEL-predicted chromosome-wide tiles that were also accessible in human MEL lines) when applying DeepMEL to 500 </w:t>
      </w:r>
      <w:proofErr w:type="spellStart"/>
      <w:r>
        <w:rPr>
          <w:rFonts w:ascii="Times New Roman" w:eastAsia="Times New Roman" w:hAnsi="Times New Roman" w:cs="Times New Roman"/>
          <w:sz w:val="20"/>
          <w:szCs w:val="20"/>
        </w:rPr>
        <w:t>bp</w:t>
      </w:r>
      <w:proofErr w:type="spellEnd"/>
      <w:r>
        <w:rPr>
          <w:rFonts w:ascii="Times New Roman" w:eastAsia="Times New Roman" w:hAnsi="Times New Roman" w:cs="Times New Roman"/>
          <w:sz w:val="20"/>
          <w:szCs w:val="20"/>
        </w:rPr>
        <w:t xml:space="preserve"> sliding windows on Chromosome 1 in human.</w:t>
      </w:r>
      <w:r>
        <w:rPr>
          <w:rFonts w:ascii="Times New Roman" w:eastAsia="Times New Roman" w:hAnsi="Times New Roman" w:cs="Times New Roman"/>
        </w:rPr>
        <w:t xml:space="preserve"> To visualise this, </w:t>
      </w:r>
      <w:r>
        <w:rPr>
          <w:rFonts w:ascii="Times New Roman" w:eastAsia="Times New Roman" w:hAnsi="Times New Roman" w:cs="Times New Roman"/>
          <w:sz w:val="20"/>
          <w:szCs w:val="20"/>
        </w:rPr>
        <w:t xml:space="preserve">ATAC-seq signal of merged human MEL lines and merged human MES lines is shown on 2,260 MEL-predicted tiles (DeepMEL score of </w:t>
      </w:r>
      <w:proofErr w:type="gramStart"/>
      <w:r>
        <w:rPr>
          <w:rFonts w:ascii="Times New Roman" w:eastAsia="Times New Roman" w:hAnsi="Times New Roman" w:cs="Times New Roman"/>
          <w:sz w:val="20"/>
          <w:szCs w:val="20"/>
        </w:rPr>
        <w:t>topic</w:t>
      </w:r>
      <w:proofErr w:type="gramEnd"/>
      <w:r>
        <w:rPr>
          <w:rFonts w:ascii="Times New Roman" w:eastAsia="Times New Roman" w:hAnsi="Times New Roman" w:cs="Times New Roman"/>
          <w:sz w:val="20"/>
          <w:szCs w:val="20"/>
        </w:rPr>
        <w:t xml:space="preserve"> 4 &gt; 0.16) when scoring 500 </w:t>
      </w:r>
      <w:proofErr w:type="spellStart"/>
      <w:r>
        <w:rPr>
          <w:rFonts w:ascii="Times New Roman" w:eastAsia="Times New Roman" w:hAnsi="Times New Roman" w:cs="Times New Roman"/>
          <w:sz w:val="20"/>
          <w:szCs w:val="20"/>
        </w:rPr>
        <w:t>bp</w:t>
      </w:r>
      <w:proofErr w:type="spellEnd"/>
      <w:r>
        <w:rPr>
          <w:rFonts w:ascii="Times New Roman" w:eastAsia="Times New Roman" w:hAnsi="Times New Roman" w:cs="Times New Roman"/>
          <w:sz w:val="20"/>
          <w:szCs w:val="20"/>
        </w:rPr>
        <w:t xml:space="preserve"> sequences tiled across Chromosome 1 in the human genome by DeepMEL, and on the 2,260 tiles with the lowest topic 4 prediction score. Heatmaps are coloured by normalised read counts and aggregation plots are shown on top.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The top features learned by DeepMEL to classify topic 22 regions (regions specific to the intermediate state). (</w:t>
      </w:r>
      <w:r>
        <w:rPr>
          <w:rFonts w:ascii="Times New Roman" w:eastAsia="Times New Roman" w:hAnsi="Times New Roman" w:cs="Times New Roman"/>
          <w:i/>
          <w:sz w:val="20"/>
          <w:szCs w:val="20"/>
        </w:rPr>
        <w:t>F</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DeepExplainer</w:t>
      </w:r>
      <w:proofErr w:type="spellEnd"/>
      <w:r>
        <w:rPr>
          <w:rFonts w:ascii="Times New Roman" w:eastAsia="Times New Roman" w:hAnsi="Times New Roman" w:cs="Times New Roman"/>
          <w:sz w:val="20"/>
          <w:szCs w:val="20"/>
        </w:rPr>
        <w:t xml:space="preserve"> plots on the forward and reverse strand of an example topic 22 region. The enhancer contains both AP-1 and SOX motifs. (G) Enhancer accessibility and activity on the </w:t>
      </w:r>
      <w:r>
        <w:rPr>
          <w:rFonts w:ascii="Times New Roman" w:eastAsia="Times New Roman" w:hAnsi="Times New Roman" w:cs="Times New Roman"/>
          <w:i/>
          <w:sz w:val="20"/>
          <w:szCs w:val="20"/>
        </w:rPr>
        <w:t>IRF4</w:t>
      </w:r>
      <w:r>
        <w:rPr>
          <w:rFonts w:ascii="Times New Roman" w:eastAsia="Times New Roman" w:hAnsi="Times New Roman" w:cs="Times New Roman"/>
          <w:sz w:val="20"/>
          <w:szCs w:val="20"/>
        </w:rPr>
        <w:t xml:space="preserve"> enhancer were also influenced by mutations that create a repressor binding motif. This was the case for a SNP associated with freckles, brown hair and high sensitivity of the skin to sun exposure (rs12203592, </w:t>
      </w:r>
      <w:proofErr w:type="spellStart"/>
      <w:r>
        <w:rPr>
          <w:rFonts w:ascii="Times New Roman" w:eastAsia="Times New Roman" w:hAnsi="Times New Roman" w:cs="Times New Roman"/>
          <w:sz w:val="20"/>
          <w:szCs w:val="20"/>
        </w:rPr>
        <w:t>SNPedia</w:t>
      </w:r>
      <w:proofErr w:type="spellEnd"/>
      <w:r>
        <w:rPr>
          <w:rFonts w:ascii="Times New Roman" w:eastAsia="Times New Roman" w:hAnsi="Times New Roman" w:cs="Times New Roman"/>
          <w:sz w:val="20"/>
          <w:szCs w:val="20"/>
        </w:rPr>
        <w:t xml:space="preserve">), creating a ZEB/SNAI-like motif (CAGGT) that negatively contributes to the MEL topic score of this enhancer. Indeed, ZEB factors have been reported to act as transcriptional repressors by interaction with the corepressor </w:t>
      </w:r>
      <w:proofErr w:type="spellStart"/>
      <w:r>
        <w:rPr>
          <w:rFonts w:ascii="Times New Roman" w:eastAsia="Times New Roman" w:hAnsi="Times New Roman" w:cs="Times New Roman"/>
          <w:sz w:val="20"/>
          <w:szCs w:val="20"/>
        </w:rPr>
        <w:t>CtBP</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Postigo</w:t>
      </w:r>
      <w:proofErr w:type="spellEnd"/>
      <w:r>
        <w:rPr>
          <w:rFonts w:ascii="Times New Roman" w:eastAsia="Times New Roman" w:hAnsi="Times New Roman" w:cs="Times New Roman"/>
          <w:sz w:val="20"/>
          <w:szCs w:val="20"/>
        </w:rPr>
        <w:t xml:space="preserve"> and Dean 1999), and mutations in the binding motif of the transcriptional repressor SNAI2 have been shown to increase chromatin accessibility (Prescott et al. 2015). </w:t>
      </w:r>
      <w:proofErr w:type="spellStart"/>
      <w:r>
        <w:rPr>
          <w:rFonts w:ascii="Times New Roman" w:eastAsia="Times New Roman" w:hAnsi="Times New Roman" w:cs="Times New Roman"/>
          <w:sz w:val="20"/>
          <w:szCs w:val="20"/>
        </w:rPr>
        <w:t>DeepExplainer</w:t>
      </w:r>
      <w:proofErr w:type="spellEnd"/>
      <w:r>
        <w:rPr>
          <w:rFonts w:ascii="Times New Roman" w:eastAsia="Times New Roman" w:hAnsi="Times New Roman" w:cs="Times New Roman"/>
          <w:sz w:val="20"/>
          <w:szCs w:val="20"/>
        </w:rPr>
        <w:t xml:space="preserve"> profiles of wildtype </w:t>
      </w:r>
      <w:r>
        <w:rPr>
          <w:rFonts w:ascii="Times New Roman" w:eastAsia="Times New Roman" w:hAnsi="Times New Roman" w:cs="Times New Roman"/>
          <w:i/>
          <w:sz w:val="20"/>
          <w:szCs w:val="20"/>
        </w:rPr>
        <w:t>IRF4</w:t>
      </w:r>
      <w:r>
        <w:rPr>
          <w:rFonts w:ascii="Times New Roman" w:eastAsia="Times New Roman" w:hAnsi="Times New Roman" w:cs="Times New Roman"/>
          <w:sz w:val="20"/>
          <w:szCs w:val="20"/>
        </w:rPr>
        <w:t xml:space="preserve"> enhancer and after in silico introduction of the rs12203592 SNP, which creates a ZEB-like motif.</w:t>
      </w:r>
    </w:p>
    <w:p w:rsidR="00D6052F" w:rsidRDefault="00C87418" w:rsidP="00D6052F">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727700" cy="82937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lemental_Fig_S5-01.png"/>
                    <pic:cNvPicPr/>
                  </pic:nvPicPr>
                  <pic:blipFill>
                    <a:blip r:embed="rId11"/>
                    <a:stretch>
                      <a:fillRect/>
                    </a:stretch>
                  </pic:blipFill>
                  <pic:spPr>
                    <a:xfrm>
                      <a:off x="0" y="0"/>
                      <a:ext cx="5727700" cy="8293735"/>
                    </a:xfrm>
                    <a:prstGeom prst="rect">
                      <a:avLst/>
                    </a:prstGeom>
                  </pic:spPr>
                </pic:pic>
              </a:graphicData>
            </a:graphic>
          </wp:inline>
        </w:drawing>
      </w:r>
    </w:p>
    <w:p w:rsidR="00D6052F" w:rsidRPr="00C87418" w:rsidRDefault="00D6052F" w:rsidP="00C87418">
      <w:pPr>
        <w:jc w:val="both"/>
        <w:rPr>
          <w:rFonts w:ascii="Times New Roman" w:eastAsia="Times New Roman" w:hAnsi="Times New Roman" w:cs="Times New Roman"/>
          <w:color w:val="070809"/>
          <w:sz w:val="14"/>
          <w:szCs w:val="14"/>
        </w:rPr>
      </w:pPr>
      <w:r>
        <w:rPr>
          <w:rFonts w:ascii="Times New Roman" w:eastAsia="Times New Roman" w:hAnsi="Times New Roman" w:cs="Times New Roman"/>
          <w:b/>
          <w:sz w:val="20"/>
          <w:szCs w:val="20"/>
        </w:rPr>
        <w:t xml:space="preserve">Figure S5. </w:t>
      </w:r>
      <w:r>
        <w:rPr>
          <w:rFonts w:ascii="Times New Roman" w:eastAsia="Times New Roman" w:hAnsi="Times New Roman" w:cs="Times New Roman"/>
          <w:sz w:val="20"/>
          <w:szCs w:val="20"/>
        </w:rPr>
        <w:t>Genome-wide MEL enhancer predictions using DeepMEL. (</w:t>
      </w:r>
      <w:r>
        <w:rPr>
          <w:rFonts w:ascii="Times New Roman" w:eastAsia="Times New Roman" w:hAnsi="Times New Roman" w:cs="Times New Roman"/>
          <w:i/>
          <w:sz w:val="20"/>
          <w:szCs w:val="20"/>
        </w:rPr>
        <w:t>A, B</w:t>
      </w:r>
      <w:r>
        <w:rPr>
          <w:rFonts w:ascii="Times New Roman" w:eastAsia="Times New Roman" w:hAnsi="Times New Roman" w:cs="Times New Roman"/>
          <w:sz w:val="20"/>
          <w:szCs w:val="20"/>
        </w:rPr>
        <w:t>)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xml:space="preserve">) Venn diagram of the number of </w:t>
      </w:r>
      <w:proofErr w:type="gramStart"/>
      <w:r>
        <w:rPr>
          <w:rFonts w:ascii="Times New Roman" w:eastAsia="Times New Roman" w:hAnsi="Times New Roman" w:cs="Times New Roman"/>
          <w:sz w:val="20"/>
          <w:szCs w:val="20"/>
        </w:rPr>
        <w:t>topic</w:t>
      </w:r>
      <w:proofErr w:type="gramEnd"/>
      <w:r>
        <w:rPr>
          <w:rFonts w:ascii="Times New Roman" w:eastAsia="Times New Roman" w:hAnsi="Times New Roman" w:cs="Times New Roman"/>
          <w:sz w:val="20"/>
          <w:szCs w:val="20"/>
        </w:rPr>
        <w:t xml:space="preserve"> 4 (MEL-specific) and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xml:space="preserve">) topic 19 (promoter) regions predicted by DeepMEL in the dog line ‘Dog-OralMel-18249’ and of dog regions found by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of the human MEL regions. (</w:t>
      </w:r>
      <w:r>
        <w:rPr>
          <w:rFonts w:ascii="Times New Roman" w:eastAsia="Times New Roman" w:hAnsi="Times New Roman" w:cs="Times New Roman"/>
          <w:i/>
          <w:sz w:val="20"/>
          <w:szCs w:val="20"/>
        </w:rPr>
        <w:t>C, D</w:t>
      </w:r>
      <w:r>
        <w:rPr>
          <w:rFonts w:ascii="Times New Roman" w:eastAsia="Times New Roman" w:hAnsi="Times New Roman" w:cs="Times New Roman"/>
          <w:sz w:val="20"/>
          <w:szCs w:val="20"/>
        </w:rPr>
        <w:t xml:space="preserve">), Heatmaps of ATAC-seq signal </w:t>
      </w:r>
      <w:r>
        <w:rPr>
          <w:rFonts w:ascii="Times New Roman" w:eastAsia="Times New Roman" w:hAnsi="Times New Roman" w:cs="Times New Roman"/>
          <w:sz w:val="20"/>
          <w:szCs w:val="20"/>
        </w:rPr>
        <w:lastRenderedPageBreak/>
        <w:t>of the dog lines ‘Dog-OralMel-18249’ and ‘Dog-IrisMel-14205’ on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MEL-predicted and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xml:space="preserve">) promoter-predicted regions found via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(blue), MEL regions predicted by DeepMEL (red) and MEL regions identified by both methods (purple). Heatmaps are coloured by normalised read counts and ordered according to the ATAC-seq signal in ‘Dog-OralMel-18249’. Aggregation plots are shown on top.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xml:space="preserve">) Heatmaps of ATAC-seq signal of pig, mouse, horse and zebrafish on MEL regions </w:t>
      </w:r>
      <w:proofErr w:type="spellStart"/>
      <w:r>
        <w:rPr>
          <w:rFonts w:ascii="Times New Roman" w:eastAsia="Times New Roman" w:hAnsi="Times New Roman" w:cs="Times New Roman"/>
          <w:sz w:val="20"/>
          <w:szCs w:val="20"/>
        </w:rPr>
        <w:t>regions</w:t>
      </w:r>
      <w:proofErr w:type="spellEnd"/>
      <w:r>
        <w:rPr>
          <w:rFonts w:ascii="Times New Roman" w:eastAsia="Times New Roman" w:hAnsi="Times New Roman" w:cs="Times New Roman"/>
          <w:sz w:val="20"/>
          <w:szCs w:val="20"/>
        </w:rPr>
        <w:t xml:space="preserve"> found via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(blue), MEL regions predicted by DeepMEL (red) and MEL regions identified by both methods (purple). Heatmaps are coloured by normalised read counts and ordered according to the ATAC-seq signal and aggregation plots of are shown on top. (</w:t>
      </w:r>
      <w:r>
        <w:rPr>
          <w:rFonts w:ascii="Times New Roman" w:eastAsia="Times New Roman" w:hAnsi="Times New Roman" w:cs="Times New Roman"/>
          <w:i/>
          <w:sz w:val="20"/>
          <w:szCs w:val="20"/>
        </w:rPr>
        <w:t>F</w:t>
      </w:r>
      <w:r>
        <w:rPr>
          <w:rFonts w:ascii="Times New Roman" w:eastAsia="Times New Roman" w:hAnsi="Times New Roman" w:cs="Times New Roman"/>
          <w:sz w:val="20"/>
          <w:szCs w:val="20"/>
        </w:rPr>
        <w:t>) ATAC-seq signal of pig melanocytes (‘</w:t>
      </w:r>
      <w:proofErr w:type="spellStart"/>
      <w:r>
        <w:rPr>
          <w:rFonts w:ascii="Times New Roman" w:eastAsia="Times New Roman" w:hAnsi="Times New Roman" w:cs="Times New Roman"/>
          <w:sz w:val="20"/>
          <w:szCs w:val="20"/>
        </w:rPr>
        <w:t>PigMel</w:t>
      </w:r>
      <w:proofErr w:type="spellEnd"/>
      <w:r>
        <w:rPr>
          <w:rFonts w:ascii="Times New Roman" w:eastAsia="Times New Roman" w:hAnsi="Times New Roman" w:cs="Times New Roman"/>
          <w:sz w:val="20"/>
          <w:szCs w:val="20"/>
        </w:rPr>
        <w:t>’) and pig melanoma (‘</w:t>
      </w:r>
      <w:proofErr w:type="spellStart"/>
      <w:r>
        <w:rPr>
          <w:rFonts w:ascii="Times New Roman" w:eastAsia="Times New Roman" w:hAnsi="Times New Roman" w:cs="Times New Roman"/>
          <w:sz w:val="20"/>
          <w:szCs w:val="20"/>
        </w:rPr>
        <w:t>MeLiM</w:t>
      </w:r>
      <w:proofErr w:type="spellEnd"/>
      <w:r>
        <w:rPr>
          <w:rFonts w:ascii="Times New Roman" w:eastAsia="Times New Roman" w:hAnsi="Times New Roman" w:cs="Times New Roman"/>
          <w:sz w:val="20"/>
          <w:szCs w:val="20"/>
        </w:rPr>
        <w:t xml:space="preserve">’) on MEL regions predicted in </w:t>
      </w:r>
      <w:proofErr w:type="spellStart"/>
      <w:r>
        <w:rPr>
          <w:rFonts w:ascii="Times New Roman" w:eastAsia="Times New Roman" w:hAnsi="Times New Roman" w:cs="Times New Roman"/>
          <w:sz w:val="20"/>
          <w:szCs w:val="20"/>
        </w:rPr>
        <w:t>MeLiM</w:t>
      </w:r>
      <w:proofErr w:type="spellEnd"/>
      <w:r>
        <w:rPr>
          <w:rFonts w:ascii="Times New Roman" w:eastAsia="Times New Roman" w:hAnsi="Times New Roman" w:cs="Times New Roman"/>
          <w:sz w:val="20"/>
          <w:szCs w:val="20"/>
        </w:rPr>
        <w:t>. Heatmaps are coloured by normalised read counts and aggregation plots of are shown on top. (</w:t>
      </w:r>
      <w:r>
        <w:rPr>
          <w:rFonts w:ascii="Times New Roman" w:eastAsia="Times New Roman" w:hAnsi="Times New Roman" w:cs="Times New Roman"/>
          <w:i/>
          <w:sz w:val="20"/>
          <w:szCs w:val="20"/>
        </w:rPr>
        <w:t>G</w:t>
      </w:r>
      <w:r>
        <w:rPr>
          <w:rFonts w:ascii="Times New Roman" w:eastAsia="Times New Roman" w:hAnsi="Times New Roman" w:cs="Times New Roman"/>
          <w:sz w:val="20"/>
          <w:szCs w:val="20"/>
        </w:rPr>
        <w:t xml:space="preserve">) Per species, the pie chart </w:t>
      </w:r>
      <w:proofErr w:type="gramStart"/>
      <w:r>
        <w:rPr>
          <w:rFonts w:ascii="Times New Roman" w:eastAsia="Times New Roman" w:hAnsi="Times New Roman" w:cs="Times New Roman"/>
          <w:sz w:val="20"/>
          <w:szCs w:val="20"/>
        </w:rPr>
        <w:t>consist</w:t>
      </w:r>
      <w:proofErr w:type="gramEnd"/>
      <w:r>
        <w:rPr>
          <w:rFonts w:ascii="Times New Roman" w:eastAsia="Times New Roman" w:hAnsi="Times New Roman" w:cs="Times New Roman"/>
          <w:sz w:val="20"/>
          <w:szCs w:val="20"/>
        </w:rPr>
        <w:t xml:space="preserve"> of homologous genes of the 217 human MEL-differential genes with a topic 4 predicted region in their 200 kb up- and downstream locus (number of genes per species is shown between brackets). Pie charts show per species the number of these genes that do not have a </w:t>
      </w:r>
      <w:proofErr w:type="gramStart"/>
      <w:r>
        <w:rPr>
          <w:rFonts w:ascii="Times New Roman" w:eastAsia="Times New Roman" w:hAnsi="Times New Roman" w:cs="Times New Roman"/>
          <w:sz w:val="20"/>
          <w:szCs w:val="20"/>
        </w:rPr>
        <w:t>MEL-predicted regions</w:t>
      </w:r>
      <w:proofErr w:type="gramEnd"/>
      <w:r>
        <w:rPr>
          <w:rFonts w:ascii="Times New Roman" w:eastAsia="Times New Roman" w:hAnsi="Times New Roman" w:cs="Times New Roman"/>
          <w:sz w:val="20"/>
          <w:szCs w:val="20"/>
        </w:rPr>
        <w:t xml:space="preserve"> within their 200 kb up- and downstream extended gene locus; that have a MEL-predicted region within their extended locus which was either also found by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or not identified via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w:t>
      </w:r>
      <w:r>
        <w:rPr>
          <w:rFonts w:ascii="Times New Roman" w:eastAsia="Times New Roman" w:hAnsi="Times New Roman" w:cs="Times New Roman"/>
          <w:i/>
          <w:sz w:val="20"/>
          <w:szCs w:val="20"/>
        </w:rPr>
        <w:t>H</w:t>
      </w:r>
      <w:r>
        <w:rPr>
          <w:rFonts w:ascii="Times New Roman" w:eastAsia="Times New Roman" w:hAnsi="Times New Roman" w:cs="Times New Roman"/>
          <w:sz w:val="20"/>
          <w:szCs w:val="20"/>
        </w:rPr>
        <w:t xml:space="preserve">) Pearson’s correlation of deep layer scores between MEL-predicted regions near homologous MEL-specific genes between human and another species (‘Human-Species - Orthologous gene’), between MEL-predicted regions near different MEL-specific genes within one species (‘Species-Species - Different gene’), between MEL-predicted regions near the same MEL-specific gene within one species (‘Species-Species - Same gene’) and between non-MEL-predicted regions near homologous MEL-specific genes between human and a different species (‘Human-Species - Orthologous gene - </w:t>
      </w:r>
      <w:proofErr w:type="spellStart"/>
      <w:r>
        <w:rPr>
          <w:rFonts w:ascii="Times New Roman" w:eastAsia="Times New Roman" w:hAnsi="Times New Roman" w:cs="Times New Roman"/>
          <w:sz w:val="20"/>
          <w:szCs w:val="20"/>
        </w:rPr>
        <w:t>noMEL</w:t>
      </w:r>
      <w:proofErr w:type="spellEnd"/>
      <w:r>
        <w:rPr>
          <w:rFonts w:ascii="Times New Roman" w:eastAsia="Times New Roman" w:hAnsi="Times New Roman" w:cs="Times New Roman"/>
          <w:sz w:val="20"/>
          <w:szCs w:val="20"/>
        </w:rPr>
        <w:t>’).</w:t>
      </w:r>
    </w:p>
    <w:p w:rsidR="00C87418" w:rsidRDefault="00C87418">
      <w:pPr>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br w:type="page"/>
      </w:r>
    </w:p>
    <w:p w:rsidR="00D6052F" w:rsidRDefault="00C87418" w:rsidP="00D6052F">
      <w:pPr>
        <w:jc w:val="both"/>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lastRenderedPageBreak/>
        <w:drawing>
          <wp:inline distT="0" distB="0" distL="0" distR="0">
            <wp:extent cx="5727700" cy="36817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pplemental_Fig_S6-01.png"/>
                    <pic:cNvPicPr/>
                  </pic:nvPicPr>
                  <pic:blipFill>
                    <a:blip r:embed="rId12"/>
                    <a:stretch>
                      <a:fillRect/>
                    </a:stretch>
                  </pic:blipFill>
                  <pic:spPr>
                    <a:xfrm>
                      <a:off x="0" y="0"/>
                      <a:ext cx="5727700" cy="3681730"/>
                    </a:xfrm>
                    <a:prstGeom prst="rect">
                      <a:avLst/>
                    </a:prstGeom>
                  </pic:spPr>
                </pic:pic>
              </a:graphicData>
            </a:graphic>
          </wp:inline>
        </w:drawing>
      </w:r>
    </w:p>
    <w:p w:rsidR="00C87418" w:rsidRDefault="00C87418" w:rsidP="00D6052F">
      <w:pPr>
        <w:jc w:val="both"/>
        <w:rPr>
          <w:rFonts w:ascii="Times New Roman" w:eastAsia="Times New Roman" w:hAnsi="Times New Roman" w:cs="Times New Roman"/>
          <w:b/>
          <w:sz w:val="20"/>
          <w:szCs w:val="20"/>
        </w:rPr>
      </w:pPr>
    </w:p>
    <w:p w:rsidR="00D6052F" w:rsidRDefault="00D6052F" w:rsidP="00D6052F">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S6. </w:t>
      </w:r>
      <w:r>
        <w:rPr>
          <w:rFonts w:ascii="Times New Roman" w:eastAsia="Times New Roman" w:hAnsi="Times New Roman" w:cs="Times New Roman"/>
          <w:sz w:val="20"/>
          <w:szCs w:val="20"/>
        </w:rPr>
        <w:t xml:space="preserve">Conservation of </w:t>
      </w:r>
      <w:proofErr w:type="spellStart"/>
      <w:r>
        <w:rPr>
          <w:rFonts w:ascii="Times New Roman" w:eastAsia="Times New Roman" w:hAnsi="Times New Roman" w:cs="Times New Roman"/>
          <w:sz w:val="20"/>
          <w:szCs w:val="20"/>
        </w:rPr>
        <w:t>COre</w:t>
      </w:r>
      <w:proofErr w:type="spellEnd"/>
      <w:r>
        <w:rPr>
          <w:rFonts w:ascii="Times New Roman" w:eastAsia="Times New Roman" w:hAnsi="Times New Roman" w:cs="Times New Roman"/>
          <w:sz w:val="20"/>
          <w:szCs w:val="20"/>
        </w:rPr>
        <w:t xml:space="preserve"> Regulatory Complex clusters in MEL enhancers.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Heatmaps of ATAC-seq signal of MM001 after 72h of control knock-down (DMSO) and SOX10 knock-down on the 3,885 MEL predicted regions in MM001. Heatmaps are coloured by normalised read counts and ordered according to the ATAC-seq signal in the control sample and aggregation plots of are shown on top.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Aggregation plot of normalised ATAC-seq signal of MM001 on the human enhancer clusters.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Aggregation plots of H3K27ac and H3K27me3 ChIP-seq signal in MM001 on the human MEL enhancer clusters.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Venn diagrams of the TF motif-based enhancer clusters of DeepMEL-predicted MEL enhancers in horse, mouse, pig and zebrafish. The number of predicted MEL enhancers in each species is mentioned between brackets.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xml:space="preserve">) Heatmaps showing the correlation between MEL enhancers clusters in human and each of the other mammalian species. Heatmaps are coloured by the percentage of overlap between regions after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of the enhancer coordinates to the human genome.</w:t>
      </w:r>
    </w:p>
    <w:p w:rsidR="00D6052F" w:rsidRDefault="00C87418" w:rsidP="00D6052F">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5727700" cy="47942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pplemental_Fig_S7-01.png"/>
                    <pic:cNvPicPr/>
                  </pic:nvPicPr>
                  <pic:blipFill>
                    <a:blip r:embed="rId13"/>
                    <a:stretch>
                      <a:fillRect/>
                    </a:stretch>
                  </pic:blipFill>
                  <pic:spPr>
                    <a:xfrm>
                      <a:off x="0" y="0"/>
                      <a:ext cx="5727700" cy="4794250"/>
                    </a:xfrm>
                    <a:prstGeom prst="rect">
                      <a:avLst/>
                    </a:prstGeom>
                  </pic:spPr>
                </pic:pic>
              </a:graphicData>
            </a:graphic>
          </wp:inline>
        </w:drawing>
      </w:r>
    </w:p>
    <w:p w:rsidR="00D6052F" w:rsidRPr="00C87418" w:rsidRDefault="00D6052F" w:rsidP="00D6052F">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S7.</w:t>
      </w:r>
      <w:r>
        <w:rPr>
          <w:rFonts w:ascii="Times New Roman" w:eastAsia="Times New Roman" w:hAnsi="Times New Roman" w:cs="Times New Roman"/>
          <w:sz w:val="20"/>
          <w:szCs w:val="20"/>
        </w:rPr>
        <w:t xml:space="preserve"> SOX10, TFAP2A, MITF and RUNX TF binding site motifs in relation to the nucleosome. (</w:t>
      </w:r>
      <w:proofErr w:type="gramStart"/>
      <w:r>
        <w:rPr>
          <w:rFonts w:ascii="Times New Roman" w:eastAsia="Times New Roman" w:hAnsi="Times New Roman" w:cs="Times New Roman"/>
          <w:i/>
          <w:sz w:val="20"/>
          <w:szCs w:val="20"/>
        </w:rPr>
        <w:t>A,B</w:t>
      </w:r>
      <w:proofErr w:type="gramEnd"/>
      <w:r>
        <w:rPr>
          <w:rFonts w:ascii="Times New Roman" w:eastAsia="Times New Roman" w:hAnsi="Times New Roman" w:cs="Times New Roman"/>
          <w:i/>
          <w:sz w:val="20"/>
          <w:szCs w:val="20"/>
        </w:rPr>
        <w:t>,C,D</w:t>
      </w:r>
      <w:r>
        <w:rPr>
          <w:rFonts w:ascii="Times New Roman" w:eastAsia="Times New Roman" w:hAnsi="Times New Roman" w:cs="Times New Roman"/>
          <w:sz w:val="20"/>
          <w:szCs w:val="20"/>
        </w:rPr>
        <w:t>) Nucleosome middle point (left), nucleosome start point (middle) and Tn5 cut site (right) on MEL-predicted regions containing one SOX10 motif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one TFAP2A motif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one MITF motif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and one RUNX-like motif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xml:space="preserve">) next to possible other motifs, where the regions are either </w:t>
      </w:r>
      <w:proofErr w:type="spellStart"/>
      <w:r>
        <w:rPr>
          <w:rFonts w:ascii="Times New Roman" w:eastAsia="Times New Roman" w:hAnsi="Times New Roman" w:cs="Times New Roman"/>
          <w:sz w:val="20"/>
          <w:szCs w:val="20"/>
        </w:rPr>
        <w:t>centered</w:t>
      </w:r>
      <w:proofErr w:type="spellEnd"/>
      <w:r>
        <w:rPr>
          <w:rFonts w:ascii="Times New Roman" w:eastAsia="Times New Roman" w:hAnsi="Times New Roman" w:cs="Times New Roman"/>
          <w:sz w:val="20"/>
          <w:szCs w:val="20"/>
        </w:rPr>
        <w:t xml:space="preserve"> on the ATAC-seq summit (grey) or on the specified motif (blue).</w:t>
      </w:r>
    </w:p>
    <w:p w:rsidR="00D6052F" w:rsidRDefault="00C87418" w:rsidP="00D6052F">
      <w:pPr>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727700" cy="4354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pplemental_Fig_S8-01.png"/>
                    <pic:cNvPicPr/>
                  </pic:nvPicPr>
                  <pic:blipFill>
                    <a:blip r:embed="rId14"/>
                    <a:stretch>
                      <a:fillRect/>
                    </a:stretch>
                  </pic:blipFill>
                  <pic:spPr>
                    <a:xfrm>
                      <a:off x="0" y="0"/>
                      <a:ext cx="5727700" cy="4354195"/>
                    </a:xfrm>
                    <a:prstGeom prst="rect">
                      <a:avLst/>
                    </a:prstGeom>
                  </pic:spPr>
                </pic:pic>
              </a:graphicData>
            </a:graphic>
          </wp:inline>
        </w:drawing>
      </w:r>
    </w:p>
    <w:p w:rsidR="00D6052F" w:rsidRDefault="00D6052F" w:rsidP="00D6052F">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S8. </w:t>
      </w:r>
      <w:r>
        <w:rPr>
          <w:rFonts w:ascii="Times New Roman" w:eastAsia="Times New Roman" w:hAnsi="Times New Roman" w:cs="Times New Roman"/>
          <w:sz w:val="20"/>
          <w:szCs w:val="20"/>
        </w:rPr>
        <w:t>DeepMEL predicts evolutionary changes in accessibility.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xml:space="preserve">) Homologous (identified by stringent </w:t>
      </w:r>
      <w:proofErr w:type="spellStart"/>
      <w:r>
        <w:rPr>
          <w:rFonts w:ascii="Times New Roman" w:eastAsia="Times New Roman" w:hAnsi="Times New Roman" w:cs="Times New Roman"/>
          <w:sz w:val="20"/>
          <w:szCs w:val="20"/>
        </w:rPr>
        <w:t>liftOver</w:t>
      </w:r>
      <w:proofErr w:type="spellEnd"/>
      <w:r>
        <w:rPr>
          <w:rFonts w:ascii="Times New Roman" w:eastAsia="Times New Roman" w:hAnsi="Times New Roman" w:cs="Times New Roman"/>
          <w:sz w:val="20"/>
          <w:szCs w:val="20"/>
        </w:rPr>
        <w:t xml:space="preserve">, minimum of 99% of the bases must remap) and high sequence identity (at least 80% of the bases must be identical) MEL enhancers that are accessible and predicted as MEL in only one species are used to identify causal </w:t>
      </w:r>
      <w:r>
        <w:rPr>
          <w:rFonts w:ascii="Times New Roman" w:eastAsia="Times New Roman" w:hAnsi="Times New Roman" w:cs="Times New Roman"/>
          <w:i/>
          <w:sz w:val="20"/>
          <w:szCs w:val="20"/>
        </w:rPr>
        <w:t>cis</w:t>
      </w:r>
      <w:r>
        <w:rPr>
          <w:rFonts w:ascii="Times New Roman" w:eastAsia="Times New Roman" w:hAnsi="Times New Roman" w:cs="Times New Roman"/>
          <w:sz w:val="20"/>
          <w:szCs w:val="20"/>
        </w:rPr>
        <w:t xml:space="preserve">-regulatory mutations by calculating the delta ATAC-seq signal and delta DeepMEL score for the MEL-specific topic (topic 4). Importantly, the change in accessibility can be due to either the collapse of MEL enhancer in species B, or </w:t>
      </w:r>
      <w:r>
        <w:rPr>
          <w:rFonts w:ascii="Times New Roman" w:eastAsia="Times New Roman" w:hAnsi="Times New Roman" w:cs="Times New Roman"/>
          <w:i/>
          <w:sz w:val="20"/>
          <w:szCs w:val="20"/>
        </w:rPr>
        <w:t>vice versa</w:t>
      </w:r>
      <w:r>
        <w:rPr>
          <w:rFonts w:ascii="Times New Roman" w:eastAsia="Times New Roman" w:hAnsi="Times New Roman" w:cs="Times New Roman"/>
          <w:sz w:val="20"/>
          <w:szCs w:val="20"/>
        </w:rPr>
        <w:t xml:space="preserve"> gain of the MEL enhancer in species A. Both options have to be kept in mind as we are unable to verify whether the observed difference in accessibility originates from a loss- or gain-of-function.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Scatter plot of the DeepMEL prediction score for topic 4 in human and in another non-human mammalian species of pairs of homologous sequences. Only enhancers predicted as MEL-specific by DeepMEL (topic 4 score &gt; 0.16) in at least one of the species are used here. Enhancers are represented by a dot and are coloured by the log</w:t>
      </w:r>
      <w:r>
        <w:rPr>
          <w:rFonts w:ascii="Times New Roman" w:eastAsia="Times New Roman" w:hAnsi="Times New Roman" w:cs="Times New Roman"/>
          <w:sz w:val="20"/>
          <w:szCs w:val="20"/>
          <w:vertAlign w:val="subscript"/>
        </w:rPr>
        <w:t>2</w:t>
      </w:r>
      <w:r>
        <w:rPr>
          <w:rFonts w:ascii="Times New Roman" w:eastAsia="Times New Roman" w:hAnsi="Times New Roman" w:cs="Times New Roman"/>
          <w:sz w:val="20"/>
          <w:szCs w:val="20"/>
        </w:rPr>
        <w:t xml:space="preserve"> fold change in ATAC-seq signal between human and the other species. In the first quadrant (I) enhancers that are predicted as MEL in human but not in the other species are shown; in quadrant (II) MEL enhancers of non-human species that are not predicted as MEL in human; and the third quadrant (III) contains enhancers that are MEL-predicted in both species.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xml:space="preserve">) Scatter plot of the delta ATAC-seq signal and delta DeepMEL prediction score for topic 4 of pairs of homologous enhancers between human and another mammalian species. Dots are </w:t>
      </w:r>
      <w:proofErr w:type="spellStart"/>
      <w:r>
        <w:rPr>
          <w:rFonts w:ascii="Times New Roman" w:eastAsia="Times New Roman" w:hAnsi="Times New Roman" w:cs="Times New Roman"/>
          <w:sz w:val="20"/>
          <w:szCs w:val="20"/>
        </w:rPr>
        <w:t>colored</w:t>
      </w:r>
      <w:proofErr w:type="spellEnd"/>
      <w:r>
        <w:rPr>
          <w:rFonts w:ascii="Times New Roman" w:eastAsia="Times New Roman" w:hAnsi="Times New Roman" w:cs="Times New Roman"/>
          <w:sz w:val="20"/>
          <w:szCs w:val="20"/>
        </w:rPr>
        <w:t xml:space="preserve"> depending on the species the human homolog was compared to.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Barplots</w:t>
      </w:r>
      <w:proofErr w:type="spellEnd"/>
      <w:r>
        <w:rPr>
          <w:rFonts w:ascii="Times New Roman" w:eastAsia="Times New Roman" w:hAnsi="Times New Roman" w:cs="Times New Roman"/>
          <w:sz w:val="20"/>
          <w:szCs w:val="20"/>
        </w:rPr>
        <w:t xml:space="preserve"> showing the mean effect on the log</w:t>
      </w:r>
      <w:r>
        <w:rPr>
          <w:rFonts w:ascii="Times New Roman" w:eastAsia="Times New Roman" w:hAnsi="Times New Roman" w:cs="Times New Roman"/>
          <w:sz w:val="20"/>
          <w:szCs w:val="20"/>
          <w:vertAlign w:val="subscript"/>
        </w:rPr>
        <w:t>2</w:t>
      </w:r>
      <w:r>
        <w:rPr>
          <w:rFonts w:ascii="Times New Roman" w:eastAsia="Times New Roman" w:hAnsi="Times New Roman" w:cs="Times New Roman"/>
          <w:sz w:val="20"/>
          <w:szCs w:val="20"/>
        </w:rPr>
        <w:t xml:space="preserve"> delta ATAC-seq signal of a non-human region compared to the human homolog depending on the number of MITF, TFAP or RUNX motif hits lost or gained. Only regions having no change in the number of significant motifs hits for the other three </w:t>
      </w:r>
      <w:proofErr w:type="spellStart"/>
      <w:r>
        <w:rPr>
          <w:rFonts w:ascii="Times New Roman" w:eastAsia="Times New Roman" w:hAnsi="Times New Roman" w:cs="Times New Roman"/>
          <w:sz w:val="20"/>
          <w:szCs w:val="20"/>
        </w:rPr>
        <w:t>CoRC</w:t>
      </w:r>
      <w:proofErr w:type="spellEnd"/>
      <w:r>
        <w:rPr>
          <w:rFonts w:ascii="Times New Roman" w:eastAsia="Times New Roman" w:hAnsi="Times New Roman" w:cs="Times New Roman"/>
          <w:sz w:val="20"/>
          <w:szCs w:val="20"/>
        </w:rPr>
        <w:t xml:space="preserve"> factors were used. The y-axis is normalised to the category with no changes in the number of significant motif hits. The number of regions in each of the categories is mentioned (#). </w:t>
      </w:r>
    </w:p>
    <w:p w:rsidR="00D6052F" w:rsidRDefault="00C87418" w:rsidP="00D6052F">
      <w:pPr>
        <w:jc w:val="both"/>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lastRenderedPageBreak/>
        <w:drawing>
          <wp:inline distT="0" distB="0" distL="0" distR="0">
            <wp:extent cx="5727700" cy="43072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pplemental_Fig_S9-01.png"/>
                    <pic:cNvPicPr/>
                  </pic:nvPicPr>
                  <pic:blipFill>
                    <a:blip r:embed="rId15"/>
                    <a:stretch>
                      <a:fillRect/>
                    </a:stretch>
                  </pic:blipFill>
                  <pic:spPr>
                    <a:xfrm>
                      <a:off x="0" y="0"/>
                      <a:ext cx="5727700" cy="4307205"/>
                    </a:xfrm>
                    <a:prstGeom prst="rect">
                      <a:avLst/>
                    </a:prstGeom>
                  </pic:spPr>
                </pic:pic>
              </a:graphicData>
            </a:graphic>
          </wp:inline>
        </w:drawing>
      </w:r>
    </w:p>
    <w:p w:rsidR="00C723B8" w:rsidRPr="00C87418" w:rsidRDefault="00D6052F" w:rsidP="00C87418">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S9</w:t>
      </w:r>
      <w:r>
        <w:rPr>
          <w:rFonts w:ascii="Times New Roman" w:eastAsia="Times New Roman" w:hAnsi="Times New Roman" w:cs="Times New Roman"/>
          <w:sz w:val="20"/>
          <w:szCs w:val="20"/>
        </w:rPr>
        <w:t xml:space="preserve">. SOX10 binding site disruption destroys enhancer accessibility in </w:t>
      </w:r>
      <w:r>
        <w:rPr>
          <w:rFonts w:ascii="Times New Roman" w:eastAsia="Times New Roman" w:hAnsi="Times New Roman" w:cs="Times New Roman"/>
          <w:i/>
          <w:sz w:val="20"/>
          <w:szCs w:val="20"/>
        </w:rPr>
        <w:t>KIF1B</w:t>
      </w:r>
      <w:r>
        <w:rPr>
          <w:rFonts w:ascii="Times New Roman" w:eastAsia="Times New Roman" w:hAnsi="Times New Roman" w:cs="Times New Roman"/>
          <w:sz w:val="20"/>
          <w:szCs w:val="20"/>
        </w:rPr>
        <w:t xml:space="preserve"> MEL enhancer. (</w:t>
      </w:r>
      <w:r>
        <w:rPr>
          <w:rFonts w:ascii="Times New Roman" w:eastAsia="Times New Roman" w:hAnsi="Times New Roman" w:cs="Times New Roman"/>
          <w:i/>
          <w:sz w:val="20"/>
          <w:szCs w:val="20"/>
        </w:rPr>
        <w:t>A</w:t>
      </w:r>
      <w:r>
        <w:rPr>
          <w:rFonts w:ascii="Times New Roman" w:eastAsia="Times New Roman" w:hAnsi="Times New Roman" w:cs="Times New Roman"/>
          <w:sz w:val="20"/>
          <w:szCs w:val="20"/>
        </w:rPr>
        <w:t>) Example MEL enhancer of KIF1B, which is accessible in human (MM001) but not in dog (Dog-OralMel-18249). (</w:t>
      </w:r>
      <w:r>
        <w:rPr>
          <w:rFonts w:ascii="Times New Roman" w:eastAsia="Times New Roman" w:hAnsi="Times New Roman" w:cs="Times New Roman"/>
          <w:i/>
          <w:sz w:val="20"/>
          <w:szCs w:val="20"/>
        </w:rPr>
        <w:t>B</w:t>
      </w:r>
      <w:r>
        <w:rPr>
          <w:rFonts w:ascii="Times New Roman" w:eastAsia="Times New Roman" w:hAnsi="Times New Roman" w:cs="Times New Roman"/>
          <w:sz w:val="20"/>
          <w:szCs w:val="20"/>
        </w:rPr>
        <w:t>) Both the human and dog regions show nearly no enhancer activity as measured by a luciferase assay in MM001. (</w:t>
      </w:r>
      <w:r>
        <w:rPr>
          <w:rFonts w:ascii="Times New Roman" w:eastAsia="Times New Roman" w:hAnsi="Times New Roman" w:cs="Times New Roman"/>
          <w:i/>
          <w:sz w:val="20"/>
          <w:szCs w:val="20"/>
        </w:rPr>
        <w:t>C</w:t>
      </w:r>
      <w:r>
        <w:rPr>
          <w:rFonts w:ascii="Times New Roman" w:eastAsia="Times New Roman" w:hAnsi="Times New Roman" w:cs="Times New Roman"/>
          <w:sz w:val="20"/>
          <w:szCs w:val="20"/>
        </w:rPr>
        <w:t>) The region is predicted as MEL in human but not in dog. (</w:t>
      </w:r>
      <w:r>
        <w:rPr>
          <w:rFonts w:ascii="Times New Roman" w:eastAsia="Times New Roman" w:hAnsi="Times New Roman" w:cs="Times New Roman"/>
          <w:i/>
          <w:sz w:val="20"/>
          <w:szCs w:val="20"/>
        </w:rPr>
        <w:t>D</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DeepExplainer</w:t>
      </w:r>
      <w:proofErr w:type="spellEnd"/>
      <w:r>
        <w:rPr>
          <w:rFonts w:ascii="Times New Roman" w:eastAsia="Times New Roman" w:hAnsi="Times New Roman" w:cs="Times New Roman"/>
          <w:sz w:val="20"/>
          <w:szCs w:val="20"/>
        </w:rPr>
        <w:t xml:space="preserve"> profiles for human and dog are shown for the </w:t>
      </w:r>
      <w:r>
        <w:rPr>
          <w:rFonts w:ascii="Times New Roman" w:eastAsia="Times New Roman" w:hAnsi="Times New Roman" w:cs="Times New Roman"/>
          <w:i/>
          <w:sz w:val="20"/>
          <w:szCs w:val="20"/>
        </w:rPr>
        <w:t>KIF1B</w:t>
      </w:r>
      <w:r>
        <w:rPr>
          <w:rFonts w:ascii="Times New Roman" w:eastAsia="Times New Roman" w:hAnsi="Times New Roman" w:cs="Times New Roman"/>
          <w:sz w:val="20"/>
          <w:szCs w:val="20"/>
        </w:rPr>
        <w:t xml:space="preserve"> region together with motifs hits for SOX10, TFAP2A, RUNX and MITF. Only for SOX10, two significant motif hits are visible in the human sequence. The middle row shows indels (black dashed lines) and individual point mutations (indicated by dashed lines, the colour indicates the human base (top dashed line) and the dog base (bottom dashed line)) and the dots represent the effect on the MEL DeepMEL score of the point mutations. In the zoom-in, the two A-to-G mutations that cause disruption of two SOX10 motif hits in the </w:t>
      </w:r>
      <w:r>
        <w:rPr>
          <w:rFonts w:ascii="Times New Roman" w:eastAsia="Times New Roman" w:hAnsi="Times New Roman" w:cs="Times New Roman"/>
          <w:i/>
          <w:sz w:val="20"/>
          <w:szCs w:val="20"/>
        </w:rPr>
        <w:t>KIF1B</w:t>
      </w:r>
      <w:r>
        <w:rPr>
          <w:rFonts w:ascii="Times New Roman" w:eastAsia="Times New Roman" w:hAnsi="Times New Roman" w:cs="Times New Roman"/>
          <w:sz w:val="20"/>
          <w:szCs w:val="20"/>
        </w:rPr>
        <w:t xml:space="preserve"> region in dog are shown. (</w:t>
      </w:r>
      <w:r>
        <w:rPr>
          <w:rFonts w:ascii="Times New Roman" w:eastAsia="Times New Roman" w:hAnsi="Times New Roman" w:cs="Times New Roman"/>
          <w:i/>
          <w:sz w:val="20"/>
          <w:szCs w:val="20"/>
        </w:rPr>
        <w:t>E</w:t>
      </w:r>
      <w:r>
        <w:rPr>
          <w:rFonts w:ascii="Times New Roman" w:eastAsia="Times New Roman" w:hAnsi="Times New Roman" w:cs="Times New Roman"/>
          <w:sz w:val="20"/>
          <w:szCs w:val="20"/>
        </w:rPr>
        <w:t xml:space="preserve">) The effect on the MEL prediction score could mainly be explained by the </w:t>
      </w:r>
      <w:proofErr w:type="gramStart"/>
      <w:r>
        <w:rPr>
          <w:rFonts w:ascii="Times New Roman" w:eastAsia="Times New Roman" w:hAnsi="Times New Roman" w:cs="Times New Roman"/>
          <w:sz w:val="20"/>
          <w:szCs w:val="20"/>
        </w:rPr>
        <w:t>two point</w:t>
      </w:r>
      <w:proofErr w:type="gramEnd"/>
      <w:r>
        <w:rPr>
          <w:rFonts w:ascii="Times New Roman" w:eastAsia="Times New Roman" w:hAnsi="Times New Roman" w:cs="Times New Roman"/>
          <w:sz w:val="20"/>
          <w:szCs w:val="20"/>
        </w:rPr>
        <w:t xml:space="preserve"> mutations in the two SOX10 motifs.</w:t>
      </w:r>
      <w:bookmarkStart w:id="1" w:name="_vty3wi9hdaif" w:colFirst="0" w:colLast="0"/>
      <w:bookmarkStart w:id="2" w:name="_GoBack"/>
      <w:bookmarkEnd w:id="1"/>
      <w:bookmarkEnd w:id="2"/>
    </w:p>
    <w:sectPr w:rsidR="00C723B8" w:rsidRPr="00C87418" w:rsidSect="00C87418">
      <w:footerReference w:type="even" r:id="rId16"/>
      <w:footerReference w:type="default" r:id="rId17"/>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60BB" w:rsidRDefault="00D060BB" w:rsidP="00C87418">
      <w:pPr>
        <w:spacing w:line="240" w:lineRule="auto"/>
      </w:pPr>
      <w:r>
        <w:separator/>
      </w:r>
    </w:p>
  </w:endnote>
  <w:endnote w:type="continuationSeparator" w:id="0">
    <w:p w:rsidR="00D060BB" w:rsidRDefault="00D060BB" w:rsidP="00C874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42952282"/>
      <w:docPartObj>
        <w:docPartGallery w:val="Page Numbers (Bottom of Page)"/>
        <w:docPartUnique/>
      </w:docPartObj>
    </w:sdtPr>
    <w:sdtContent>
      <w:p w:rsidR="00C87418" w:rsidRDefault="00C87418" w:rsidP="00593B81">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C87418" w:rsidRDefault="00C87418" w:rsidP="00C87418">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4330045"/>
      <w:docPartObj>
        <w:docPartGallery w:val="Page Numbers (Bottom of Page)"/>
        <w:docPartUnique/>
      </w:docPartObj>
    </w:sdtPr>
    <w:sdtContent>
      <w:p w:rsidR="00C87418" w:rsidRDefault="00C87418" w:rsidP="00593B81">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C87418" w:rsidRDefault="00C87418" w:rsidP="00C87418">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60BB" w:rsidRDefault="00D060BB" w:rsidP="00C87418">
      <w:pPr>
        <w:spacing w:line="240" w:lineRule="auto"/>
      </w:pPr>
      <w:r>
        <w:separator/>
      </w:r>
    </w:p>
  </w:footnote>
  <w:footnote w:type="continuationSeparator" w:id="0">
    <w:p w:rsidR="00D060BB" w:rsidRDefault="00D060BB" w:rsidP="00C87418">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52F"/>
    <w:rsid w:val="00144CEE"/>
    <w:rsid w:val="00195458"/>
    <w:rsid w:val="001B0BE7"/>
    <w:rsid w:val="00235A05"/>
    <w:rsid w:val="004B38C7"/>
    <w:rsid w:val="005267D0"/>
    <w:rsid w:val="00614D85"/>
    <w:rsid w:val="006F7016"/>
    <w:rsid w:val="00703365"/>
    <w:rsid w:val="00773AED"/>
    <w:rsid w:val="008C6EF0"/>
    <w:rsid w:val="00994A95"/>
    <w:rsid w:val="00996306"/>
    <w:rsid w:val="00A45FA3"/>
    <w:rsid w:val="00A7045D"/>
    <w:rsid w:val="00AC6BC2"/>
    <w:rsid w:val="00AD4DCB"/>
    <w:rsid w:val="00AE44C0"/>
    <w:rsid w:val="00B5296B"/>
    <w:rsid w:val="00C52FFC"/>
    <w:rsid w:val="00C87418"/>
    <w:rsid w:val="00CB1846"/>
    <w:rsid w:val="00D03A5F"/>
    <w:rsid w:val="00D060BB"/>
    <w:rsid w:val="00D25CBE"/>
    <w:rsid w:val="00D6052F"/>
    <w:rsid w:val="00E346D8"/>
    <w:rsid w:val="00EF3712"/>
    <w:rsid w:val="00F05DB2"/>
    <w:rsid w:val="00F63D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690364"/>
  <w14:defaultImageDpi w14:val="32767"/>
  <w15:chartTrackingRefBased/>
  <w15:docId w15:val="{75F39750-9AA3-B741-960D-E4B77CC8C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6052F"/>
    <w:pPr>
      <w:spacing w:line="276" w:lineRule="auto"/>
    </w:pPr>
    <w:rPr>
      <w:rFonts w:ascii="Arial" w:eastAsia="Arial" w:hAnsi="Arial" w:cs="Arial"/>
      <w:sz w:val="22"/>
      <w:szCs w:val="22"/>
    </w:rPr>
  </w:style>
  <w:style w:type="paragraph" w:styleId="Heading2">
    <w:name w:val="heading 2"/>
    <w:basedOn w:val="Normal"/>
    <w:next w:val="Normal"/>
    <w:link w:val="Heading2Char"/>
    <w:uiPriority w:val="9"/>
    <w:unhideWhenUsed/>
    <w:qFormat/>
    <w:rsid w:val="00D6052F"/>
    <w:pPr>
      <w:keepNext/>
      <w:keepLines/>
      <w:spacing w:before="360" w:after="120"/>
      <w:outlineLvl w:val="1"/>
    </w:pPr>
    <w:rPr>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6052F"/>
    <w:rPr>
      <w:rFonts w:ascii="Arial" w:eastAsia="Arial" w:hAnsi="Arial" w:cs="Arial"/>
      <w:sz w:val="32"/>
      <w:szCs w:val="32"/>
    </w:rPr>
  </w:style>
  <w:style w:type="character" w:styleId="LineNumber">
    <w:name w:val="line number"/>
    <w:basedOn w:val="DefaultParagraphFont"/>
    <w:uiPriority w:val="99"/>
    <w:semiHidden/>
    <w:unhideWhenUsed/>
    <w:rsid w:val="00C87418"/>
  </w:style>
  <w:style w:type="paragraph" w:styleId="Footer">
    <w:name w:val="footer"/>
    <w:basedOn w:val="Normal"/>
    <w:link w:val="FooterChar"/>
    <w:uiPriority w:val="99"/>
    <w:unhideWhenUsed/>
    <w:rsid w:val="00C87418"/>
    <w:pPr>
      <w:tabs>
        <w:tab w:val="center" w:pos="4680"/>
        <w:tab w:val="right" w:pos="9360"/>
      </w:tabs>
      <w:spacing w:line="240" w:lineRule="auto"/>
    </w:pPr>
  </w:style>
  <w:style w:type="character" w:customStyle="1" w:styleId="FooterChar">
    <w:name w:val="Footer Char"/>
    <w:basedOn w:val="DefaultParagraphFont"/>
    <w:link w:val="Footer"/>
    <w:uiPriority w:val="99"/>
    <w:rsid w:val="00C87418"/>
    <w:rPr>
      <w:rFonts w:ascii="Arial" w:eastAsia="Arial" w:hAnsi="Arial" w:cs="Arial"/>
      <w:sz w:val="22"/>
      <w:szCs w:val="22"/>
    </w:rPr>
  </w:style>
  <w:style w:type="character" w:styleId="PageNumber">
    <w:name w:val="page number"/>
    <w:basedOn w:val="DefaultParagraphFont"/>
    <w:uiPriority w:val="99"/>
    <w:semiHidden/>
    <w:unhideWhenUsed/>
    <w:rsid w:val="00C874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2D6C45-22BD-DF43-AB9C-A88C766F5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Pages>
  <Words>1913</Words>
  <Characters>10906</Characters>
  <Application>Microsoft Office Word</Application>
  <DocSecurity>0</DocSecurity>
  <Lines>90</Lines>
  <Paragraphs>25</Paragraphs>
  <ScaleCrop>false</ScaleCrop>
  <Company/>
  <LinksUpToDate>false</LinksUpToDate>
  <CharactersWithSpaces>12794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liesbeth MINNOYE</dc:creator>
  <cp:keywords/>
  <dc:description/>
  <cp:lastModifiedBy>liesbeth MINNOYE</cp:lastModifiedBy>
  <cp:revision>2</cp:revision>
  <dcterms:created xsi:type="dcterms:W3CDTF">2020-06-09T07:50:00Z</dcterms:created>
  <dcterms:modified xsi:type="dcterms:W3CDTF">2020-06-09T08:14:00Z</dcterms:modified>
</cp:coreProperties>
</file>