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BBA24" w14:textId="315B87FF" w:rsidR="007B555B" w:rsidRPr="00864255" w:rsidRDefault="00095334">
      <w:pPr>
        <w:rPr>
          <w:rFonts w:ascii="Arial" w:hAnsi="Arial" w:cs="Arial"/>
          <w:b/>
          <w:bCs/>
        </w:rPr>
      </w:pPr>
      <w:r w:rsidRPr="00864255">
        <w:rPr>
          <w:rFonts w:ascii="Arial" w:hAnsi="Arial" w:cs="Arial"/>
          <w:b/>
          <w:bCs/>
        </w:rPr>
        <w:t>Supplementary material</w:t>
      </w:r>
    </w:p>
    <w:p w14:paraId="1F7D16D5" w14:textId="1CE1B103" w:rsidR="009D437F" w:rsidRDefault="009D437F">
      <w:pPr>
        <w:rPr>
          <w:rFonts w:ascii="Arial" w:hAnsi="Arial" w:cs="Arial"/>
        </w:rPr>
      </w:pPr>
    </w:p>
    <w:p w14:paraId="19508C72" w14:textId="4228A869" w:rsidR="009D437F" w:rsidRDefault="009D437F">
      <w:pPr>
        <w:rPr>
          <w:rFonts w:ascii="Arial" w:hAnsi="Arial" w:cs="Arial"/>
        </w:rPr>
      </w:pPr>
    </w:p>
    <w:p w14:paraId="099E4D01" w14:textId="2945E43E" w:rsidR="00864255" w:rsidRDefault="00864255" w:rsidP="009D437F">
      <w:pPr>
        <w:pStyle w:val="ListParagraph"/>
        <w:numPr>
          <w:ilvl w:val="0"/>
          <w:numId w:val="1"/>
        </w:numPr>
        <w:rPr>
          <w:rFonts w:ascii="Arial" w:hAnsi="Arial" w:cs="Arial"/>
        </w:rPr>
      </w:pPr>
      <w:r>
        <w:rPr>
          <w:rFonts w:ascii="Arial" w:hAnsi="Arial" w:cs="Arial"/>
        </w:rPr>
        <w:t>Table legends.</w:t>
      </w:r>
    </w:p>
    <w:p w14:paraId="2CD1AA6C" w14:textId="6EF35F5C" w:rsidR="009D437F" w:rsidRDefault="009D437F" w:rsidP="009D437F">
      <w:pPr>
        <w:pStyle w:val="ListParagraph"/>
        <w:numPr>
          <w:ilvl w:val="0"/>
          <w:numId w:val="1"/>
        </w:numPr>
        <w:rPr>
          <w:rFonts w:ascii="Arial" w:hAnsi="Arial" w:cs="Arial"/>
        </w:rPr>
      </w:pPr>
      <w:r>
        <w:rPr>
          <w:rFonts w:ascii="Arial" w:hAnsi="Arial" w:cs="Arial"/>
        </w:rPr>
        <w:t>Supplementary figures.</w:t>
      </w:r>
    </w:p>
    <w:p w14:paraId="7FE90C12" w14:textId="197105C4" w:rsidR="009D437F" w:rsidRDefault="009D437F" w:rsidP="009D437F">
      <w:pPr>
        <w:pStyle w:val="ListParagraph"/>
        <w:numPr>
          <w:ilvl w:val="0"/>
          <w:numId w:val="1"/>
        </w:numPr>
        <w:rPr>
          <w:rFonts w:ascii="Arial" w:hAnsi="Arial" w:cs="Arial"/>
        </w:rPr>
      </w:pPr>
      <w:r>
        <w:rPr>
          <w:rFonts w:ascii="Arial" w:hAnsi="Arial" w:cs="Arial"/>
        </w:rPr>
        <w:t>Supplementary m</w:t>
      </w:r>
      <w:r w:rsidRPr="009D437F">
        <w:rPr>
          <w:rFonts w:ascii="Arial" w:hAnsi="Arial" w:cs="Arial"/>
        </w:rPr>
        <w:t xml:space="preserve">aterials and </w:t>
      </w:r>
      <w:r>
        <w:rPr>
          <w:rFonts w:ascii="Arial" w:hAnsi="Arial" w:cs="Arial"/>
        </w:rPr>
        <w:t>m</w:t>
      </w:r>
      <w:r w:rsidRPr="009D437F">
        <w:rPr>
          <w:rFonts w:ascii="Arial" w:hAnsi="Arial" w:cs="Arial"/>
        </w:rPr>
        <w:t>ethods</w:t>
      </w:r>
      <w:r>
        <w:rPr>
          <w:rFonts w:ascii="Arial" w:hAnsi="Arial" w:cs="Arial"/>
        </w:rPr>
        <w:t>.</w:t>
      </w:r>
    </w:p>
    <w:p w14:paraId="1FF6F36B" w14:textId="661F5A31" w:rsidR="00FB1ACA" w:rsidRDefault="00FB1ACA" w:rsidP="009D437F">
      <w:pPr>
        <w:pStyle w:val="ListParagraph"/>
        <w:numPr>
          <w:ilvl w:val="0"/>
          <w:numId w:val="1"/>
        </w:numPr>
        <w:rPr>
          <w:rFonts w:ascii="Arial" w:hAnsi="Arial" w:cs="Arial"/>
        </w:rPr>
      </w:pPr>
      <w:r>
        <w:rPr>
          <w:rFonts w:ascii="Arial" w:hAnsi="Arial" w:cs="Arial"/>
        </w:rPr>
        <w:t>Supplementary references</w:t>
      </w:r>
    </w:p>
    <w:p w14:paraId="5F19B2CD" w14:textId="5B588A2A" w:rsidR="009D437F" w:rsidRDefault="009D437F" w:rsidP="009D437F">
      <w:pPr>
        <w:rPr>
          <w:rFonts w:ascii="Arial" w:hAnsi="Arial" w:cs="Arial"/>
        </w:rPr>
      </w:pPr>
    </w:p>
    <w:p w14:paraId="6EB9655E" w14:textId="5972A781" w:rsidR="009D437F" w:rsidRDefault="009D437F" w:rsidP="009D437F">
      <w:pPr>
        <w:rPr>
          <w:rFonts w:ascii="Arial" w:hAnsi="Arial" w:cs="Arial"/>
        </w:rPr>
      </w:pPr>
    </w:p>
    <w:p w14:paraId="6E31C9E7" w14:textId="77777777" w:rsidR="00FD7F6C" w:rsidRDefault="00FD7F6C">
      <w:pPr>
        <w:rPr>
          <w:rFonts w:ascii="Arial" w:hAnsi="Arial" w:cs="Arial"/>
        </w:rPr>
      </w:pPr>
      <w:r>
        <w:rPr>
          <w:rFonts w:ascii="Arial" w:hAnsi="Arial" w:cs="Arial"/>
        </w:rPr>
        <w:br w:type="page"/>
      </w:r>
    </w:p>
    <w:p w14:paraId="3B73CDD8" w14:textId="64ACA46B" w:rsidR="002812E4" w:rsidRPr="00864255" w:rsidRDefault="002812E4" w:rsidP="00FD7F6C">
      <w:pPr>
        <w:spacing w:after="120" w:line="360" w:lineRule="auto"/>
        <w:jc w:val="both"/>
        <w:rPr>
          <w:rFonts w:ascii="Arial" w:hAnsi="Arial" w:cs="Arial"/>
          <w:b/>
          <w:bCs/>
        </w:rPr>
      </w:pPr>
    </w:p>
    <w:p w14:paraId="24F1CF02" w14:textId="77777777" w:rsidR="00864255" w:rsidRPr="00864255" w:rsidRDefault="00864255" w:rsidP="00864255">
      <w:pPr>
        <w:pStyle w:val="ListParagraph"/>
        <w:numPr>
          <w:ilvl w:val="0"/>
          <w:numId w:val="5"/>
        </w:numPr>
        <w:rPr>
          <w:rFonts w:ascii="Arial" w:hAnsi="Arial" w:cs="Arial"/>
          <w:b/>
          <w:bCs/>
        </w:rPr>
      </w:pPr>
      <w:r w:rsidRPr="00864255">
        <w:rPr>
          <w:rFonts w:ascii="Arial" w:hAnsi="Arial" w:cs="Arial"/>
          <w:b/>
          <w:bCs/>
        </w:rPr>
        <w:t>Table legends.</w:t>
      </w:r>
    </w:p>
    <w:p w14:paraId="07181B40" w14:textId="77777777" w:rsidR="00864255" w:rsidRDefault="00864255" w:rsidP="005C29DE">
      <w:pPr>
        <w:spacing w:after="120" w:line="360" w:lineRule="auto"/>
        <w:jc w:val="both"/>
        <w:rPr>
          <w:rFonts w:ascii="Arial" w:hAnsi="Arial" w:cs="Arial"/>
        </w:rPr>
      </w:pPr>
    </w:p>
    <w:p w14:paraId="7CB8A44B" w14:textId="44D1BDF7" w:rsidR="005C29DE" w:rsidRPr="005C29DE" w:rsidRDefault="005C29DE" w:rsidP="005C29DE">
      <w:pPr>
        <w:spacing w:after="120" w:line="360" w:lineRule="auto"/>
        <w:jc w:val="both"/>
        <w:rPr>
          <w:rFonts w:ascii="Arial" w:hAnsi="Arial" w:cs="Arial"/>
        </w:rPr>
      </w:pPr>
      <w:r w:rsidRPr="00864255">
        <w:rPr>
          <w:rFonts w:ascii="Arial" w:hAnsi="Arial" w:cs="Arial"/>
          <w:b/>
          <w:bCs/>
        </w:rPr>
        <w:t>Table S1</w:t>
      </w:r>
      <w:r w:rsidR="00864255" w:rsidRPr="00864255">
        <w:rPr>
          <w:rFonts w:ascii="Arial" w:hAnsi="Arial" w:cs="Arial"/>
          <w:b/>
          <w:bCs/>
        </w:rPr>
        <w:t>.</w:t>
      </w:r>
      <w:r w:rsidRPr="005C29DE">
        <w:rPr>
          <w:rFonts w:ascii="Arial" w:hAnsi="Arial" w:cs="Arial"/>
        </w:rPr>
        <w:t xml:space="preserve"> Number of raw and mapped reads for all high-throughput sequencing samples.</w:t>
      </w:r>
    </w:p>
    <w:p w14:paraId="5283D1BF" w14:textId="3C271836" w:rsidR="005C29DE" w:rsidRPr="005C29DE" w:rsidRDefault="005C29DE" w:rsidP="005C29DE">
      <w:pPr>
        <w:spacing w:after="120" w:line="360" w:lineRule="auto"/>
        <w:jc w:val="both"/>
        <w:rPr>
          <w:rFonts w:ascii="Arial" w:hAnsi="Arial" w:cs="Arial"/>
        </w:rPr>
      </w:pPr>
      <w:r w:rsidRPr="00864255">
        <w:rPr>
          <w:rFonts w:ascii="Arial" w:hAnsi="Arial" w:cs="Arial"/>
          <w:b/>
          <w:bCs/>
        </w:rPr>
        <w:t>Table S2</w:t>
      </w:r>
      <w:r w:rsidR="00864255" w:rsidRPr="00864255">
        <w:rPr>
          <w:rFonts w:ascii="Arial" w:hAnsi="Arial" w:cs="Arial"/>
          <w:b/>
          <w:bCs/>
        </w:rPr>
        <w:t>.</w:t>
      </w:r>
      <w:r w:rsidRPr="005C29DE">
        <w:rPr>
          <w:rFonts w:ascii="Arial" w:hAnsi="Arial" w:cs="Arial"/>
        </w:rPr>
        <w:t xml:space="preserve"> Lists of enriched regions for ATAC-seq and ChIP-seq experiments along with differential analyses results and annotations.</w:t>
      </w:r>
    </w:p>
    <w:p w14:paraId="26127A02" w14:textId="0EAFEABF" w:rsidR="005C29DE" w:rsidRPr="005C29DE" w:rsidRDefault="005C29DE" w:rsidP="005C29DE">
      <w:pPr>
        <w:spacing w:after="120" w:line="360" w:lineRule="auto"/>
        <w:jc w:val="both"/>
        <w:rPr>
          <w:rFonts w:ascii="Arial" w:hAnsi="Arial" w:cs="Arial"/>
        </w:rPr>
      </w:pPr>
      <w:r w:rsidRPr="00864255">
        <w:rPr>
          <w:rFonts w:ascii="Arial" w:hAnsi="Arial" w:cs="Arial"/>
          <w:b/>
          <w:bCs/>
        </w:rPr>
        <w:t>Table S3</w:t>
      </w:r>
      <w:r w:rsidR="00864255" w:rsidRPr="00864255">
        <w:rPr>
          <w:rFonts w:ascii="Arial" w:hAnsi="Arial" w:cs="Arial"/>
          <w:b/>
          <w:bCs/>
        </w:rPr>
        <w:t>.</w:t>
      </w:r>
      <w:r w:rsidRPr="005C29DE">
        <w:rPr>
          <w:rFonts w:ascii="Arial" w:hAnsi="Arial" w:cs="Arial"/>
        </w:rPr>
        <w:t xml:space="preserve"> Raw read counts and differential analyses results at repetitive elements.</w:t>
      </w:r>
    </w:p>
    <w:p w14:paraId="2DDF6E9A" w14:textId="195472ED" w:rsidR="005C29DE" w:rsidRPr="005C29DE" w:rsidRDefault="005C29DE" w:rsidP="005C29DE">
      <w:pPr>
        <w:spacing w:after="120" w:line="360" w:lineRule="auto"/>
        <w:jc w:val="both"/>
        <w:rPr>
          <w:rFonts w:ascii="Arial" w:hAnsi="Arial" w:cs="Arial"/>
        </w:rPr>
      </w:pPr>
      <w:r w:rsidRPr="00864255">
        <w:rPr>
          <w:rFonts w:ascii="Arial" w:hAnsi="Arial" w:cs="Arial"/>
          <w:b/>
          <w:bCs/>
        </w:rPr>
        <w:t>Table S4</w:t>
      </w:r>
      <w:r w:rsidR="00864255" w:rsidRPr="00864255">
        <w:rPr>
          <w:rFonts w:ascii="Arial" w:hAnsi="Arial" w:cs="Arial"/>
          <w:b/>
          <w:bCs/>
        </w:rPr>
        <w:t>.</w:t>
      </w:r>
      <w:r w:rsidRPr="005C29DE">
        <w:rPr>
          <w:rFonts w:ascii="Arial" w:hAnsi="Arial" w:cs="Arial"/>
        </w:rPr>
        <w:t xml:space="preserve"> Results of differential gene expression analyses.</w:t>
      </w:r>
    </w:p>
    <w:p w14:paraId="6FA2D58C" w14:textId="6E060D89" w:rsidR="005C29DE" w:rsidRPr="005C29DE" w:rsidRDefault="005C29DE" w:rsidP="005C29DE">
      <w:pPr>
        <w:spacing w:after="120" w:line="360" w:lineRule="auto"/>
        <w:jc w:val="both"/>
        <w:rPr>
          <w:rFonts w:ascii="Arial" w:hAnsi="Arial" w:cs="Arial"/>
        </w:rPr>
      </w:pPr>
      <w:r w:rsidRPr="00864255">
        <w:rPr>
          <w:rFonts w:ascii="Arial" w:hAnsi="Arial" w:cs="Arial"/>
          <w:b/>
          <w:bCs/>
        </w:rPr>
        <w:t>Table S5</w:t>
      </w:r>
      <w:r w:rsidR="00864255" w:rsidRPr="00864255">
        <w:rPr>
          <w:rFonts w:ascii="Arial" w:hAnsi="Arial" w:cs="Arial"/>
          <w:b/>
          <w:bCs/>
        </w:rPr>
        <w:t>.</w:t>
      </w:r>
      <w:r w:rsidRPr="005C29DE">
        <w:rPr>
          <w:rFonts w:ascii="Arial" w:hAnsi="Arial" w:cs="Arial"/>
        </w:rPr>
        <w:t xml:space="preserve"> Complete results from motif enrichment and functional annotation analyses.</w:t>
      </w:r>
    </w:p>
    <w:p w14:paraId="4E2C8B9D" w14:textId="7D2DE8ED" w:rsidR="002812E4" w:rsidRDefault="005C29DE" w:rsidP="005C29DE">
      <w:pPr>
        <w:spacing w:after="120" w:line="360" w:lineRule="auto"/>
        <w:jc w:val="both"/>
        <w:rPr>
          <w:rFonts w:ascii="Arial" w:hAnsi="Arial" w:cs="Arial"/>
        </w:rPr>
      </w:pPr>
      <w:r w:rsidRPr="00864255">
        <w:rPr>
          <w:rFonts w:ascii="Arial" w:hAnsi="Arial" w:cs="Arial"/>
          <w:b/>
          <w:bCs/>
        </w:rPr>
        <w:t>Table S6</w:t>
      </w:r>
      <w:r w:rsidR="00864255" w:rsidRPr="00864255">
        <w:rPr>
          <w:rFonts w:ascii="Arial" w:hAnsi="Arial" w:cs="Arial"/>
          <w:b/>
          <w:bCs/>
        </w:rPr>
        <w:t>.</w:t>
      </w:r>
      <w:r w:rsidRPr="005C29DE">
        <w:rPr>
          <w:rFonts w:ascii="Arial" w:hAnsi="Arial" w:cs="Arial"/>
        </w:rPr>
        <w:t xml:space="preserve"> List of antibodies used in ChIP-seq experiments. Nucleoside transition and retention times for Mass Spectrometry analysis.</w:t>
      </w:r>
    </w:p>
    <w:p w14:paraId="58E98744" w14:textId="0B8ED51D" w:rsidR="002812E4" w:rsidRDefault="002812E4">
      <w:pPr>
        <w:rPr>
          <w:rFonts w:ascii="Arial" w:eastAsia="MS Mincho" w:hAnsi="Arial" w:cs="Arial"/>
          <w:b/>
        </w:rPr>
      </w:pPr>
      <w:r>
        <w:rPr>
          <w:rFonts w:ascii="Arial" w:eastAsia="MS Mincho" w:hAnsi="Arial" w:cs="Arial"/>
          <w:b/>
        </w:rPr>
        <w:br w:type="page"/>
      </w:r>
    </w:p>
    <w:p w14:paraId="673C56FA" w14:textId="6D14F200" w:rsidR="00864255" w:rsidRPr="002812E4" w:rsidRDefault="00864255" w:rsidP="00864255">
      <w:pPr>
        <w:pStyle w:val="ListParagraph"/>
        <w:numPr>
          <w:ilvl w:val="0"/>
          <w:numId w:val="5"/>
        </w:numPr>
        <w:spacing w:after="120" w:line="360" w:lineRule="auto"/>
        <w:jc w:val="both"/>
        <w:rPr>
          <w:rFonts w:ascii="Arial" w:hAnsi="Arial" w:cs="Arial"/>
          <w:b/>
          <w:bCs/>
        </w:rPr>
      </w:pPr>
      <w:r w:rsidRPr="002812E4">
        <w:rPr>
          <w:rFonts w:ascii="Arial" w:hAnsi="Arial" w:cs="Arial"/>
          <w:b/>
          <w:bCs/>
        </w:rPr>
        <w:lastRenderedPageBreak/>
        <w:t>Supplementary figures</w:t>
      </w:r>
      <w:r>
        <w:rPr>
          <w:rFonts w:ascii="Arial" w:hAnsi="Arial" w:cs="Arial"/>
          <w:b/>
          <w:bCs/>
        </w:rPr>
        <w:t>.</w:t>
      </w:r>
    </w:p>
    <w:p w14:paraId="01925E67" w14:textId="7084AD4A" w:rsidR="00864255" w:rsidRDefault="00864255">
      <w:pPr>
        <w:rPr>
          <w:rFonts w:ascii="Arial" w:eastAsia="MS Mincho" w:hAnsi="Arial" w:cs="Arial"/>
          <w:b/>
        </w:rPr>
      </w:pPr>
      <w:r>
        <w:rPr>
          <w:rFonts w:ascii="Arial" w:eastAsia="MS Mincho" w:hAnsi="Arial" w:cs="Arial"/>
          <w:b/>
        </w:rPr>
        <w:br w:type="page"/>
      </w:r>
    </w:p>
    <w:p w14:paraId="2CF8D81C" w14:textId="77777777" w:rsidR="00864255" w:rsidRDefault="00864255">
      <w:pPr>
        <w:rPr>
          <w:rFonts w:ascii="Arial" w:eastAsia="MS Mincho" w:hAnsi="Arial" w:cs="Arial"/>
          <w:b/>
        </w:rPr>
      </w:pPr>
    </w:p>
    <w:p w14:paraId="03999CF9" w14:textId="3727B03C" w:rsidR="00030EE4" w:rsidRDefault="00030EE4">
      <w:pPr>
        <w:rPr>
          <w:rFonts w:ascii="Arial" w:eastAsia="MS Mincho" w:hAnsi="Arial" w:cs="Arial"/>
          <w:b/>
        </w:rPr>
      </w:pPr>
      <w:r w:rsidRPr="00030EE4">
        <w:rPr>
          <w:rFonts w:ascii="Arial" w:hAnsi="Arial" w:cs="Arial"/>
          <w:b/>
          <w:bCs/>
        </w:rPr>
        <w:t>Figure S1</w:t>
      </w:r>
    </w:p>
    <w:p w14:paraId="48F4B6F6" w14:textId="759D5510" w:rsidR="005C29DE" w:rsidRDefault="00884020">
      <w:pPr>
        <w:rPr>
          <w:rFonts w:ascii="Arial" w:eastAsia="MS Mincho" w:hAnsi="Arial" w:cs="Arial"/>
          <w:b/>
        </w:rPr>
      </w:pPr>
      <w:r>
        <w:rPr>
          <w:rFonts w:ascii="Arial" w:eastAsia="MS Mincho" w:hAnsi="Arial" w:cs="Arial"/>
          <w:b/>
          <w:noProof/>
        </w:rPr>
        <w:drawing>
          <wp:inline distT="0" distB="0" distL="0" distR="0" wp14:anchorId="2E683AEA" wp14:editId="0DCFAB2E">
            <wp:extent cx="5731510" cy="3836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36670"/>
                    </a:xfrm>
                    <a:prstGeom prst="rect">
                      <a:avLst/>
                    </a:prstGeom>
                  </pic:spPr>
                </pic:pic>
              </a:graphicData>
            </a:graphic>
          </wp:inline>
        </w:drawing>
      </w:r>
    </w:p>
    <w:p w14:paraId="21523B50" w14:textId="23833642" w:rsidR="005C29DE" w:rsidRPr="005C29DE" w:rsidRDefault="005C29DE" w:rsidP="005C29DE">
      <w:pPr>
        <w:spacing w:after="120" w:line="360" w:lineRule="auto"/>
        <w:jc w:val="both"/>
        <w:rPr>
          <w:rFonts w:ascii="Arial" w:hAnsi="Arial" w:cs="Arial"/>
        </w:rPr>
      </w:pPr>
      <w:r w:rsidRPr="00030EE4">
        <w:rPr>
          <w:rFonts w:ascii="Arial" w:hAnsi="Arial" w:cs="Arial"/>
          <w:b/>
          <w:bCs/>
        </w:rPr>
        <w:t>Figure S</w:t>
      </w:r>
      <w:r w:rsidR="00030EE4" w:rsidRPr="00030EE4">
        <w:rPr>
          <w:rFonts w:ascii="Arial" w:hAnsi="Arial" w:cs="Arial"/>
          <w:b/>
          <w:bCs/>
        </w:rPr>
        <w:t>1</w:t>
      </w:r>
      <w:r w:rsidR="00030EE4">
        <w:rPr>
          <w:rFonts w:ascii="Arial" w:hAnsi="Arial" w:cs="Arial"/>
        </w:rPr>
        <w:t>.</w:t>
      </w:r>
      <w:r w:rsidRPr="005C29DE">
        <w:rPr>
          <w:rFonts w:ascii="Arial" w:hAnsi="Arial" w:cs="Arial"/>
        </w:rPr>
        <w:t xml:space="preserve"> Disruption of HDAC activity and DNA methylation in mESCs. Related to Figure 1.</w:t>
      </w:r>
    </w:p>
    <w:p w14:paraId="1CCBCCFE" w14:textId="4DCF65E5" w:rsidR="005C29DE" w:rsidRDefault="00003863" w:rsidP="0038492C">
      <w:pPr>
        <w:spacing w:after="120" w:line="360" w:lineRule="auto"/>
        <w:jc w:val="both"/>
        <w:rPr>
          <w:rFonts w:ascii="Arial" w:eastAsia="MS Mincho" w:hAnsi="Arial" w:cs="Arial"/>
          <w:b/>
        </w:rPr>
      </w:pPr>
      <w:r>
        <w:rPr>
          <w:rFonts w:ascii="Arial" w:hAnsi="Arial" w:cs="Arial"/>
          <w:i/>
          <w:iCs/>
        </w:rPr>
        <w:t>(</w:t>
      </w:r>
      <w:r w:rsidRPr="00003863">
        <w:rPr>
          <w:rFonts w:ascii="Arial" w:hAnsi="Arial" w:cs="Arial"/>
          <w:i/>
          <w:iCs/>
        </w:rPr>
        <w:t>A</w:t>
      </w:r>
      <w:r>
        <w:rPr>
          <w:rFonts w:ascii="Arial" w:hAnsi="Arial" w:cs="Arial"/>
          <w:i/>
          <w:iCs/>
        </w:rPr>
        <w:t>)</w:t>
      </w:r>
      <w:r w:rsidRPr="00003863">
        <w:rPr>
          <w:rFonts w:ascii="Arial" w:hAnsi="Arial" w:cs="Arial"/>
          <w:i/>
          <w:iCs/>
        </w:rPr>
        <w:t xml:space="preserve"> </w:t>
      </w:r>
      <w:r w:rsidRPr="00003863">
        <w:rPr>
          <w:rFonts w:ascii="Arial" w:hAnsi="Arial" w:cs="Arial"/>
        </w:rPr>
        <w:t xml:space="preserve">Cell cycle profile after 36 h of TSA or DMSO control treatment. Interphase (G1), actively replicating (S) and mitotic (G2/M) cells were characterised using BrdU incorporation and 7-AAD staining. Each point represents the mean of two technical duplicates. Mean and SD of three biological replicates are shown, Student </w:t>
      </w:r>
      <w:r w:rsidRPr="000C5723">
        <w:rPr>
          <w:rFonts w:ascii="Arial" w:hAnsi="Arial" w:cs="Arial"/>
          <w:i/>
        </w:rPr>
        <w:t>t</w:t>
      </w:r>
      <w:r w:rsidRPr="00003863">
        <w:rPr>
          <w:rFonts w:ascii="Arial" w:hAnsi="Arial" w:cs="Arial"/>
        </w:rPr>
        <w:t xml:space="preserve">-tests were used to determine significant differences: ns = non-significant (p-value &gt; 0.05). </w:t>
      </w:r>
      <w:r w:rsidR="00030EE4" w:rsidRPr="00030EE4">
        <w:rPr>
          <w:rFonts w:ascii="Arial" w:hAnsi="Arial" w:cs="Arial"/>
          <w:i/>
          <w:iCs/>
        </w:rPr>
        <w:t>(</w:t>
      </w:r>
      <w:r>
        <w:rPr>
          <w:rFonts w:ascii="Arial" w:hAnsi="Arial" w:cs="Arial"/>
          <w:i/>
          <w:iCs/>
        </w:rPr>
        <w:t>B</w:t>
      </w:r>
      <w:r w:rsidR="00030EE4" w:rsidRPr="00030EE4">
        <w:rPr>
          <w:rFonts w:ascii="Arial" w:hAnsi="Arial" w:cs="Arial"/>
          <w:i/>
          <w:iCs/>
        </w:rPr>
        <w:t>)</w:t>
      </w:r>
      <w:r w:rsidR="00030EE4">
        <w:rPr>
          <w:rFonts w:ascii="Arial" w:hAnsi="Arial" w:cs="Arial"/>
        </w:rPr>
        <w:t xml:space="preserve"> </w:t>
      </w:r>
      <w:r w:rsidR="005C29DE" w:rsidRPr="005C29DE">
        <w:rPr>
          <w:rFonts w:ascii="Arial" w:hAnsi="Arial" w:cs="Arial"/>
        </w:rPr>
        <w:t>Mass spectroscopy measurements of 5mC in DMSO or TSA-treated wild-type and DNMT.TKO cells shown as a percentage of total cytosine. Data are represented as mean ± SD. nd: not detected.</w:t>
      </w:r>
      <w:r w:rsidR="00030EE4">
        <w:rPr>
          <w:rFonts w:ascii="Arial" w:hAnsi="Arial" w:cs="Arial"/>
        </w:rPr>
        <w:t xml:space="preserve"> </w:t>
      </w:r>
      <w:r w:rsidR="00030EE4" w:rsidRPr="00030EE4">
        <w:rPr>
          <w:rFonts w:ascii="Arial" w:hAnsi="Arial" w:cs="Arial"/>
          <w:i/>
          <w:iCs/>
        </w:rPr>
        <w:t>(</w:t>
      </w:r>
      <w:r>
        <w:rPr>
          <w:rFonts w:ascii="Arial" w:hAnsi="Arial" w:cs="Arial"/>
          <w:i/>
          <w:iCs/>
        </w:rPr>
        <w:t>C</w:t>
      </w:r>
      <w:r w:rsidR="00030EE4" w:rsidRPr="00030EE4">
        <w:rPr>
          <w:rFonts w:ascii="Arial" w:hAnsi="Arial" w:cs="Arial"/>
          <w:i/>
          <w:iCs/>
        </w:rPr>
        <w:t>)</w:t>
      </w:r>
      <w:r w:rsidR="005C29DE" w:rsidRPr="005C29DE">
        <w:rPr>
          <w:rFonts w:ascii="Arial" w:hAnsi="Arial" w:cs="Arial"/>
        </w:rPr>
        <w:t xml:space="preserve"> Number of reads mapping to the mm10 versus galGal4 genomes for each sample. Data are shown before and after adjusting for the variation within input samples (see Materials and Methods</w:t>
      </w:r>
      <w:r>
        <w:rPr>
          <w:rFonts w:ascii="Arial" w:hAnsi="Arial" w:cs="Arial"/>
        </w:rPr>
        <w:t>, Supplementary Material</w:t>
      </w:r>
      <w:r w:rsidR="005C29DE" w:rsidRPr="005C29DE">
        <w:rPr>
          <w:rFonts w:ascii="Arial" w:hAnsi="Arial" w:cs="Arial"/>
        </w:rPr>
        <w:t xml:space="preserve"> and Table S1).</w:t>
      </w:r>
      <w:r w:rsidR="00030EE4">
        <w:rPr>
          <w:rFonts w:ascii="Arial" w:hAnsi="Arial" w:cs="Arial"/>
        </w:rPr>
        <w:t xml:space="preserve"> </w:t>
      </w:r>
      <w:r w:rsidR="00030EE4" w:rsidRPr="00030EE4">
        <w:rPr>
          <w:rFonts w:ascii="Arial" w:hAnsi="Arial" w:cs="Arial"/>
          <w:i/>
          <w:iCs/>
        </w:rPr>
        <w:t>(</w:t>
      </w:r>
      <w:r>
        <w:rPr>
          <w:rFonts w:ascii="Arial" w:hAnsi="Arial" w:cs="Arial"/>
          <w:i/>
          <w:iCs/>
        </w:rPr>
        <w:t>D</w:t>
      </w:r>
      <w:r w:rsidR="00030EE4" w:rsidRPr="00030EE4">
        <w:rPr>
          <w:rFonts w:ascii="Arial" w:hAnsi="Arial" w:cs="Arial"/>
          <w:i/>
          <w:iCs/>
        </w:rPr>
        <w:t>)</w:t>
      </w:r>
      <w:r w:rsidR="005C29DE" w:rsidRPr="005C29DE">
        <w:rPr>
          <w:rFonts w:ascii="Arial" w:hAnsi="Arial" w:cs="Arial"/>
        </w:rPr>
        <w:t xml:space="preserve"> Median CpG methylation levels for genomic intervals separated into three mutually exclusive categories. Whole genome bisulfite sequencing data from E14 mESCs was obtained from Habibi et al., 2013. Exact values are shown above the bars.</w:t>
      </w:r>
      <w:r w:rsidR="00030EE4">
        <w:rPr>
          <w:rFonts w:ascii="Arial" w:hAnsi="Arial" w:cs="Arial"/>
        </w:rPr>
        <w:t xml:space="preserve"> </w:t>
      </w:r>
      <w:r w:rsidR="00030EE4" w:rsidRPr="00030EE4">
        <w:rPr>
          <w:rFonts w:ascii="Arial" w:hAnsi="Arial" w:cs="Arial"/>
          <w:i/>
          <w:iCs/>
        </w:rPr>
        <w:t>(</w:t>
      </w:r>
      <w:r>
        <w:rPr>
          <w:rFonts w:ascii="Arial" w:hAnsi="Arial" w:cs="Arial"/>
          <w:i/>
          <w:iCs/>
        </w:rPr>
        <w:t>E</w:t>
      </w:r>
      <w:r w:rsidR="00030EE4" w:rsidRPr="00030EE4">
        <w:rPr>
          <w:rFonts w:ascii="Arial" w:hAnsi="Arial" w:cs="Arial"/>
          <w:i/>
          <w:iCs/>
        </w:rPr>
        <w:t>)</w:t>
      </w:r>
      <w:r w:rsidR="005C29DE" w:rsidRPr="005C29DE">
        <w:rPr>
          <w:rFonts w:ascii="Arial" w:hAnsi="Arial" w:cs="Arial"/>
        </w:rPr>
        <w:t xml:space="preserve"> Heatmap of sample-to-sample euclidean distances calculated using calibrated and rlog transformed read count data from every ChIP-seq peak.</w:t>
      </w:r>
      <w:r w:rsidR="0038492C">
        <w:rPr>
          <w:rFonts w:ascii="Arial" w:hAnsi="Arial" w:cs="Arial"/>
        </w:rPr>
        <w:t xml:space="preserve"> </w:t>
      </w:r>
      <w:r w:rsidR="0038492C" w:rsidRPr="0038492C">
        <w:rPr>
          <w:rFonts w:ascii="Arial" w:hAnsi="Arial" w:cs="Arial"/>
        </w:rPr>
        <w:t>(F) Heatmap of sample-to-sample euclidean distances calculated using calibrated and rlog transformed read count data from every ChIP-seq peak</w:t>
      </w:r>
      <w:r w:rsidR="0038492C">
        <w:rPr>
          <w:rFonts w:ascii="Arial" w:hAnsi="Arial" w:cs="Arial"/>
        </w:rPr>
        <w:t>.</w:t>
      </w:r>
      <w:r w:rsidR="005C29DE">
        <w:rPr>
          <w:rFonts w:ascii="Arial" w:eastAsia="MS Mincho" w:hAnsi="Arial" w:cs="Arial"/>
          <w:b/>
        </w:rPr>
        <w:br w:type="page"/>
      </w:r>
    </w:p>
    <w:p w14:paraId="184BCA17" w14:textId="775864E4" w:rsidR="00030EE4" w:rsidRDefault="00030EE4">
      <w:pPr>
        <w:rPr>
          <w:rFonts w:ascii="Arial" w:eastAsia="MS Mincho" w:hAnsi="Arial" w:cs="Arial"/>
          <w:b/>
        </w:rPr>
      </w:pPr>
      <w:r w:rsidRPr="00030EE4">
        <w:rPr>
          <w:rFonts w:ascii="Arial" w:hAnsi="Arial" w:cs="Arial"/>
          <w:b/>
          <w:bCs/>
        </w:rPr>
        <w:lastRenderedPageBreak/>
        <w:t>Figure S</w:t>
      </w:r>
      <w:r>
        <w:rPr>
          <w:rFonts w:ascii="Arial" w:hAnsi="Arial" w:cs="Arial"/>
          <w:b/>
          <w:bCs/>
        </w:rPr>
        <w:t>2</w:t>
      </w:r>
    </w:p>
    <w:p w14:paraId="4C5C4CB6" w14:textId="3541EF39" w:rsidR="005C29DE" w:rsidRDefault="00884020">
      <w:pPr>
        <w:rPr>
          <w:rFonts w:ascii="Arial" w:eastAsia="MS Mincho" w:hAnsi="Arial" w:cs="Arial"/>
          <w:b/>
        </w:rPr>
      </w:pPr>
      <w:r>
        <w:rPr>
          <w:rFonts w:ascii="Arial" w:eastAsia="MS Mincho" w:hAnsi="Arial" w:cs="Arial"/>
          <w:b/>
          <w:noProof/>
        </w:rPr>
        <w:drawing>
          <wp:inline distT="0" distB="0" distL="0" distR="0" wp14:anchorId="3ED2D74C" wp14:editId="5074E33B">
            <wp:extent cx="5731510" cy="81011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1176"/>
                    </a:xfrm>
                    <a:prstGeom prst="rect">
                      <a:avLst/>
                    </a:prstGeom>
                  </pic:spPr>
                </pic:pic>
              </a:graphicData>
            </a:graphic>
          </wp:inline>
        </w:drawing>
      </w:r>
    </w:p>
    <w:p w14:paraId="29154F99" w14:textId="713CED7F" w:rsidR="00030EE4" w:rsidRDefault="00030EE4">
      <w:pPr>
        <w:rPr>
          <w:rFonts w:ascii="Arial" w:eastAsia="MS Mincho" w:hAnsi="Arial" w:cs="Arial"/>
          <w:b/>
        </w:rPr>
      </w:pPr>
    </w:p>
    <w:p w14:paraId="4970089D" w14:textId="73950FAC" w:rsidR="00030EE4" w:rsidRDefault="00884020">
      <w:pPr>
        <w:rPr>
          <w:rFonts w:ascii="Arial" w:eastAsia="MS Mincho" w:hAnsi="Arial" w:cs="Arial"/>
          <w:b/>
        </w:rPr>
      </w:pPr>
      <w:r>
        <w:rPr>
          <w:rFonts w:ascii="Arial" w:eastAsia="MS Mincho" w:hAnsi="Arial" w:cs="Arial"/>
          <w:b/>
          <w:noProof/>
        </w:rPr>
        <w:lastRenderedPageBreak/>
        <w:drawing>
          <wp:inline distT="0" distB="0" distL="0" distR="0" wp14:anchorId="4A4B3EEA" wp14:editId="5052D1BC">
            <wp:extent cx="5731510" cy="81070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2 rev2-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B57EBEA" w14:textId="3D3BCFF3" w:rsidR="00030EE4" w:rsidRPr="005C29DE" w:rsidRDefault="00030EE4" w:rsidP="00030EE4">
      <w:pPr>
        <w:spacing w:after="120" w:line="360" w:lineRule="auto"/>
        <w:jc w:val="both"/>
        <w:rPr>
          <w:rFonts w:ascii="Arial" w:hAnsi="Arial" w:cs="Arial"/>
        </w:rPr>
      </w:pPr>
      <w:r w:rsidRPr="00030EE4">
        <w:rPr>
          <w:rFonts w:ascii="Arial" w:hAnsi="Arial" w:cs="Arial"/>
          <w:b/>
          <w:bCs/>
        </w:rPr>
        <w:t>Figure S2.</w:t>
      </w:r>
      <w:r w:rsidRPr="005C29DE">
        <w:rPr>
          <w:rFonts w:ascii="Arial" w:hAnsi="Arial" w:cs="Arial"/>
        </w:rPr>
        <w:t xml:space="preserve"> </w:t>
      </w:r>
      <w:r w:rsidR="00003863" w:rsidRPr="00003863">
        <w:rPr>
          <w:rFonts w:ascii="Arial" w:hAnsi="Arial" w:cs="Arial"/>
        </w:rPr>
        <w:t>Global comparison of ATAC-seq datasets from different cell lines and conditions</w:t>
      </w:r>
      <w:r w:rsidRPr="005C29DE">
        <w:rPr>
          <w:rFonts w:ascii="Arial" w:hAnsi="Arial" w:cs="Arial"/>
        </w:rPr>
        <w:t xml:space="preserve"> Related to Figure 2.</w:t>
      </w:r>
      <w:r>
        <w:rPr>
          <w:rFonts w:ascii="Arial" w:hAnsi="Arial" w:cs="Arial"/>
        </w:rPr>
        <w:t xml:space="preserve"> </w:t>
      </w:r>
      <w:r w:rsidRPr="00030EE4">
        <w:rPr>
          <w:rFonts w:ascii="Arial" w:hAnsi="Arial" w:cs="Arial"/>
          <w:i/>
          <w:iCs/>
        </w:rPr>
        <w:t>(A)</w:t>
      </w:r>
      <w:r w:rsidRPr="005C29DE">
        <w:rPr>
          <w:rFonts w:ascii="Arial" w:hAnsi="Arial" w:cs="Arial"/>
        </w:rPr>
        <w:t xml:space="preserve"> Correlation heatmaps comparing the ATAC-seq signal obtained for </w:t>
      </w:r>
      <w:r w:rsidRPr="005C29DE">
        <w:rPr>
          <w:rFonts w:ascii="Arial" w:hAnsi="Arial" w:cs="Arial"/>
        </w:rPr>
        <w:lastRenderedPageBreak/>
        <w:t>every sample at all identified THSs. ATAC-seq signal was calculated as the RPKM divided by the RPKM of the input control. Pearson correlation coefficients were calculated for each pair of samples and these values were used for clustering and the colour scale. Correlation heatmaps were generated in R using the dba.plotHeatmap() function of the DiffBind package (Stark and Brown, 2011).</w:t>
      </w:r>
      <w:r>
        <w:rPr>
          <w:rFonts w:ascii="Arial" w:hAnsi="Arial" w:cs="Arial"/>
        </w:rPr>
        <w:t xml:space="preserve"> </w:t>
      </w:r>
      <w:r w:rsidR="00003863" w:rsidRPr="00003863">
        <w:rPr>
          <w:rFonts w:ascii="Arial" w:hAnsi="Arial" w:cs="Arial"/>
          <w:i/>
          <w:iCs/>
        </w:rPr>
        <w:t>(B)</w:t>
      </w:r>
      <w:r w:rsidR="00003863" w:rsidRPr="00003863">
        <w:rPr>
          <w:rFonts w:ascii="Arial" w:hAnsi="Arial" w:cs="Arial"/>
        </w:rPr>
        <w:t xml:space="preserve"> Scatterplots in the lower triangle compare RPKM values at each THS for each pair of samples (4 replicates per sample) while corresponding Pearson correlation coefficients are shown in the top section. Histograms on the diagonal indicate the distribution of RPKM values. </w:t>
      </w:r>
      <w:r w:rsidRPr="00030EE4">
        <w:rPr>
          <w:rFonts w:ascii="Arial" w:hAnsi="Arial" w:cs="Arial"/>
          <w:i/>
          <w:iCs/>
        </w:rPr>
        <w:t>(C)</w:t>
      </w:r>
      <w:r w:rsidRPr="005C29DE">
        <w:rPr>
          <w:rFonts w:ascii="Arial" w:hAnsi="Arial" w:cs="Arial"/>
        </w:rPr>
        <w:t xml:space="preserve"> Principle component analysis (PCA) plot generated using regularised log-transformed read counts from all ATAC-seq samples at every THS. The R package DESeq2 (Love et al., 2014) was used for plotting.</w:t>
      </w:r>
      <w:r w:rsidR="00003863">
        <w:rPr>
          <w:rFonts w:ascii="Arial" w:hAnsi="Arial" w:cs="Arial"/>
        </w:rPr>
        <w:t xml:space="preserve"> </w:t>
      </w:r>
      <w:r w:rsidR="00003863" w:rsidRPr="00003863">
        <w:rPr>
          <w:rFonts w:ascii="Arial" w:hAnsi="Arial" w:cs="Arial"/>
          <w:i/>
          <w:iCs/>
        </w:rPr>
        <w:t>(D)</w:t>
      </w:r>
      <w:r w:rsidR="00003863">
        <w:rPr>
          <w:rFonts w:ascii="Arial" w:hAnsi="Arial" w:cs="Arial"/>
        </w:rPr>
        <w:t xml:space="preserve"> </w:t>
      </w:r>
      <w:r w:rsidR="00003863" w:rsidRPr="00003863">
        <w:rPr>
          <w:rFonts w:ascii="Arial" w:hAnsi="Arial" w:cs="Arial"/>
        </w:rPr>
        <w:t xml:space="preserve">CpG or </w:t>
      </w:r>
      <w:r w:rsidR="00003863" w:rsidRPr="00003863">
        <w:rPr>
          <w:rFonts w:ascii="Arial" w:hAnsi="Arial" w:cs="Arial"/>
          <w:i/>
          <w:iCs/>
        </w:rPr>
        <w:t>(E)</w:t>
      </w:r>
      <w:r w:rsidR="00003863">
        <w:rPr>
          <w:rFonts w:ascii="Arial" w:hAnsi="Arial" w:cs="Arial"/>
        </w:rPr>
        <w:t xml:space="preserve"> </w:t>
      </w:r>
      <w:r w:rsidR="00003863" w:rsidRPr="00003863">
        <w:rPr>
          <w:rFonts w:ascii="Arial" w:hAnsi="Arial" w:cs="Arial"/>
        </w:rPr>
        <w:t>GC content in sequences underlying ATAC-seq peaks, grouped according to their differential accessibility.</w:t>
      </w:r>
      <w:r w:rsidR="00B2503D">
        <w:rPr>
          <w:rFonts w:ascii="Arial" w:hAnsi="Arial" w:cs="Arial"/>
        </w:rPr>
        <w:t xml:space="preserve"> </w:t>
      </w:r>
      <w:r w:rsidR="00B2503D" w:rsidRPr="00B2503D">
        <w:rPr>
          <w:rFonts w:ascii="Arial" w:hAnsi="Arial" w:cs="Arial"/>
          <w:i/>
          <w:iCs/>
        </w:rPr>
        <w:t>(F)</w:t>
      </w:r>
      <w:r w:rsidR="00B2503D" w:rsidRPr="00B2503D">
        <w:rPr>
          <w:rFonts w:ascii="Arial" w:hAnsi="Arial" w:cs="Arial"/>
        </w:rPr>
        <w:t xml:space="preserve"> Density plots showing the distance of ATAC-seq peaks to the nearest transcription start site (TSS). The percentages of peaks that are proximal to the TSS (centre of peak within 1500 bp of TSS) are indicated above the plots.</w:t>
      </w:r>
      <w:r w:rsidR="00B2503D">
        <w:rPr>
          <w:rFonts w:ascii="Arial" w:hAnsi="Arial" w:cs="Arial"/>
        </w:rPr>
        <w:t xml:space="preserve"> </w:t>
      </w:r>
      <w:r w:rsidR="00B2503D" w:rsidRPr="00B2503D">
        <w:rPr>
          <w:rFonts w:ascii="Arial" w:hAnsi="Arial" w:cs="Arial"/>
          <w:i/>
          <w:iCs/>
        </w:rPr>
        <w:t>(G)</w:t>
      </w:r>
      <w:r w:rsidR="00B2503D">
        <w:rPr>
          <w:rFonts w:ascii="Arial" w:hAnsi="Arial" w:cs="Arial"/>
        </w:rPr>
        <w:t xml:space="preserve"> </w:t>
      </w:r>
      <w:r w:rsidR="00B2503D" w:rsidRPr="00B2503D">
        <w:rPr>
          <w:rFonts w:ascii="Arial" w:hAnsi="Arial" w:cs="Arial"/>
        </w:rPr>
        <w:t>Fraction of ATAC-seq peaks that overlap different genomic features.</w:t>
      </w:r>
      <w:r w:rsidR="00B2503D">
        <w:rPr>
          <w:rFonts w:ascii="Arial" w:hAnsi="Arial" w:cs="Arial"/>
        </w:rPr>
        <w:t xml:space="preserve"> </w:t>
      </w:r>
      <w:r w:rsidR="00B2503D" w:rsidRPr="00B2503D">
        <w:rPr>
          <w:rFonts w:ascii="Arial" w:hAnsi="Arial" w:cs="Arial"/>
          <w:i/>
          <w:iCs/>
        </w:rPr>
        <w:t>(H)</w:t>
      </w:r>
      <w:r w:rsidRPr="005C29DE">
        <w:rPr>
          <w:rFonts w:ascii="Arial" w:hAnsi="Arial" w:cs="Arial"/>
        </w:rPr>
        <w:t xml:space="preserve"> THS regions were sorted according to their ATAC-seq signal in wild-type cells and grouped into ten bins of equal size (n = 8340). Bar charts indicate the number of THSs called as having significantly increased (red) or decreased (blue) accessibility per bin while pie charts summarise the total number of significantly differential calls. This was repeated using progressively more stringent false discovery rate (FDR) thresholds.</w:t>
      </w:r>
      <w:r w:rsidR="00B2503D">
        <w:rPr>
          <w:rFonts w:ascii="Arial" w:hAnsi="Arial" w:cs="Arial"/>
        </w:rPr>
        <w:t xml:space="preserve"> </w:t>
      </w:r>
      <w:r w:rsidR="00B2503D" w:rsidRPr="00B2503D">
        <w:rPr>
          <w:rFonts w:ascii="Arial" w:hAnsi="Arial" w:cs="Arial"/>
          <w:i/>
          <w:iCs/>
        </w:rPr>
        <w:t>(I)</w:t>
      </w:r>
      <w:r w:rsidRPr="005C29DE">
        <w:rPr>
          <w:rFonts w:ascii="Arial" w:hAnsi="Arial" w:cs="Arial"/>
        </w:rPr>
        <w:t xml:space="preserve"> Scatterplots comparing the change in ATAC-seq signal with the average CpG methylation levels at 83395 ATAC-seq peak intervals. Regions with significantly differential accessibility (fold change &gt; 1.5 and FDR &lt; 0.01) are shown in red. The dashed line indicates 60% CpG methylation.</w:t>
      </w:r>
      <w:r w:rsidR="00B2503D">
        <w:rPr>
          <w:rFonts w:ascii="Arial" w:hAnsi="Arial" w:cs="Arial"/>
        </w:rPr>
        <w:t xml:space="preserve"> </w:t>
      </w:r>
      <w:r w:rsidR="00B2503D" w:rsidRPr="00B2503D">
        <w:rPr>
          <w:rFonts w:ascii="Arial" w:hAnsi="Arial" w:cs="Arial"/>
          <w:i/>
          <w:iCs/>
        </w:rPr>
        <w:t>(J)</w:t>
      </w:r>
      <w:r w:rsidR="00B2503D">
        <w:rPr>
          <w:rFonts w:ascii="Arial" w:hAnsi="Arial" w:cs="Arial"/>
        </w:rPr>
        <w:t xml:space="preserve"> </w:t>
      </w:r>
      <w:r w:rsidRPr="005C29DE">
        <w:rPr>
          <w:rFonts w:ascii="Arial" w:hAnsi="Arial" w:cs="Arial"/>
        </w:rPr>
        <w:t>The known motifs most enriched in DNMT.TKO specific ATAC-seq peaks (target sequences) relative to background sequences. The HOMER motif database entry provides information about the transcription factor’s DNA-binding domain (DBD-family in brackets). Target sequences were restricted to those that were methylated (≥ 60% mean CpG methylation) and had at least a four-fold increase in accessibility compared to WT cells. See also Table S5.</w:t>
      </w:r>
    </w:p>
    <w:p w14:paraId="18DB6748" w14:textId="03BA562C" w:rsidR="002E701E" w:rsidRDefault="002E701E">
      <w:pPr>
        <w:rPr>
          <w:rFonts w:ascii="Arial" w:eastAsia="MS Mincho" w:hAnsi="Arial" w:cs="Arial"/>
          <w:b/>
        </w:rPr>
      </w:pPr>
      <w:r>
        <w:rPr>
          <w:rFonts w:ascii="Arial" w:eastAsia="MS Mincho" w:hAnsi="Arial" w:cs="Arial"/>
          <w:b/>
        </w:rPr>
        <w:br w:type="page"/>
      </w:r>
    </w:p>
    <w:p w14:paraId="1E8875FB" w14:textId="15156D82" w:rsidR="00030EE4" w:rsidRDefault="002E701E">
      <w:pPr>
        <w:rPr>
          <w:rFonts w:ascii="Arial" w:eastAsia="MS Mincho" w:hAnsi="Arial" w:cs="Arial"/>
          <w:b/>
        </w:rPr>
      </w:pPr>
      <w:r>
        <w:rPr>
          <w:rFonts w:ascii="Arial" w:eastAsia="MS Mincho" w:hAnsi="Arial" w:cs="Arial"/>
          <w:b/>
        </w:rPr>
        <w:lastRenderedPageBreak/>
        <w:t>Figure S3</w:t>
      </w:r>
    </w:p>
    <w:p w14:paraId="7A0B0CF2" w14:textId="15092062" w:rsidR="002E701E" w:rsidRDefault="00884020">
      <w:pPr>
        <w:rPr>
          <w:rFonts w:ascii="Arial" w:eastAsia="MS Mincho" w:hAnsi="Arial" w:cs="Arial"/>
          <w:b/>
        </w:rPr>
      </w:pPr>
      <w:r>
        <w:rPr>
          <w:rFonts w:ascii="Arial" w:eastAsia="MS Mincho" w:hAnsi="Arial" w:cs="Arial"/>
          <w:b/>
          <w:noProof/>
        </w:rPr>
        <w:drawing>
          <wp:inline distT="0" distB="0" distL="0" distR="0" wp14:anchorId="1FC4FCF0" wp14:editId="3D61BD54">
            <wp:extent cx="5731510" cy="81070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3 rev2-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0EF6C00" w14:textId="79270995" w:rsidR="00FD61F5" w:rsidRDefault="00884020" w:rsidP="00FD61F5">
      <w:pPr>
        <w:spacing w:after="120" w:line="360" w:lineRule="auto"/>
        <w:jc w:val="both"/>
        <w:rPr>
          <w:rFonts w:ascii="Arial" w:hAnsi="Arial" w:cs="Arial"/>
          <w:b/>
          <w:bCs/>
        </w:rPr>
      </w:pPr>
      <w:r>
        <w:rPr>
          <w:rFonts w:ascii="Arial" w:hAnsi="Arial" w:cs="Arial"/>
          <w:b/>
          <w:bCs/>
          <w:noProof/>
        </w:rPr>
        <w:lastRenderedPageBreak/>
        <w:drawing>
          <wp:inline distT="0" distB="0" distL="0" distR="0" wp14:anchorId="004860F0" wp14:editId="09F85939">
            <wp:extent cx="5579533" cy="45618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S3 rev2-02.jpg"/>
                    <pic:cNvPicPr/>
                  </pic:nvPicPr>
                  <pic:blipFill rotWithShape="1">
                    <a:blip r:embed="rId12" cstate="print">
                      <a:extLst>
                        <a:ext uri="{28A0092B-C50C-407E-A947-70E740481C1C}">
                          <a14:useLocalDpi xmlns:a14="http://schemas.microsoft.com/office/drawing/2010/main" val="0"/>
                        </a:ext>
                      </a:extLst>
                    </a:blip>
                    <a:srcRect l="13295" r="17055" b="59740"/>
                    <a:stretch/>
                  </pic:blipFill>
                  <pic:spPr bwMode="auto">
                    <a:xfrm>
                      <a:off x="0" y="0"/>
                      <a:ext cx="5599590" cy="4578243"/>
                    </a:xfrm>
                    <a:prstGeom prst="rect">
                      <a:avLst/>
                    </a:prstGeom>
                    <a:ln>
                      <a:noFill/>
                    </a:ln>
                    <a:extLst>
                      <a:ext uri="{53640926-AAD7-44D8-BBD7-CCE9431645EC}">
                        <a14:shadowObscured xmlns:a14="http://schemas.microsoft.com/office/drawing/2010/main"/>
                      </a:ext>
                    </a:extLst>
                  </pic:spPr>
                </pic:pic>
              </a:graphicData>
            </a:graphic>
          </wp:inline>
        </w:drawing>
      </w:r>
    </w:p>
    <w:p w14:paraId="142F11F4" w14:textId="0FDE0C09" w:rsidR="00FD61F5" w:rsidRPr="007625E0" w:rsidRDefault="00FD61F5" w:rsidP="00FD61F5">
      <w:pPr>
        <w:spacing w:after="120" w:line="360" w:lineRule="auto"/>
        <w:jc w:val="both"/>
        <w:rPr>
          <w:rFonts w:ascii="Arial" w:hAnsi="Arial" w:cs="Arial"/>
        </w:rPr>
      </w:pPr>
      <w:r w:rsidRPr="00FD61F5">
        <w:rPr>
          <w:rFonts w:ascii="Arial" w:hAnsi="Arial" w:cs="Arial"/>
          <w:b/>
          <w:bCs/>
        </w:rPr>
        <w:t>Figure S3.</w:t>
      </w:r>
      <w:r w:rsidRPr="005C29DE">
        <w:rPr>
          <w:rFonts w:ascii="Arial" w:hAnsi="Arial" w:cs="Arial"/>
        </w:rPr>
        <w:t xml:space="preserve"> Increased chromatin accessibility at retrotransposons upon HDAC inhibition in mESCs. Related to Figure 2.</w:t>
      </w:r>
      <w:r>
        <w:rPr>
          <w:rFonts w:ascii="Arial" w:hAnsi="Arial" w:cs="Arial"/>
        </w:rPr>
        <w:t xml:space="preserve"> </w:t>
      </w:r>
      <w:r w:rsidRPr="00FD61F5">
        <w:rPr>
          <w:rFonts w:ascii="Arial" w:hAnsi="Arial" w:cs="Arial"/>
          <w:i/>
          <w:iCs/>
        </w:rPr>
        <w:t>(A)</w:t>
      </w:r>
      <w:r w:rsidRPr="005C29DE">
        <w:rPr>
          <w:rFonts w:ascii="Arial" w:hAnsi="Arial" w:cs="Arial"/>
        </w:rPr>
        <w:t xml:space="preserve"> </w:t>
      </w:r>
      <w:r w:rsidR="00044219" w:rsidRPr="00044219">
        <w:rPr>
          <w:rFonts w:ascii="Arial" w:hAnsi="Arial" w:cs="Arial"/>
        </w:rPr>
        <w:t>Top</w:t>
      </w:r>
      <w:r w:rsidR="00044219">
        <w:rPr>
          <w:rFonts w:ascii="Arial" w:hAnsi="Arial" w:cs="Arial"/>
        </w:rPr>
        <w:t>,</w:t>
      </w:r>
      <w:r w:rsidR="00044219" w:rsidRPr="00044219">
        <w:rPr>
          <w:rFonts w:ascii="Arial" w:hAnsi="Arial" w:cs="Arial"/>
        </w:rPr>
        <w:t xml:space="preserve"> </w:t>
      </w:r>
      <w:r w:rsidR="00044219">
        <w:rPr>
          <w:rFonts w:ascii="Arial" w:hAnsi="Arial" w:cs="Arial"/>
        </w:rPr>
        <w:t>s</w:t>
      </w:r>
      <w:r w:rsidR="00044219" w:rsidRPr="00044219">
        <w:rPr>
          <w:rFonts w:ascii="Arial" w:hAnsi="Arial" w:cs="Arial"/>
        </w:rPr>
        <w:t>catterplots comparing changes in accessibility at every THS (n = 83395) to changes in H3ac levels. Colours indicate density of points per graph area. SCC = Spearman</w:t>
      </w:r>
      <w:r w:rsidR="007368BC">
        <w:rPr>
          <w:rFonts w:ascii="Arial" w:hAnsi="Arial" w:cs="Arial"/>
        </w:rPr>
        <w:t>’s</w:t>
      </w:r>
      <w:r w:rsidR="00044219" w:rsidRPr="00044219">
        <w:rPr>
          <w:rFonts w:ascii="Arial" w:hAnsi="Arial" w:cs="Arial"/>
        </w:rPr>
        <w:t xml:space="preserve"> Correlation Coefficient. Bottom</w:t>
      </w:r>
      <w:r w:rsidR="00044219">
        <w:rPr>
          <w:rFonts w:ascii="Arial" w:hAnsi="Arial" w:cs="Arial"/>
        </w:rPr>
        <w:t>,</w:t>
      </w:r>
      <w:r w:rsidR="00044219" w:rsidRPr="00044219">
        <w:rPr>
          <w:rFonts w:ascii="Arial" w:hAnsi="Arial" w:cs="Arial"/>
        </w:rPr>
        <w:t xml:space="preserve"> </w:t>
      </w:r>
      <w:r w:rsidR="00044219">
        <w:rPr>
          <w:rFonts w:ascii="Arial" w:hAnsi="Arial" w:cs="Arial"/>
        </w:rPr>
        <w:t>d</w:t>
      </w:r>
      <w:r w:rsidR="00044219" w:rsidRPr="00044219">
        <w:rPr>
          <w:rFonts w:ascii="Arial" w:hAnsi="Arial" w:cs="Arial"/>
        </w:rPr>
        <w:t>istribution of H3ac ChIP-seq fold-change values for THS regions grouped according to their differential accessibility.</w:t>
      </w:r>
      <w:r w:rsidR="00044219">
        <w:rPr>
          <w:rFonts w:ascii="Arial" w:hAnsi="Arial" w:cs="Arial"/>
        </w:rPr>
        <w:t xml:space="preserve"> </w:t>
      </w:r>
      <w:r w:rsidR="00044219" w:rsidRPr="00044219">
        <w:rPr>
          <w:rFonts w:ascii="Arial" w:hAnsi="Arial" w:cs="Arial"/>
          <w:i/>
          <w:iCs/>
        </w:rPr>
        <w:t>(B)</w:t>
      </w:r>
      <w:r w:rsidR="00044219">
        <w:rPr>
          <w:rFonts w:ascii="Arial" w:hAnsi="Arial" w:cs="Arial"/>
        </w:rPr>
        <w:t xml:space="preserve"> </w:t>
      </w:r>
      <w:r w:rsidRPr="005C29DE">
        <w:rPr>
          <w:rFonts w:ascii="Arial" w:hAnsi="Arial" w:cs="Arial"/>
        </w:rPr>
        <w:t xml:space="preserve">Boxplots summarising the percentage of reads from each ATAC-seq library that map to intervals split into three mutually exclusive categories, after having randomly shuffled the reads throughout the genome. Two-tailed Student </w:t>
      </w:r>
      <w:r w:rsidRPr="000C5723">
        <w:rPr>
          <w:rFonts w:ascii="Arial" w:hAnsi="Arial" w:cs="Arial"/>
          <w:i/>
        </w:rPr>
        <w:t>t</w:t>
      </w:r>
      <w:r w:rsidRPr="005C29DE">
        <w:rPr>
          <w:rFonts w:ascii="Arial" w:hAnsi="Arial" w:cs="Arial"/>
        </w:rPr>
        <w:t>-tests were used to determine significant differences: ns = non-significant (p-value &gt; 0.05).</w:t>
      </w:r>
      <w:r w:rsidR="00044219">
        <w:rPr>
          <w:rFonts w:ascii="Arial" w:hAnsi="Arial" w:cs="Arial"/>
        </w:rPr>
        <w:t xml:space="preserve"> </w:t>
      </w:r>
      <w:r w:rsidR="00044219" w:rsidRPr="00044219">
        <w:rPr>
          <w:rFonts w:ascii="Arial" w:hAnsi="Arial" w:cs="Arial"/>
          <w:i/>
          <w:iCs/>
        </w:rPr>
        <w:t>(C)</w:t>
      </w:r>
      <w:r w:rsidRPr="005C29DE">
        <w:rPr>
          <w:rFonts w:ascii="Arial" w:hAnsi="Arial" w:cs="Arial"/>
        </w:rPr>
        <w:t xml:space="preserve"> Boxplots summarising the percentage of reads from each ATAC-seq library that map to intervals split into three mutually exclusive categories, after having randomly shuffled the non-peak reads within the “Repmask” and “Unannotated” regions. Two-tailed Student </w:t>
      </w:r>
      <w:r w:rsidRPr="000C5723">
        <w:rPr>
          <w:rFonts w:ascii="Arial" w:hAnsi="Arial" w:cs="Arial"/>
          <w:i/>
        </w:rPr>
        <w:t>t</w:t>
      </w:r>
      <w:r w:rsidRPr="005C29DE">
        <w:rPr>
          <w:rFonts w:ascii="Arial" w:hAnsi="Arial" w:cs="Arial"/>
        </w:rPr>
        <w:t>-tests were used to determine significant differences: * p-value &lt; 0.05; ** p-value &lt; 0.01; ns = non-significant (p-value &gt; 0.05).</w:t>
      </w:r>
      <w:r w:rsidR="006B0DB8">
        <w:rPr>
          <w:rFonts w:ascii="Arial" w:hAnsi="Arial" w:cs="Arial"/>
        </w:rPr>
        <w:t xml:space="preserve"> </w:t>
      </w:r>
      <w:r w:rsidR="006B0DB8" w:rsidRPr="006B0DB8">
        <w:rPr>
          <w:rFonts w:ascii="Arial" w:hAnsi="Arial" w:cs="Arial"/>
          <w:i/>
          <w:iCs/>
        </w:rPr>
        <w:t>(</w:t>
      </w:r>
      <w:r w:rsidR="006B0DB8">
        <w:rPr>
          <w:rFonts w:ascii="Arial" w:hAnsi="Arial" w:cs="Arial"/>
          <w:i/>
          <w:iCs/>
        </w:rPr>
        <w:t>D</w:t>
      </w:r>
      <w:r w:rsidR="006B0DB8" w:rsidRPr="006B0DB8">
        <w:rPr>
          <w:rFonts w:ascii="Arial" w:hAnsi="Arial" w:cs="Arial"/>
          <w:i/>
          <w:iCs/>
        </w:rPr>
        <w:t>)</w:t>
      </w:r>
      <w:r w:rsidRPr="005C29DE">
        <w:rPr>
          <w:rFonts w:ascii="Arial" w:hAnsi="Arial" w:cs="Arial"/>
        </w:rPr>
        <w:t xml:space="preserve"> Distribution of H3ac ChIP-seq reads within genomic intervals separated into three mutually exclusive categories. For every sample, the number of mm10 reads overlapping each category was divided by the total number of reads mapping to the galGal4 genome. Data are represented as mean; points indicate the values for two biological replicates.</w:t>
      </w:r>
      <w:r w:rsidR="006B0DB8">
        <w:rPr>
          <w:rFonts w:ascii="Arial" w:hAnsi="Arial" w:cs="Arial"/>
        </w:rPr>
        <w:t xml:space="preserve"> </w:t>
      </w:r>
      <w:r w:rsidR="006B0DB8" w:rsidRPr="006B0DB8">
        <w:rPr>
          <w:rFonts w:ascii="Arial" w:hAnsi="Arial" w:cs="Arial"/>
          <w:i/>
          <w:iCs/>
        </w:rPr>
        <w:t>(E)</w:t>
      </w:r>
      <w:r w:rsidRPr="005C29DE">
        <w:rPr>
          <w:rFonts w:ascii="Arial" w:hAnsi="Arial" w:cs="Arial"/>
        </w:rPr>
        <w:t xml:space="preserve"> MA plots comparing for each type of </w:t>
      </w:r>
      <w:r w:rsidRPr="005C29DE">
        <w:rPr>
          <w:rFonts w:ascii="Arial" w:hAnsi="Arial" w:cs="Arial"/>
        </w:rPr>
        <w:lastRenderedPageBreak/>
        <w:t>repetitive element, the fold change in ATAC-seq signal across all genomic copies to the baseMean ATAC-seq signal. LINE1 elements are highlighted. ATAC-seq samples generated from TSA- or DMSO-treated wild-type mESCs were compared. Differential analysis was performed using the R package DESeq2 (Love et al., 2014). Changes were deemed significant with an FDR &lt; 0.05). See also Table S3.</w:t>
      </w:r>
      <w:r w:rsidR="006B0DB8">
        <w:rPr>
          <w:rFonts w:ascii="Arial" w:hAnsi="Arial" w:cs="Arial"/>
        </w:rPr>
        <w:t xml:space="preserve"> </w:t>
      </w:r>
      <w:r w:rsidR="006B0DB8" w:rsidRPr="006B0DB8">
        <w:rPr>
          <w:rFonts w:ascii="Arial" w:hAnsi="Arial" w:cs="Arial"/>
          <w:i/>
          <w:iCs/>
        </w:rPr>
        <w:t>(F)</w:t>
      </w:r>
      <w:r w:rsidRPr="005C29DE">
        <w:rPr>
          <w:rFonts w:ascii="Arial" w:hAnsi="Arial" w:cs="Arial"/>
        </w:rPr>
        <w:t xml:space="preserve"> Same as (</w:t>
      </w:r>
      <w:r w:rsidR="006B0DB8">
        <w:rPr>
          <w:rFonts w:ascii="Arial" w:hAnsi="Arial" w:cs="Arial"/>
        </w:rPr>
        <w:t>E</w:t>
      </w:r>
      <w:r w:rsidRPr="005C29DE">
        <w:rPr>
          <w:rFonts w:ascii="Arial" w:hAnsi="Arial" w:cs="Arial"/>
        </w:rPr>
        <w:t>), except samples from TSA- and DMSO-treated DNMT.TKO mESCs were compared.</w:t>
      </w:r>
      <w:r w:rsidR="006B0DB8">
        <w:rPr>
          <w:rFonts w:ascii="Arial" w:hAnsi="Arial" w:cs="Arial"/>
        </w:rPr>
        <w:t xml:space="preserve"> </w:t>
      </w:r>
      <w:r w:rsidR="006B0DB8" w:rsidRPr="006B0DB8">
        <w:rPr>
          <w:rFonts w:ascii="Arial" w:hAnsi="Arial" w:cs="Arial"/>
          <w:i/>
          <w:iCs/>
        </w:rPr>
        <w:t>(G)</w:t>
      </w:r>
      <w:r w:rsidR="006B0DB8" w:rsidRPr="006B0DB8">
        <w:rPr>
          <w:rFonts w:ascii="Arial" w:hAnsi="Arial" w:cs="Arial"/>
        </w:rPr>
        <w:t xml:space="preserve"> Scatterplot comparing for each LINE1 repeat subtype, the fold change in ATAC-seq signal to the average substitution rate (base mismatches relative to the consensus sequence in parts per 100). See also Table S3. </w:t>
      </w:r>
      <w:r w:rsidR="006B0DB8" w:rsidRPr="006B0DB8">
        <w:rPr>
          <w:rFonts w:ascii="Arial" w:hAnsi="Arial" w:cs="Arial"/>
          <w:i/>
          <w:iCs/>
        </w:rPr>
        <w:t>(H)</w:t>
      </w:r>
      <w:r w:rsidRPr="005C29DE">
        <w:rPr>
          <w:rFonts w:ascii="Arial" w:hAnsi="Arial" w:cs="Arial"/>
        </w:rPr>
        <w:t xml:space="preserve"> Number of LTR element types, subdivided by family, that show significantly increased ATAC-seq signal for three pairwise comparisons. See also Table S3.</w:t>
      </w:r>
      <w:r w:rsidR="006B0DB8">
        <w:rPr>
          <w:rFonts w:ascii="Arial" w:hAnsi="Arial" w:cs="Arial"/>
        </w:rPr>
        <w:t xml:space="preserve"> </w:t>
      </w:r>
      <w:r w:rsidR="006B0DB8" w:rsidRPr="006B0DB8">
        <w:rPr>
          <w:rFonts w:ascii="Arial" w:hAnsi="Arial" w:cs="Arial"/>
          <w:i/>
          <w:iCs/>
        </w:rPr>
        <w:t>(I)</w:t>
      </w:r>
      <w:r w:rsidR="006B0DB8">
        <w:rPr>
          <w:rFonts w:ascii="Arial" w:hAnsi="Arial" w:cs="Arial"/>
          <w:i/>
          <w:iCs/>
        </w:rPr>
        <w:t xml:space="preserve"> </w:t>
      </w:r>
      <w:r w:rsidR="007625E0" w:rsidRPr="007625E0">
        <w:rPr>
          <w:rFonts w:ascii="Arial" w:hAnsi="Arial" w:cs="Arial"/>
        </w:rPr>
        <w:t>The known motifs most enriched in THS regions TSA-treated wild-type cells (</w:t>
      </w:r>
      <w:r w:rsidR="007625E0">
        <w:rPr>
          <w:rFonts w:ascii="Arial" w:hAnsi="Arial" w:cs="Arial"/>
        </w:rPr>
        <w:t>top</w:t>
      </w:r>
      <w:r w:rsidR="007625E0" w:rsidRPr="007625E0">
        <w:rPr>
          <w:rFonts w:ascii="Arial" w:hAnsi="Arial" w:cs="Arial"/>
        </w:rPr>
        <w:t>) or TSA-treated DNMT.TKO cells (</w:t>
      </w:r>
      <w:r w:rsidR="007625E0">
        <w:rPr>
          <w:rFonts w:ascii="Arial" w:hAnsi="Arial" w:cs="Arial"/>
        </w:rPr>
        <w:t>bottom</w:t>
      </w:r>
      <w:r w:rsidR="007625E0" w:rsidRPr="007625E0">
        <w:rPr>
          <w:rFonts w:ascii="Arial" w:hAnsi="Arial" w:cs="Arial"/>
        </w:rPr>
        <w:t>) (target sequences) relative to background sequences. The HOMER motif database entry provides information about the transcription factor’s DNA-binding domain (DBD-family in brackets). Target sequences were restricted to those that had at least a four-fold increase in accessibility compared to WT or untreated cells. See also Table S5.</w:t>
      </w:r>
    </w:p>
    <w:p w14:paraId="35DA437A" w14:textId="77777777" w:rsidR="00D573EC" w:rsidRDefault="00030EE4">
      <w:pPr>
        <w:rPr>
          <w:rFonts w:ascii="Arial" w:eastAsia="MS Mincho" w:hAnsi="Arial" w:cs="Arial"/>
          <w:b/>
        </w:rPr>
      </w:pPr>
      <w:r>
        <w:rPr>
          <w:rFonts w:ascii="Arial" w:eastAsia="MS Mincho" w:hAnsi="Arial" w:cs="Arial"/>
          <w:b/>
        </w:rPr>
        <w:br w:type="page"/>
      </w:r>
      <w:r w:rsidR="00D573EC">
        <w:rPr>
          <w:rFonts w:ascii="Arial" w:eastAsia="MS Mincho" w:hAnsi="Arial" w:cs="Arial"/>
          <w:b/>
        </w:rPr>
        <w:lastRenderedPageBreak/>
        <w:t>Figure S4</w:t>
      </w:r>
    </w:p>
    <w:p w14:paraId="3359ABCE" w14:textId="54807376" w:rsidR="00D573EC" w:rsidRDefault="00884020">
      <w:pPr>
        <w:rPr>
          <w:rFonts w:ascii="Arial" w:eastAsia="MS Mincho" w:hAnsi="Arial" w:cs="Arial"/>
          <w:b/>
        </w:rPr>
      </w:pPr>
      <w:r>
        <w:rPr>
          <w:rFonts w:ascii="Arial" w:eastAsia="MS Mincho" w:hAnsi="Arial" w:cs="Arial"/>
          <w:b/>
          <w:noProof/>
        </w:rPr>
        <w:drawing>
          <wp:inline distT="0" distB="0" distL="0" distR="0" wp14:anchorId="51BBA5DF" wp14:editId="66F727B6">
            <wp:extent cx="5198533" cy="7523321"/>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S4 rev2-01.jpg"/>
                    <pic:cNvPicPr/>
                  </pic:nvPicPr>
                  <pic:blipFill rotWithShape="1">
                    <a:blip r:embed="rId13" cstate="print">
                      <a:extLst>
                        <a:ext uri="{28A0092B-C50C-407E-A947-70E740481C1C}">
                          <a14:useLocalDpi xmlns:a14="http://schemas.microsoft.com/office/drawing/2010/main" val="0"/>
                        </a:ext>
                      </a:extLst>
                    </a:blip>
                    <a:srcRect l="7681" r="8554" b="14297"/>
                    <a:stretch/>
                  </pic:blipFill>
                  <pic:spPr bwMode="auto">
                    <a:xfrm>
                      <a:off x="0" y="0"/>
                      <a:ext cx="5203316" cy="7530244"/>
                    </a:xfrm>
                    <a:prstGeom prst="rect">
                      <a:avLst/>
                    </a:prstGeom>
                    <a:ln>
                      <a:noFill/>
                    </a:ln>
                    <a:extLst>
                      <a:ext uri="{53640926-AAD7-44D8-BBD7-CCE9431645EC}">
                        <a14:shadowObscured xmlns:a14="http://schemas.microsoft.com/office/drawing/2010/main"/>
                      </a:ext>
                    </a:extLst>
                  </pic:spPr>
                </pic:pic>
              </a:graphicData>
            </a:graphic>
          </wp:inline>
        </w:drawing>
      </w:r>
    </w:p>
    <w:p w14:paraId="3897FD4E" w14:textId="238A17A3" w:rsidR="00D573EC" w:rsidRDefault="00884020">
      <w:pPr>
        <w:rPr>
          <w:rFonts w:ascii="Arial" w:eastAsia="MS Mincho" w:hAnsi="Arial" w:cs="Arial"/>
          <w:b/>
        </w:rPr>
      </w:pPr>
      <w:r>
        <w:rPr>
          <w:rFonts w:ascii="Arial" w:eastAsia="MS Mincho" w:hAnsi="Arial" w:cs="Arial"/>
          <w:b/>
          <w:noProof/>
        </w:rPr>
        <w:lastRenderedPageBreak/>
        <w:drawing>
          <wp:inline distT="0" distB="0" distL="0" distR="0" wp14:anchorId="058571FB" wp14:editId="5F01296A">
            <wp:extent cx="5638800" cy="72653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4 rev2-02.jpg"/>
                    <pic:cNvPicPr/>
                  </pic:nvPicPr>
                  <pic:blipFill rotWithShape="1">
                    <a:blip r:embed="rId14" cstate="print">
                      <a:extLst>
                        <a:ext uri="{28A0092B-C50C-407E-A947-70E740481C1C}">
                          <a14:useLocalDpi xmlns:a14="http://schemas.microsoft.com/office/drawing/2010/main" val="0"/>
                        </a:ext>
                      </a:extLst>
                    </a:blip>
                    <a:srcRect l="9159" t="4021" r="8852" b="21294"/>
                    <a:stretch/>
                  </pic:blipFill>
                  <pic:spPr bwMode="auto">
                    <a:xfrm>
                      <a:off x="0" y="0"/>
                      <a:ext cx="5645090" cy="7273485"/>
                    </a:xfrm>
                    <a:prstGeom prst="rect">
                      <a:avLst/>
                    </a:prstGeom>
                    <a:ln>
                      <a:noFill/>
                    </a:ln>
                    <a:extLst>
                      <a:ext uri="{53640926-AAD7-44D8-BBD7-CCE9431645EC}">
                        <a14:shadowObscured xmlns:a14="http://schemas.microsoft.com/office/drawing/2010/main"/>
                      </a:ext>
                    </a:extLst>
                  </pic:spPr>
                </pic:pic>
              </a:graphicData>
            </a:graphic>
          </wp:inline>
        </w:drawing>
      </w:r>
    </w:p>
    <w:p w14:paraId="74E0319C" w14:textId="75ACC212" w:rsidR="005C40CA" w:rsidRPr="005C40CA" w:rsidRDefault="00D573EC" w:rsidP="005C40CA">
      <w:pPr>
        <w:spacing w:line="360" w:lineRule="auto"/>
        <w:jc w:val="both"/>
        <w:rPr>
          <w:rFonts w:ascii="Arial" w:eastAsia="MS Mincho" w:hAnsi="Arial" w:cs="Arial"/>
          <w:bCs/>
        </w:rPr>
      </w:pPr>
      <w:r>
        <w:rPr>
          <w:rFonts w:ascii="Arial" w:eastAsia="MS Mincho" w:hAnsi="Arial" w:cs="Arial"/>
          <w:b/>
        </w:rPr>
        <w:br w:type="page"/>
      </w:r>
      <w:r w:rsidR="005C40CA" w:rsidRPr="005C40CA">
        <w:rPr>
          <w:rFonts w:ascii="Arial" w:eastAsia="MS Mincho" w:hAnsi="Arial" w:cs="Arial"/>
          <w:b/>
        </w:rPr>
        <w:lastRenderedPageBreak/>
        <w:t>Figure S4</w:t>
      </w:r>
      <w:r w:rsidR="005C40CA" w:rsidRPr="005C40CA">
        <w:rPr>
          <w:rFonts w:ascii="Arial" w:eastAsia="MS Mincho" w:hAnsi="Arial" w:cs="Arial"/>
          <w:bCs/>
        </w:rPr>
        <w:t>: DNA methylation and HDAC activity can modulate transcription factors occupancy. Related to Figure 3.</w:t>
      </w:r>
      <w:r w:rsidR="005C40CA">
        <w:rPr>
          <w:rFonts w:ascii="Arial" w:eastAsia="MS Mincho" w:hAnsi="Arial" w:cs="Arial"/>
          <w:bCs/>
        </w:rPr>
        <w:t xml:space="preserve"> </w:t>
      </w:r>
      <w:r w:rsidR="005C40CA" w:rsidRPr="005C40CA">
        <w:rPr>
          <w:rFonts w:ascii="Arial" w:eastAsia="MS Mincho" w:hAnsi="Arial" w:cs="Arial"/>
          <w:bCs/>
          <w:i/>
          <w:iCs/>
        </w:rPr>
        <w:t>(A)</w:t>
      </w:r>
      <w:r w:rsidR="005C40CA" w:rsidRPr="005C40CA">
        <w:rPr>
          <w:rFonts w:ascii="Arial" w:eastAsia="MS Mincho" w:hAnsi="Arial" w:cs="Arial"/>
          <w:bCs/>
        </w:rPr>
        <w:t xml:space="preserve"> Correlation heatmaps comparing the ChIP-seq signal obtained for every sample at all identified binding sites. ChIP signal was calculated as the RPKM of the TF ChIP-seq divided by the RPKM of the input control. Pearson correlation coefficients were calculated for each pair of samples and these values were used for clustering and the colour scale. Correlation heatmaps were generated in R using the dba.plotHeatmap() function of the DiffBind package (Stark and Brown, 2011).</w:t>
      </w:r>
      <w:r w:rsidR="005C40CA">
        <w:rPr>
          <w:rFonts w:ascii="Arial" w:eastAsia="MS Mincho" w:hAnsi="Arial" w:cs="Arial"/>
          <w:bCs/>
        </w:rPr>
        <w:t xml:space="preserve"> </w:t>
      </w:r>
      <w:r w:rsidR="005C40CA" w:rsidRPr="005C40CA">
        <w:rPr>
          <w:rFonts w:ascii="Arial" w:eastAsia="MS Mincho" w:hAnsi="Arial" w:cs="Arial"/>
          <w:bCs/>
          <w:i/>
          <w:iCs/>
        </w:rPr>
        <w:t>(B)</w:t>
      </w:r>
      <w:r w:rsidR="005C40CA" w:rsidRPr="005C40CA">
        <w:rPr>
          <w:rFonts w:ascii="Arial" w:eastAsia="MS Mincho" w:hAnsi="Arial" w:cs="Arial"/>
          <w:bCs/>
        </w:rPr>
        <w:t xml:space="preserve"> Most enriched motifs found within transcription factors ChIP-seq peaks (target sequences) relative to background sequences. For all factors except GABPA, the motif shown is the most enriched compared to all others entries in the HOMER collection. This GABPA motif is ranked </w:t>
      </w:r>
      <w:r w:rsidR="009624BA">
        <w:rPr>
          <w:rFonts w:ascii="Arial" w:eastAsia="MS Mincho" w:hAnsi="Arial" w:cs="Arial"/>
          <w:bCs/>
        </w:rPr>
        <w:t>6</w:t>
      </w:r>
      <w:r w:rsidR="005C40CA" w:rsidRPr="005C40CA">
        <w:rPr>
          <w:rFonts w:ascii="Arial" w:eastAsia="MS Mincho" w:hAnsi="Arial" w:cs="Arial"/>
          <w:bCs/>
        </w:rPr>
        <w:t>th most enriched, however the top 10 motifs enriched at GABPA peaks are all highly similar ETS factor motif (See Table S5).</w:t>
      </w:r>
      <w:r w:rsidR="005C40CA">
        <w:rPr>
          <w:rFonts w:ascii="Arial" w:eastAsia="MS Mincho" w:hAnsi="Arial" w:cs="Arial"/>
          <w:bCs/>
        </w:rPr>
        <w:t xml:space="preserve"> </w:t>
      </w:r>
      <w:r w:rsidR="005C40CA" w:rsidRPr="005C40CA">
        <w:rPr>
          <w:rFonts w:ascii="Arial" w:eastAsia="MS Mincho" w:hAnsi="Arial" w:cs="Arial"/>
          <w:bCs/>
          <w:i/>
          <w:iCs/>
        </w:rPr>
        <w:t>(C)</w:t>
      </w:r>
      <w:r w:rsidR="005C40CA">
        <w:rPr>
          <w:rFonts w:ascii="Arial" w:eastAsia="MS Mincho" w:hAnsi="Arial" w:cs="Arial"/>
          <w:bCs/>
        </w:rPr>
        <w:t xml:space="preserve"> </w:t>
      </w:r>
      <w:r w:rsidR="005C40CA" w:rsidRPr="005C40CA">
        <w:rPr>
          <w:rFonts w:ascii="Arial" w:eastAsia="MS Mincho" w:hAnsi="Arial" w:cs="Arial"/>
          <w:bCs/>
        </w:rPr>
        <w:t>Immunoblot analysis of GABPA, NRF1, SP1 and YY1 levels after 36 h TSA treatment in mESCs. Cell lysates were derived from four biological replicate experiments.</w:t>
      </w:r>
      <w:r w:rsidR="005C40CA">
        <w:rPr>
          <w:rFonts w:ascii="Arial" w:eastAsia="MS Mincho" w:hAnsi="Arial" w:cs="Arial"/>
          <w:bCs/>
        </w:rPr>
        <w:t xml:space="preserve"> </w:t>
      </w:r>
      <w:r w:rsidR="005C40CA" w:rsidRPr="005C40CA">
        <w:rPr>
          <w:rFonts w:ascii="Arial" w:eastAsia="MS Mincho" w:hAnsi="Arial" w:cs="Arial"/>
          <w:bCs/>
          <w:i/>
          <w:iCs/>
        </w:rPr>
        <w:t>(</w:t>
      </w:r>
      <w:r w:rsidR="00772DB0">
        <w:rPr>
          <w:rFonts w:ascii="Arial" w:eastAsia="MS Mincho" w:hAnsi="Arial" w:cs="Arial"/>
          <w:bCs/>
          <w:i/>
          <w:iCs/>
        </w:rPr>
        <w:t>D</w:t>
      </w:r>
      <w:r w:rsidR="005C40CA" w:rsidRPr="005C40CA">
        <w:rPr>
          <w:rFonts w:ascii="Arial" w:eastAsia="MS Mincho" w:hAnsi="Arial" w:cs="Arial"/>
          <w:bCs/>
          <w:i/>
          <w:iCs/>
        </w:rPr>
        <w:t>)</w:t>
      </w:r>
      <w:r w:rsidR="005C40CA" w:rsidRPr="005C40CA">
        <w:rPr>
          <w:rFonts w:ascii="Arial" w:eastAsia="MS Mincho" w:hAnsi="Arial" w:cs="Arial"/>
          <w:bCs/>
        </w:rPr>
        <w:t xml:space="preserve"> Heatmaps show the ChIP-seq signal for every peak region at which a significant difference in occupancy was detected between two dataset pairs (TKO.Unt vs. J1.Unt; J1.TSA vs. J1.Unt; TKO.TSA vs. TKO.Unt; or TKO.TSA vs. J1.Unt). ChIP-seq signal was calculated for each sample as the RPKM of the TF ChIP-seq divided by the RPKM of the input control. Values from three biological replicates were averaged for plotting. The heights of the heatmaps are scaled to the number of peak intervals.</w:t>
      </w:r>
      <w:r w:rsidR="005C40CA">
        <w:rPr>
          <w:rFonts w:ascii="Arial" w:eastAsia="MS Mincho" w:hAnsi="Arial" w:cs="Arial"/>
          <w:bCs/>
        </w:rPr>
        <w:t xml:space="preserve"> </w:t>
      </w:r>
      <w:r w:rsidR="005C40CA" w:rsidRPr="005C40CA">
        <w:rPr>
          <w:rFonts w:ascii="Arial" w:eastAsia="MS Mincho" w:hAnsi="Arial" w:cs="Arial"/>
          <w:bCs/>
          <w:i/>
          <w:iCs/>
        </w:rPr>
        <w:t>(E)</w:t>
      </w:r>
      <w:r w:rsidR="005C40CA">
        <w:rPr>
          <w:rFonts w:ascii="Arial" w:eastAsia="MS Mincho" w:hAnsi="Arial" w:cs="Arial"/>
          <w:bCs/>
        </w:rPr>
        <w:t xml:space="preserve"> </w:t>
      </w:r>
      <w:r w:rsidR="005C40CA" w:rsidRPr="005C40CA">
        <w:rPr>
          <w:rFonts w:ascii="Arial" w:eastAsia="MS Mincho" w:hAnsi="Arial" w:cs="Arial"/>
          <w:bCs/>
        </w:rPr>
        <w:t>Top</w:t>
      </w:r>
      <w:r w:rsidR="005C40CA">
        <w:rPr>
          <w:rFonts w:ascii="Arial" w:eastAsia="MS Mincho" w:hAnsi="Arial" w:cs="Arial"/>
          <w:bCs/>
        </w:rPr>
        <w:t>,</w:t>
      </w:r>
      <w:r w:rsidR="005C40CA" w:rsidRPr="005C40CA">
        <w:rPr>
          <w:rFonts w:ascii="Arial" w:eastAsia="MS Mincho" w:hAnsi="Arial" w:cs="Arial"/>
          <w:bCs/>
        </w:rPr>
        <w:t xml:space="preserve"> </w:t>
      </w:r>
      <w:r w:rsidR="005C40CA">
        <w:rPr>
          <w:rFonts w:ascii="Arial" w:eastAsia="MS Mincho" w:hAnsi="Arial" w:cs="Arial"/>
          <w:bCs/>
        </w:rPr>
        <w:t>d</w:t>
      </w:r>
      <w:r w:rsidR="005C40CA" w:rsidRPr="005C40CA">
        <w:rPr>
          <w:rFonts w:ascii="Arial" w:eastAsia="MS Mincho" w:hAnsi="Arial" w:cs="Arial"/>
          <w:bCs/>
        </w:rPr>
        <w:t>istribution of H3ac ChIP-seq fold change values for ChIP-seq peaks grouped according to their differential occupancy in TSA- versus DMSO-treated DNMT.TKO cells. Bottom</w:t>
      </w:r>
      <w:r w:rsidR="005C40CA">
        <w:rPr>
          <w:rFonts w:ascii="Arial" w:eastAsia="MS Mincho" w:hAnsi="Arial" w:cs="Arial"/>
          <w:bCs/>
        </w:rPr>
        <w:t>,</w:t>
      </w:r>
      <w:r w:rsidR="005C40CA" w:rsidRPr="005C40CA">
        <w:rPr>
          <w:rFonts w:ascii="Arial" w:eastAsia="MS Mincho" w:hAnsi="Arial" w:cs="Arial"/>
          <w:bCs/>
        </w:rPr>
        <w:t xml:space="preserve"> </w:t>
      </w:r>
      <w:r w:rsidR="005C40CA">
        <w:rPr>
          <w:rFonts w:ascii="Arial" w:eastAsia="MS Mincho" w:hAnsi="Arial" w:cs="Arial"/>
          <w:bCs/>
        </w:rPr>
        <w:t>s</w:t>
      </w:r>
      <w:r w:rsidR="005C40CA" w:rsidRPr="005C40CA">
        <w:rPr>
          <w:rFonts w:ascii="Arial" w:eastAsia="MS Mincho" w:hAnsi="Arial" w:cs="Arial"/>
          <w:bCs/>
        </w:rPr>
        <w:t>catterplots comparing changes in TF occupancy to changes in H3ac levels at ChIP-seq peaks that are gained in TSA- versus DMSO-treated DNMT.TKO cells. SCC = Spearman</w:t>
      </w:r>
      <w:r w:rsidR="007368BC">
        <w:rPr>
          <w:rFonts w:ascii="Arial" w:eastAsia="MS Mincho" w:hAnsi="Arial" w:cs="Arial"/>
          <w:bCs/>
        </w:rPr>
        <w:t>’s</w:t>
      </w:r>
      <w:r w:rsidR="005C40CA" w:rsidRPr="005C40CA">
        <w:rPr>
          <w:rFonts w:ascii="Arial" w:eastAsia="MS Mincho" w:hAnsi="Arial" w:cs="Arial"/>
          <w:bCs/>
        </w:rPr>
        <w:t xml:space="preserve"> Correlation Coefficient.</w:t>
      </w:r>
    </w:p>
    <w:p w14:paraId="5D1819A6" w14:textId="77777777" w:rsidR="005C40CA" w:rsidRPr="005C40CA" w:rsidRDefault="005C40CA" w:rsidP="005C40CA">
      <w:pPr>
        <w:spacing w:line="360" w:lineRule="auto"/>
        <w:jc w:val="both"/>
        <w:rPr>
          <w:rFonts w:ascii="Arial" w:eastAsia="MS Mincho" w:hAnsi="Arial" w:cs="Arial"/>
          <w:bCs/>
        </w:rPr>
      </w:pPr>
    </w:p>
    <w:p w14:paraId="157C9B52" w14:textId="25386783" w:rsidR="0095475E" w:rsidRDefault="0095475E">
      <w:pPr>
        <w:rPr>
          <w:rFonts w:ascii="Arial" w:eastAsia="MS Mincho" w:hAnsi="Arial" w:cs="Arial"/>
          <w:bCs/>
        </w:rPr>
      </w:pPr>
      <w:r>
        <w:rPr>
          <w:rFonts w:ascii="Arial" w:eastAsia="MS Mincho" w:hAnsi="Arial" w:cs="Arial"/>
          <w:bCs/>
        </w:rPr>
        <w:br w:type="page"/>
      </w:r>
    </w:p>
    <w:p w14:paraId="7FE7DCFC" w14:textId="004EC37E" w:rsidR="005C40CA" w:rsidRDefault="0095475E" w:rsidP="005C40CA">
      <w:pPr>
        <w:spacing w:line="360" w:lineRule="auto"/>
        <w:rPr>
          <w:rFonts w:ascii="Arial" w:eastAsia="MS Mincho" w:hAnsi="Arial" w:cs="Arial"/>
          <w:b/>
        </w:rPr>
      </w:pPr>
      <w:r w:rsidRPr="0095475E">
        <w:rPr>
          <w:rFonts w:ascii="Arial" w:eastAsia="MS Mincho" w:hAnsi="Arial" w:cs="Arial"/>
          <w:b/>
        </w:rPr>
        <w:lastRenderedPageBreak/>
        <w:t>Figure S5</w:t>
      </w:r>
    </w:p>
    <w:p w14:paraId="68AE65A7" w14:textId="2C7FE9A4" w:rsidR="0095475E" w:rsidRPr="0095475E" w:rsidRDefault="00884020" w:rsidP="005C40CA">
      <w:pPr>
        <w:spacing w:line="360" w:lineRule="auto"/>
        <w:rPr>
          <w:rFonts w:ascii="Arial" w:eastAsia="MS Mincho" w:hAnsi="Arial" w:cs="Arial"/>
          <w:bCs/>
        </w:rPr>
      </w:pPr>
      <w:r>
        <w:rPr>
          <w:rFonts w:ascii="Arial" w:eastAsia="MS Mincho" w:hAnsi="Arial" w:cs="Arial"/>
          <w:bCs/>
          <w:noProof/>
        </w:rPr>
        <w:drawing>
          <wp:inline distT="0" distB="0" distL="0" distR="0" wp14:anchorId="16C4DC56" wp14:editId="3F6F7C4B">
            <wp:extent cx="5731510" cy="46843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S5 re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684395"/>
                    </a:xfrm>
                    <a:prstGeom prst="rect">
                      <a:avLst/>
                    </a:prstGeom>
                  </pic:spPr>
                </pic:pic>
              </a:graphicData>
            </a:graphic>
          </wp:inline>
        </w:drawing>
      </w:r>
    </w:p>
    <w:p w14:paraId="510DAFC0" w14:textId="13F5137D" w:rsidR="0095475E" w:rsidRDefault="0095475E" w:rsidP="0095475E">
      <w:pPr>
        <w:spacing w:after="120" w:line="360" w:lineRule="auto"/>
        <w:jc w:val="both"/>
        <w:rPr>
          <w:rFonts w:ascii="Arial" w:hAnsi="Arial" w:cs="Arial"/>
        </w:rPr>
      </w:pPr>
      <w:r w:rsidRPr="0095475E">
        <w:rPr>
          <w:rFonts w:ascii="Arial" w:hAnsi="Arial" w:cs="Arial"/>
          <w:b/>
          <w:bCs/>
        </w:rPr>
        <w:t>Figure S</w:t>
      </w:r>
      <w:r>
        <w:rPr>
          <w:rFonts w:ascii="Arial" w:hAnsi="Arial" w:cs="Arial"/>
          <w:b/>
          <w:bCs/>
        </w:rPr>
        <w:t>5.</w:t>
      </w:r>
      <w:r w:rsidRPr="005C29DE">
        <w:rPr>
          <w:rFonts w:ascii="Arial" w:hAnsi="Arial" w:cs="Arial"/>
        </w:rPr>
        <w:t xml:space="preserve"> DNA methylation and HDAC activity can modulate transcription factors occupancy. Related to Figure 3.</w:t>
      </w:r>
      <w:r>
        <w:rPr>
          <w:rFonts w:ascii="Arial" w:hAnsi="Arial" w:cs="Arial"/>
        </w:rPr>
        <w:t xml:space="preserve"> </w:t>
      </w:r>
      <w:r w:rsidRPr="0095475E">
        <w:rPr>
          <w:rFonts w:ascii="Arial" w:hAnsi="Arial" w:cs="Arial"/>
          <w:i/>
          <w:iCs/>
        </w:rPr>
        <w:t>(A)</w:t>
      </w:r>
      <w:r w:rsidRPr="005C29DE">
        <w:rPr>
          <w:rFonts w:ascii="Arial" w:hAnsi="Arial" w:cs="Arial"/>
        </w:rPr>
        <w:t xml:space="preserve"> Representative UCSC </w:t>
      </w:r>
      <w:r w:rsidR="00B6776B">
        <w:rPr>
          <w:rFonts w:ascii="Arial" w:hAnsi="Arial" w:cs="Arial"/>
        </w:rPr>
        <w:t>G</w:t>
      </w:r>
      <w:r w:rsidRPr="005C29DE">
        <w:rPr>
          <w:rFonts w:ascii="Arial" w:hAnsi="Arial" w:cs="Arial"/>
        </w:rPr>
        <w:t xml:space="preserve">enome </w:t>
      </w:r>
      <w:r w:rsidR="00B6776B">
        <w:rPr>
          <w:rFonts w:ascii="Arial" w:hAnsi="Arial" w:cs="Arial"/>
        </w:rPr>
        <w:t>B</w:t>
      </w:r>
      <w:r w:rsidRPr="005C29DE">
        <w:rPr>
          <w:rFonts w:ascii="Arial" w:hAnsi="Arial" w:cs="Arial"/>
        </w:rPr>
        <w:t>rowser snapshot showing CpG methylation levels (Habibi et al., 2013), ATAC-seq, GABPA ChIP-seq and Input ChIP-seq read coverage. The position of genes and that of sequences that match the GABPA motif are shown. ATAC-seq and ChIP-seq coverage graphs were generated after merging alignments from replicate samples. Mm10 coordinates: chr1:185,055,705-185,059,261.</w:t>
      </w:r>
      <w:r>
        <w:rPr>
          <w:rFonts w:ascii="Arial" w:hAnsi="Arial" w:cs="Arial"/>
        </w:rPr>
        <w:t xml:space="preserve"> </w:t>
      </w:r>
      <w:r w:rsidRPr="0095475E">
        <w:rPr>
          <w:rFonts w:ascii="Arial" w:hAnsi="Arial" w:cs="Arial"/>
          <w:i/>
          <w:iCs/>
        </w:rPr>
        <w:t>(B)</w:t>
      </w:r>
      <w:r w:rsidRPr="005C29DE">
        <w:rPr>
          <w:rFonts w:ascii="Arial" w:hAnsi="Arial" w:cs="Arial"/>
        </w:rPr>
        <w:t xml:space="preserve"> Same as (A). Mm10 coordinates: chr19:4,188,845-4,196,031.</w:t>
      </w:r>
      <w:r>
        <w:rPr>
          <w:rFonts w:ascii="Arial" w:hAnsi="Arial" w:cs="Arial"/>
        </w:rPr>
        <w:t xml:space="preserve"> </w:t>
      </w:r>
      <w:r w:rsidRPr="0095475E">
        <w:rPr>
          <w:rFonts w:ascii="Arial" w:hAnsi="Arial" w:cs="Arial"/>
          <w:i/>
          <w:iCs/>
        </w:rPr>
        <w:t>(C)</w:t>
      </w:r>
      <w:r w:rsidRPr="005C29DE">
        <w:rPr>
          <w:rFonts w:ascii="Arial" w:hAnsi="Arial" w:cs="Arial"/>
        </w:rPr>
        <w:t xml:space="preserve"> Same as (A). Mm10 coordinates: chr8:24,336,044-24,339,393.</w:t>
      </w:r>
      <w:r>
        <w:rPr>
          <w:rFonts w:ascii="Arial" w:hAnsi="Arial" w:cs="Arial"/>
        </w:rPr>
        <w:t xml:space="preserve"> </w:t>
      </w:r>
      <w:r w:rsidRPr="0095475E">
        <w:rPr>
          <w:rFonts w:ascii="Arial" w:hAnsi="Arial" w:cs="Arial"/>
          <w:i/>
          <w:iCs/>
        </w:rPr>
        <w:t>(D)</w:t>
      </w:r>
      <w:r w:rsidRPr="005C29DE">
        <w:rPr>
          <w:rFonts w:ascii="Arial" w:hAnsi="Arial" w:cs="Arial"/>
        </w:rPr>
        <w:t xml:space="preserve"> Representative UCSC </w:t>
      </w:r>
      <w:r w:rsidR="00B6776B">
        <w:rPr>
          <w:rFonts w:ascii="Arial" w:hAnsi="Arial" w:cs="Arial"/>
        </w:rPr>
        <w:t>G</w:t>
      </w:r>
      <w:r w:rsidRPr="005C29DE">
        <w:rPr>
          <w:rFonts w:ascii="Arial" w:hAnsi="Arial" w:cs="Arial"/>
        </w:rPr>
        <w:t xml:space="preserve">enome </w:t>
      </w:r>
      <w:r w:rsidR="00B6776B">
        <w:rPr>
          <w:rFonts w:ascii="Arial" w:hAnsi="Arial" w:cs="Arial"/>
        </w:rPr>
        <w:t>B</w:t>
      </w:r>
      <w:r w:rsidRPr="005C29DE">
        <w:rPr>
          <w:rFonts w:ascii="Arial" w:hAnsi="Arial" w:cs="Arial"/>
        </w:rPr>
        <w:t>rowser snapshot showing CpG methylation levels (Habibi et al., 2013), ATAC-seq, YY1 ChIP-seq and Input ChIP-seq read coverage. The position of repeat elements and that of sequences that match the YY1 motif are shown. ATAC-seq and ChIP-seq coverage graphs were generated after merging alignments from replicate samples. Mm10 coordinates: chr11:74,950,700-74,954,985.</w:t>
      </w:r>
      <w:r>
        <w:rPr>
          <w:rFonts w:ascii="Arial" w:hAnsi="Arial" w:cs="Arial"/>
        </w:rPr>
        <w:t xml:space="preserve"> </w:t>
      </w:r>
      <w:r w:rsidRPr="00AD4021">
        <w:rPr>
          <w:rFonts w:ascii="Arial" w:hAnsi="Arial" w:cs="Arial"/>
          <w:i/>
          <w:iCs/>
        </w:rPr>
        <w:t>(E)</w:t>
      </w:r>
      <w:r w:rsidRPr="005C29DE">
        <w:rPr>
          <w:rFonts w:ascii="Arial" w:hAnsi="Arial" w:cs="Arial"/>
        </w:rPr>
        <w:t xml:space="preserve"> Same as (D). Mm10 coordinates: chr4:49,457,807-49,470,813.</w:t>
      </w:r>
      <w:r w:rsidR="00AD4021">
        <w:rPr>
          <w:rFonts w:ascii="Arial" w:hAnsi="Arial" w:cs="Arial"/>
        </w:rPr>
        <w:t xml:space="preserve"> </w:t>
      </w:r>
      <w:r w:rsidR="00AD4021" w:rsidRPr="00AD4021">
        <w:rPr>
          <w:rFonts w:ascii="Arial" w:hAnsi="Arial" w:cs="Arial"/>
          <w:i/>
          <w:iCs/>
        </w:rPr>
        <w:t>(</w:t>
      </w:r>
      <w:r w:rsidRPr="00AD4021">
        <w:rPr>
          <w:rFonts w:ascii="Arial" w:hAnsi="Arial" w:cs="Arial"/>
          <w:i/>
          <w:iCs/>
        </w:rPr>
        <w:t>F</w:t>
      </w:r>
      <w:r w:rsidR="00AD4021" w:rsidRPr="00AD4021">
        <w:rPr>
          <w:rFonts w:ascii="Arial" w:hAnsi="Arial" w:cs="Arial"/>
          <w:i/>
          <w:iCs/>
        </w:rPr>
        <w:t>)</w:t>
      </w:r>
      <w:r w:rsidRPr="005C29DE">
        <w:rPr>
          <w:rFonts w:ascii="Arial" w:hAnsi="Arial" w:cs="Arial"/>
        </w:rPr>
        <w:t xml:space="preserve"> Same as (D). Mm10 coordinates: chr6:34,330,141-34,333,726.</w:t>
      </w:r>
      <w:r w:rsidR="00AD4021">
        <w:rPr>
          <w:rFonts w:ascii="Arial" w:hAnsi="Arial" w:cs="Arial"/>
        </w:rPr>
        <w:t xml:space="preserve"> </w:t>
      </w:r>
    </w:p>
    <w:p w14:paraId="7520ECF4" w14:textId="0B2F3F82" w:rsidR="005617DC" w:rsidRDefault="005617DC" w:rsidP="0095475E">
      <w:pPr>
        <w:spacing w:after="120" w:line="360" w:lineRule="auto"/>
        <w:jc w:val="both"/>
        <w:rPr>
          <w:rFonts w:ascii="Arial" w:hAnsi="Arial" w:cs="Arial"/>
        </w:rPr>
      </w:pPr>
    </w:p>
    <w:p w14:paraId="2EA4233D" w14:textId="69E899CC" w:rsidR="005617DC" w:rsidRDefault="005617DC">
      <w:pPr>
        <w:rPr>
          <w:rFonts w:ascii="Arial" w:hAnsi="Arial" w:cs="Arial"/>
        </w:rPr>
      </w:pPr>
      <w:r>
        <w:rPr>
          <w:rFonts w:ascii="Arial" w:hAnsi="Arial" w:cs="Arial"/>
        </w:rPr>
        <w:lastRenderedPageBreak/>
        <w:br w:type="page"/>
      </w:r>
    </w:p>
    <w:p w14:paraId="1B61219F" w14:textId="6D6504FE" w:rsidR="005617DC" w:rsidRPr="005617DC" w:rsidRDefault="005617DC" w:rsidP="0095475E">
      <w:pPr>
        <w:spacing w:after="120" w:line="360" w:lineRule="auto"/>
        <w:jc w:val="both"/>
        <w:rPr>
          <w:rFonts w:ascii="Arial" w:hAnsi="Arial" w:cs="Arial"/>
          <w:b/>
          <w:bCs/>
        </w:rPr>
      </w:pPr>
      <w:r w:rsidRPr="005617DC">
        <w:rPr>
          <w:rFonts w:ascii="Arial" w:hAnsi="Arial" w:cs="Arial"/>
          <w:b/>
          <w:bCs/>
        </w:rPr>
        <w:lastRenderedPageBreak/>
        <w:t>Figure S6</w:t>
      </w:r>
    </w:p>
    <w:p w14:paraId="577D83CD" w14:textId="3BF959EF" w:rsidR="005617DC" w:rsidRDefault="00884020" w:rsidP="0095475E">
      <w:pPr>
        <w:spacing w:after="120" w:line="360" w:lineRule="auto"/>
        <w:jc w:val="both"/>
        <w:rPr>
          <w:rFonts w:ascii="Arial" w:hAnsi="Arial" w:cs="Arial"/>
        </w:rPr>
      </w:pPr>
      <w:r>
        <w:rPr>
          <w:rFonts w:ascii="Arial" w:hAnsi="Arial" w:cs="Arial"/>
          <w:noProof/>
        </w:rPr>
        <w:drawing>
          <wp:inline distT="0" distB="0" distL="0" distR="0" wp14:anchorId="2E776F32" wp14:editId="1E7B9905">
            <wp:extent cx="5731510" cy="739521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S6 re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395210"/>
                    </a:xfrm>
                    <a:prstGeom prst="rect">
                      <a:avLst/>
                    </a:prstGeom>
                  </pic:spPr>
                </pic:pic>
              </a:graphicData>
            </a:graphic>
          </wp:inline>
        </w:drawing>
      </w:r>
    </w:p>
    <w:p w14:paraId="389C36FF" w14:textId="67BAC3A9" w:rsidR="005617DC" w:rsidRDefault="005617DC" w:rsidP="005617DC">
      <w:pPr>
        <w:spacing w:after="120" w:line="360" w:lineRule="auto"/>
        <w:jc w:val="both"/>
        <w:rPr>
          <w:rFonts w:ascii="Arial" w:hAnsi="Arial" w:cs="Arial"/>
        </w:rPr>
      </w:pPr>
      <w:r w:rsidRPr="005617DC">
        <w:rPr>
          <w:rFonts w:ascii="Arial" w:hAnsi="Arial" w:cs="Arial"/>
          <w:b/>
          <w:bCs/>
        </w:rPr>
        <w:t>Figure S6.</w:t>
      </w:r>
      <w:r w:rsidRPr="005C29DE">
        <w:rPr>
          <w:rFonts w:ascii="Arial" w:hAnsi="Arial" w:cs="Arial"/>
        </w:rPr>
        <w:t xml:space="preserve"> Characteristics of transcription factor binding sites. Related to Figure 4.</w:t>
      </w:r>
      <w:r>
        <w:rPr>
          <w:rFonts w:ascii="Arial" w:hAnsi="Arial" w:cs="Arial"/>
        </w:rPr>
        <w:t xml:space="preserve"> </w:t>
      </w:r>
      <w:r w:rsidRPr="005617DC">
        <w:rPr>
          <w:rFonts w:ascii="Arial" w:hAnsi="Arial" w:cs="Arial"/>
          <w:i/>
          <w:iCs/>
        </w:rPr>
        <w:t>(A)</w:t>
      </w:r>
      <w:r w:rsidRPr="005C29DE">
        <w:rPr>
          <w:rFonts w:ascii="Arial" w:hAnsi="Arial" w:cs="Arial"/>
        </w:rPr>
        <w:t xml:space="preserve"> Density plots showing the distance of ChIP-seq peaks to the nearest transcription start site (TSS). The percentages of peaks that are proximal to the TSS (centre of peak within 1500 bp of TSS) are indicated above the plots.</w:t>
      </w:r>
      <w:r>
        <w:rPr>
          <w:rFonts w:ascii="Arial" w:hAnsi="Arial" w:cs="Arial"/>
        </w:rPr>
        <w:t xml:space="preserve"> </w:t>
      </w:r>
      <w:r w:rsidRPr="005617DC">
        <w:rPr>
          <w:rFonts w:ascii="Arial" w:hAnsi="Arial" w:cs="Arial"/>
          <w:i/>
          <w:iCs/>
        </w:rPr>
        <w:t>(B)</w:t>
      </w:r>
      <w:r w:rsidRPr="005C29DE">
        <w:rPr>
          <w:rFonts w:ascii="Arial" w:hAnsi="Arial" w:cs="Arial"/>
        </w:rPr>
        <w:t xml:space="preserve"> The extent of overlap between TKO.TSA-specific YY1 ChIP-seq </w:t>
      </w:r>
      <w:r w:rsidRPr="005C29DE">
        <w:rPr>
          <w:rFonts w:ascii="Arial" w:hAnsi="Arial" w:cs="Arial"/>
        </w:rPr>
        <w:lastRenderedPageBreak/>
        <w:t>peaks and different subtypes of LINE elements. Only peaks with significantly increased YY1 occupancy in TSA-treated versus untreated DNMT.TKO cells and that overlap a LINE are included (n = 652).</w:t>
      </w:r>
      <w:r>
        <w:rPr>
          <w:rFonts w:ascii="Arial" w:hAnsi="Arial" w:cs="Arial"/>
        </w:rPr>
        <w:t xml:space="preserve"> </w:t>
      </w:r>
      <w:r w:rsidRPr="005617DC">
        <w:rPr>
          <w:rFonts w:ascii="Arial" w:hAnsi="Arial" w:cs="Arial"/>
          <w:i/>
          <w:iCs/>
        </w:rPr>
        <w:t>(C)</w:t>
      </w:r>
      <w:r w:rsidRPr="005C29DE">
        <w:rPr>
          <w:rFonts w:ascii="Arial" w:hAnsi="Arial" w:cs="Arial"/>
        </w:rPr>
        <w:t xml:space="preserve"> Number of TKO.TSA-specific YY1 ChIP-seq peaks that harbour a cognate binding motif. Left: peaks that overlap an L1Md_T element only. Right: peaks that overlap an L1Md_Gf element only.</w:t>
      </w:r>
      <w:r>
        <w:rPr>
          <w:rFonts w:ascii="Arial" w:hAnsi="Arial" w:cs="Arial"/>
        </w:rPr>
        <w:t xml:space="preserve"> </w:t>
      </w:r>
      <w:r w:rsidRPr="005617DC">
        <w:rPr>
          <w:rFonts w:ascii="Arial" w:hAnsi="Arial" w:cs="Arial"/>
          <w:i/>
          <w:iCs/>
        </w:rPr>
        <w:t>(D)</w:t>
      </w:r>
      <w:r w:rsidRPr="005C29DE">
        <w:rPr>
          <w:rFonts w:ascii="Arial" w:hAnsi="Arial" w:cs="Arial"/>
        </w:rPr>
        <w:t xml:space="preserve"> Metaplots showing the average YY1 ChIP-seq signal in 3 kb regions surrounding the centre of ChIP-seq peaks that overlap either an LTR (left) or LINE (right) elements.</w:t>
      </w:r>
    </w:p>
    <w:p w14:paraId="02F112A0" w14:textId="75642AA3" w:rsidR="00322E2E" w:rsidRDefault="00322E2E">
      <w:pPr>
        <w:rPr>
          <w:rFonts w:ascii="Arial" w:hAnsi="Arial" w:cs="Arial"/>
        </w:rPr>
      </w:pPr>
      <w:r>
        <w:rPr>
          <w:rFonts w:ascii="Arial" w:hAnsi="Arial" w:cs="Arial"/>
        </w:rPr>
        <w:br w:type="page"/>
      </w:r>
    </w:p>
    <w:p w14:paraId="1EC496FF" w14:textId="3D15A41C" w:rsidR="00322E2E" w:rsidRPr="00322E2E" w:rsidRDefault="00322E2E" w:rsidP="005617DC">
      <w:pPr>
        <w:spacing w:after="120" w:line="360" w:lineRule="auto"/>
        <w:jc w:val="both"/>
        <w:rPr>
          <w:rFonts w:ascii="Arial" w:hAnsi="Arial" w:cs="Arial"/>
          <w:b/>
          <w:bCs/>
        </w:rPr>
      </w:pPr>
      <w:r w:rsidRPr="00322E2E">
        <w:rPr>
          <w:rFonts w:ascii="Arial" w:hAnsi="Arial" w:cs="Arial"/>
          <w:b/>
          <w:bCs/>
        </w:rPr>
        <w:lastRenderedPageBreak/>
        <w:t>Figure S7</w:t>
      </w:r>
    </w:p>
    <w:p w14:paraId="5BF6B358" w14:textId="0621197A" w:rsidR="005617DC" w:rsidRPr="005C29DE" w:rsidRDefault="00884020" w:rsidP="005617DC">
      <w:pPr>
        <w:spacing w:after="120" w:line="360" w:lineRule="auto"/>
        <w:jc w:val="both"/>
        <w:rPr>
          <w:rFonts w:ascii="Arial" w:hAnsi="Arial" w:cs="Arial"/>
        </w:rPr>
      </w:pPr>
      <w:r>
        <w:rPr>
          <w:rFonts w:ascii="Arial" w:hAnsi="Arial" w:cs="Arial"/>
          <w:noProof/>
        </w:rPr>
        <w:drawing>
          <wp:inline distT="0" distB="0" distL="0" distR="0" wp14:anchorId="386CE3B3" wp14:editId="538EDB05">
            <wp:extent cx="4721352" cy="377342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S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1352" cy="3773424"/>
                    </a:xfrm>
                    <a:prstGeom prst="rect">
                      <a:avLst/>
                    </a:prstGeom>
                  </pic:spPr>
                </pic:pic>
              </a:graphicData>
            </a:graphic>
          </wp:inline>
        </w:drawing>
      </w:r>
    </w:p>
    <w:p w14:paraId="5799FB54" w14:textId="5DE3A16C" w:rsidR="00322E2E" w:rsidRPr="005C29DE" w:rsidRDefault="00322E2E" w:rsidP="00322E2E">
      <w:pPr>
        <w:spacing w:after="120" w:line="360" w:lineRule="auto"/>
        <w:jc w:val="both"/>
        <w:rPr>
          <w:rFonts w:ascii="Arial" w:hAnsi="Arial" w:cs="Arial"/>
        </w:rPr>
      </w:pPr>
      <w:r w:rsidRPr="00322E2E">
        <w:rPr>
          <w:rFonts w:ascii="Arial" w:hAnsi="Arial" w:cs="Arial"/>
          <w:b/>
          <w:bCs/>
        </w:rPr>
        <w:t>Figure S</w:t>
      </w:r>
      <w:r>
        <w:rPr>
          <w:rFonts w:ascii="Arial" w:hAnsi="Arial" w:cs="Arial"/>
          <w:b/>
          <w:bCs/>
        </w:rPr>
        <w:t>7.</w:t>
      </w:r>
      <w:r w:rsidRPr="005C29DE">
        <w:rPr>
          <w:rFonts w:ascii="Arial" w:hAnsi="Arial" w:cs="Arial"/>
        </w:rPr>
        <w:t xml:space="preserve"> The impact of DNA methylation loss and HDAC inhibition on gene expression. Related to Figure 6.</w:t>
      </w:r>
      <w:r>
        <w:rPr>
          <w:rFonts w:ascii="Arial" w:hAnsi="Arial" w:cs="Arial"/>
        </w:rPr>
        <w:t xml:space="preserve"> </w:t>
      </w:r>
      <w:r w:rsidRPr="00322E2E">
        <w:rPr>
          <w:rFonts w:ascii="Arial" w:hAnsi="Arial" w:cs="Arial"/>
          <w:i/>
          <w:iCs/>
        </w:rPr>
        <w:t>(A)</w:t>
      </w:r>
      <w:r w:rsidRPr="005C29DE">
        <w:rPr>
          <w:rFonts w:ascii="Arial" w:hAnsi="Arial" w:cs="Arial"/>
        </w:rPr>
        <w:t xml:space="preserve"> Volcano plots representing the false discovery rate (FDR) and fold change values obtained through pairwise differential analyses of strand-specific RNA-seq read counts at 15222 genes. Genes with significantly differential expression (adjusted p-value &lt; 10-5) are shown in red on the scatter plots and their numbers are summarised in the form of pie charts (light blue = significant decrease; red = significant increase).</w:t>
      </w:r>
      <w:r>
        <w:rPr>
          <w:rFonts w:ascii="Arial" w:hAnsi="Arial" w:cs="Arial"/>
        </w:rPr>
        <w:t xml:space="preserve"> </w:t>
      </w:r>
      <w:r w:rsidRPr="00322E2E">
        <w:rPr>
          <w:rFonts w:ascii="Arial" w:hAnsi="Arial" w:cs="Arial"/>
          <w:i/>
          <w:iCs/>
        </w:rPr>
        <w:t>(B)</w:t>
      </w:r>
      <w:r w:rsidRPr="005C29DE">
        <w:rPr>
          <w:rFonts w:ascii="Arial" w:hAnsi="Arial" w:cs="Arial"/>
        </w:rPr>
        <w:t xml:space="preserve"> Changes in accessibility at promoter-proximal THS regions (centre of peak within 1500 bp of TSS) were compared to changes in expression at their closest gene. The analysis was performed on 13068 THS:gene pairs involving 12356 genes. The numbers of ATAC-seq peaks associated with significant changes in both accessibility and gene expression are indicated in red in each quadrant. In brackets are indicated the expected number of sites showing both significant changes in accessibility and gene expression based on the total number of significant differential events. SCC = Spearman</w:t>
      </w:r>
      <w:r w:rsidR="007368BC">
        <w:rPr>
          <w:rFonts w:ascii="Arial" w:hAnsi="Arial" w:cs="Arial"/>
        </w:rPr>
        <w:t>’s</w:t>
      </w:r>
      <w:r w:rsidRPr="005C29DE">
        <w:rPr>
          <w:rFonts w:ascii="Arial" w:hAnsi="Arial" w:cs="Arial"/>
        </w:rPr>
        <w:t xml:space="preserve"> Correlation Coefficient.</w:t>
      </w:r>
    </w:p>
    <w:p w14:paraId="6DB9477A" w14:textId="77777777" w:rsidR="005617DC" w:rsidRDefault="005617DC" w:rsidP="0095475E">
      <w:pPr>
        <w:spacing w:after="120" w:line="360" w:lineRule="auto"/>
        <w:jc w:val="both"/>
        <w:rPr>
          <w:rFonts w:ascii="Arial" w:hAnsi="Arial" w:cs="Arial"/>
        </w:rPr>
      </w:pPr>
    </w:p>
    <w:p w14:paraId="0AC1A964" w14:textId="0176D131" w:rsidR="00322E2E" w:rsidRDefault="00322E2E">
      <w:pPr>
        <w:rPr>
          <w:rFonts w:ascii="Arial" w:hAnsi="Arial" w:cs="Arial"/>
        </w:rPr>
      </w:pPr>
      <w:r>
        <w:rPr>
          <w:rFonts w:ascii="Arial" w:hAnsi="Arial" w:cs="Arial"/>
        </w:rPr>
        <w:br w:type="page"/>
      </w:r>
    </w:p>
    <w:p w14:paraId="4643E8B1" w14:textId="14248AC0" w:rsidR="005617DC" w:rsidRPr="00322E2E" w:rsidRDefault="00322E2E" w:rsidP="0095475E">
      <w:pPr>
        <w:spacing w:after="120" w:line="360" w:lineRule="auto"/>
        <w:jc w:val="both"/>
        <w:rPr>
          <w:rFonts w:ascii="Arial" w:hAnsi="Arial" w:cs="Arial"/>
          <w:b/>
          <w:bCs/>
        </w:rPr>
      </w:pPr>
      <w:r w:rsidRPr="00322E2E">
        <w:rPr>
          <w:rFonts w:ascii="Arial" w:hAnsi="Arial" w:cs="Arial"/>
          <w:b/>
          <w:bCs/>
        </w:rPr>
        <w:lastRenderedPageBreak/>
        <w:t>Figure S8</w:t>
      </w:r>
    </w:p>
    <w:p w14:paraId="58EBAD5B" w14:textId="3989070B" w:rsidR="00322E2E" w:rsidRDefault="00884020" w:rsidP="0095475E">
      <w:pPr>
        <w:spacing w:after="120" w:line="360" w:lineRule="auto"/>
        <w:jc w:val="both"/>
        <w:rPr>
          <w:rFonts w:ascii="Arial" w:hAnsi="Arial" w:cs="Arial"/>
        </w:rPr>
      </w:pPr>
      <w:r>
        <w:rPr>
          <w:rFonts w:ascii="Arial" w:hAnsi="Arial" w:cs="Arial"/>
          <w:noProof/>
        </w:rPr>
        <w:lastRenderedPageBreak/>
        <w:drawing>
          <wp:inline distT="0" distB="0" distL="0" distR="0" wp14:anchorId="76F5109D" wp14:editId="5570F73D">
            <wp:extent cx="5540375" cy="886333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S8 rev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0375" cy="8863330"/>
                    </a:xfrm>
                    <a:prstGeom prst="rect">
                      <a:avLst/>
                    </a:prstGeom>
                  </pic:spPr>
                </pic:pic>
              </a:graphicData>
            </a:graphic>
          </wp:inline>
        </w:drawing>
      </w:r>
    </w:p>
    <w:p w14:paraId="27858E15" w14:textId="2D52519A" w:rsidR="00322E2E" w:rsidRPr="005C29DE" w:rsidRDefault="00322E2E" w:rsidP="00322E2E">
      <w:pPr>
        <w:spacing w:after="120" w:line="360" w:lineRule="auto"/>
        <w:jc w:val="both"/>
        <w:rPr>
          <w:rFonts w:ascii="Arial" w:hAnsi="Arial" w:cs="Arial"/>
        </w:rPr>
      </w:pPr>
      <w:r w:rsidRPr="00322E2E">
        <w:rPr>
          <w:rFonts w:ascii="Arial" w:hAnsi="Arial" w:cs="Arial"/>
          <w:b/>
          <w:bCs/>
        </w:rPr>
        <w:lastRenderedPageBreak/>
        <w:t>Figure S8.</w:t>
      </w:r>
      <w:r w:rsidRPr="005C29DE">
        <w:rPr>
          <w:rFonts w:ascii="Arial" w:hAnsi="Arial" w:cs="Arial"/>
        </w:rPr>
        <w:t xml:space="preserve"> The impact of DNA methylation loss and HDAC inhibition on expression from retrotransposons. Related to Figure 6.</w:t>
      </w:r>
      <w:r>
        <w:rPr>
          <w:rFonts w:ascii="Arial" w:hAnsi="Arial" w:cs="Arial"/>
        </w:rPr>
        <w:t xml:space="preserve"> </w:t>
      </w:r>
      <w:r w:rsidRPr="00322E2E">
        <w:rPr>
          <w:rFonts w:ascii="Arial" w:hAnsi="Arial" w:cs="Arial"/>
          <w:i/>
          <w:iCs/>
        </w:rPr>
        <w:t>(A)</w:t>
      </w:r>
      <w:r w:rsidRPr="005C29DE">
        <w:rPr>
          <w:rFonts w:ascii="Arial" w:hAnsi="Arial" w:cs="Arial"/>
        </w:rPr>
        <w:t xml:space="preserve"> For each ERVL subtype (N = 109), we plotted the fold change in ATAC-seq or RNA-seq signal along with scores relating to their sequence conservation (purple). ERVL subtypes were sorted based on the fold change in ATAC-seq coverage when comparing DNMT.TKO-TSA to wild-type cells. See also Table S3.</w:t>
      </w:r>
      <w:r>
        <w:rPr>
          <w:rFonts w:ascii="Arial" w:hAnsi="Arial" w:cs="Arial"/>
        </w:rPr>
        <w:t xml:space="preserve"> </w:t>
      </w:r>
      <w:r w:rsidRPr="00322E2E">
        <w:rPr>
          <w:rFonts w:ascii="Arial" w:hAnsi="Arial" w:cs="Arial"/>
          <w:i/>
          <w:iCs/>
        </w:rPr>
        <w:t>(B)</w:t>
      </w:r>
      <w:r w:rsidRPr="005C29DE">
        <w:rPr>
          <w:rFonts w:ascii="Arial" w:hAnsi="Arial" w:cs="Arial"/>
        </w:rPr>
        <w:t xml:space="preserve"> For each ERVK subtype (N = 231), we plotted the fold change in ATAC-seq or RNA-seq signal along with scores relating to their sequence conservation (purple). ERVK subtypes were sorted based on the fold change in ATAC-seq coverage when comparing DNMT.TKO-TSA to wild-type cells. See also Table S3.</w:t>
      </w:r>
      <w:r>
        <w:rPr>
          <w:rFonts w:ascii="Arial" w:hAnsi="Arial" w:cs="Arial"/>
        </w:rPr>
        <w:t xml:space="preserve"> </w:t>
      </w:r>
      <w:r w:rsidRPr="00322E2E">
        <w:rPr>
          <w:rFonts w:ascii="Arial" w:hAnsi="Arial" w:cs="Arial"/>
          <w:i/>
          <w:iCs/>
        </w:rPr>
        <w:t>(C)</w:t>
      </w:r>
      <w:r w:rsidRPr="005C29DE">
        <w:rPr>
          <w:rFonts w:ascii="Arial" w:hAnsi="Arial" w:cs="Arial"/>
        </w:rPr>
        <w:t xml:space="preserve"> For each LINE1 (N = 132), ERVL (N=109) or ERVL subtype (N=231), adjusted p-values for the change in RNA-seq signal were plotted. LINE1, ERVL and ERVK repeat subtypes were sorted as in the heatmaps shown in figures 6D, S8B and S8A respectively. See also Table S3.</w:t>
      </w:r>
    </w:p>
    <w:p w14:paraId="79EC5228" w14:textId="77777777" w:rsidR="00322E2E" w:rsidRPr="005C29DE" w:rsidRDefault="00322E2E" w:rsidP="0095475E">
      <w:pPr>
        <w:spacing w:after="120" w:line="360" w:lineRule="auto"/>
        <w:jc w:val="both"/>
        <w:rPr>
          <w:rFonts w:ascii="Arial" w:hAnsi="Arial" w:cs="Arial"/>
        </w:rPr>
      </w:pPr>
    </w:p>
    <w:p w14:paraId="2CF1C7E0" w14:textId="528D9B3D" w:rsidR="005C40CA" w:rsidRDefault="005C40CA" w:rsidP="005C40CA">
      <w:pPr>
        <w:rPr>
          <w:rFonts w:ascii="Arial" w:eastAsia="MS Mincho" w:hAnsi="Arial" w:cs="Arial"/>
          <w:b/>
        </w:rPr>
      </w:pPr>
    </w:p>
    <w:p w14:paraId="1D895C36" w14:textId="39A3506B" w:rsidR="005C40CA" w:rsidRDefault="005C40CA">
      <w:pPr>
        <w:rPr>
          <w:rFonts w:ascii="Arial" w:eastAsia="MS Mincho" w:hAnsi="Arial" w:cs="Arial"/>
          <w:b/>
        </w:rPr>
      </w:pPr>
      <w:r>
        <w:rPr>
          <w:rFonts w:ascii="Arial" w:eastAsia="MS Mincho" w:hAnsi="Arial" w:cs="Arial"/>
          <w:b/>
        </w:rPr>
        <w:br w:type="page"/>
      </w:r>
    </w:p>
    <w:p w14:paraId="4950F9AE" w14:textId="77777777" w:rsidR="005C40CA" w:rsidRDefault="005C40CA" w:rsidP="005C40CA">
      <w:pPr>
        <w:rPr>
          <w:rFonts w:ascii="Arial" w:eastAsia="MS Mincho" w:hAnsi="Arial" w:cs="Arial"/>
          <w:b/>
        </w:rPr>
      </w:pPr>
    </w:p>
    <w:p w14:paraId="211558DE" w14:textId="77777777" w:rsidR="00030EE4" w:rsidRDefault="00030EE4">
      <w:pPr>
        <w:rPr>
          <w:rFonts w:ascii="Arial" w:eastAsia="MS Mincho" w:hAnsi="Arial" w:cs="Arial"/>
          <w:b/>
        </w:rPr>
      </w:pPr>
    </w:p>
    <w:p w14:paraId="1CE27EA8" w14:textId="77777777" w:rsidR="00030EE4" w:rsidRDefault="00030EE4">
      <w:pPr>
        <w:rPr>
          <w:rFonts w:ascii="Arial" w:eastAsia="MS Mincho" w:hAnsi="Arial" w:cs="Arial"/>
          <w:b/>
        </w:rPr>
      </w:pPr>
    </w:p>
    <w:p w14:paraId="336B2168" w14:textId="7BEA4C07" w:rsidR="002812E4" w:rsidRPr="002812E4" w:rsidRDefault="002812E4" w:rsidP="00864255">
      <w:pPr>
        <w:pStyle w:val="ListParagraph"/>
        <w:numPr>
          <w:ilvl w:val="0"/>
          <w:numId w:val="5"/>
        </w:numPr>
        <w:ind w:left="426" w:hanging="426"/>
        <w:rPr>
          <w:rFonts w:ascii="Arial" w:hAnsi="Arial" w:cs="Arial"/>
          <w:b/>
          <w:bCs/>
        </w:rPr>
      </w:pPr>
      <w:r w:rsidRPr="002812E4">
        <w:rPr>
          <w:rFonts w:ascii="Arial" w:hAnsi="Arial" w:cs="Arial"/>
          <w:b/>
          <w:bCs/>
        </w:rPr>
        <w:t>Supplementary materials and methods.</w:t>
      </w:r>
    </w:p>
    <w:p w14:paraId="2625A365" w14:textId="77777777" w:rsidR="002812E4" w:rsidRDefault="002812E4" w:rsidP="00FD7F6C">
      <w:pPr>
        <w:spacing w:after="120" w:line="360" w:lineRule="auto"/>
        <w:jc w:val="both"/>
        <w:rPr>
          <w:rFonts w:ascii="Arial" w:eastAsia="MS Mincho" w:hAnsi="Arial" w:cs="Arial"/>
          <w:b/>
        </w:rPr>
      </w:pPr>
    </w:p>
    <w:p w14:paraId="604702AA" w14:textId="77777777" w:rsidR="00B8363D" w:rsidRPr="00E57E10" w:rsidRDefault="00B8363D" w:rsidP="00B8363D">
      <w:pPr>
        <w:spacing w:after="120" w:line="360" w:lineRule="auto"/>
        <w:jc w:val="both"/>
        <w:rPr>
          <w:rFonts w:ascii="Arial" w:hAnsi="Arial" w:cs="Arial"/>
          <w:b/>
        </w:rPr>
      </w:pPr>
      <w:bookmarkStart w:id="0" w:name="OLE_LINK151"/>
      <w:bookmarkStart w:id="1" w:name="OLE_LINK152"/>
      <w:r w:rsidRPr="00E57E10">
        <w:rPr>
          <w:rFonts w:ascii="Arial" w:hAnsi="Arial" w:cs="Arial"/>
          <w:b/>
        </w:rPr>
        <w:t>Quantification of global 5mC by Mass Spectroscopy</w:t>
      </w:r>
    </w:p>
    <w:bookmarkEnd w:id="0"/>
    <w:bookmarkEnd w:id="1"/>
    <w:p w14:paraId="1F3E1697" w14:textId="14EDCE42" w:rsidR="00B8363D" w:rsidRPr="00E57E10" w:rsidRDefault="00B8363D" w:rsidP="00B8363D">
      <w:pPr>
        <w:spacing w:after="120" w:line="360" w:lineRule="auto"/>
        <w:jc w:val="both"/>
        <w:rPr>
          <w:rFonts w:ascii="Arial" w:hAnsi="Arial" w:cs="Arial"/>
        </w:rPr>
      </w:pPr>
      <w:r w:rsidRPr="00E57E10">
        <w:rPr>
          <w:rFonts w:ascii="Arial" w:hAnsi="Arial" w:cs="Arial"/>
        </w:rPr>
        <w:t>Genomic DNA was extracted from mouse ES cells using the GeneJET Genomic DNA Purification Kit (Thermo</w:t>
      </w:r>
      <w:r w:rsidR="00B6776B">
        <w:rPr>
          <w:rFonts w:ascii="Arial" w:hAnsi="Arial" w:cs="Arial"/>
        </w:rPr>
        <w:t xml:space="preserve"> </w:t>
      </w:r>
      <w:r w:rsidRPr="00E57E10">
        <w:rPr>
          <w:rFonts w:ascii="Arial" w:hAnsi="Arial" w:cs="Arial"/>
        </w:rPr>
        <w:t>Fisher Scientific) following the manufacturer’s instructions. Hydrolysis was carried out in 150 µl reactions that contained 500 ng DNA, 100 mM NaCl, 20 mM MgCl2, 20 mM Tris pH 7.9, 1000 U/ml Benzonase, 600 mU/ml Phosphodiesterase I, 80 U/ml Alkaline phosphatase, 36 µg/ml EHNA hydrochloride and 2.7 mM deferoxamine for 2 hours at 37 °C. Following lyophilisation, nucleosides were resuspended in buffer A (10 mM ammonium acetate, pH 6) with 12.5 nM standards of +3 Da mdC and hmdC.</w:t>
      </w:r>
    </w:p>
    <w:p w14:paraId="2BF568BC" w14:textId="77777777" w:rsidR="00B8363D" w:rsidRPr="00E57E10" w:rsidRDefault="00B8363D" w:rsidP="00B8363D">
      <w:pPr>
        <w:spacing w:after="120" w:line="360" w:lineRule="auto"/>
        <w:jc w:val="both"/>
        <w:rPr>
          <w:rFonts w:ascii="Arial" w:hAnsi="Arial" w:cs="Arial"/>
        </w:rPr>
      </w:pPr>
      <w:r w:rsidRPr="00E57E10">
        <w:rPr>
          <w:rFonts w:ascii="Arial" w:hAnsi="Arial" w:cs="Arial"/>
        </w:rPr>
        <w:t xml:space="preserve">For the analysis by HPLC– QQQ mass spectrometry, a 1290 Infinity UHPLC was fitted with a Zorbax Eclipse plus C18 column, (1.8 µm, 2.1 mm 150 mm; Agilent) and coupled to a 6495a Triple Quadrupole mass spectrometer (Agilent Technologies) equipped with a Jetstream ESI-AJS source. The data were acquired in dMRM mode using positive electrospray ionisation (ESI1). mdC and hmdC were quantified by mass spectrometry, whereas dC was quantified by HPLC-UV. The gradient used to elute the nucleosides started by a 5 min isocratic gradient composed </w:t>
      </w:r>
      <w:r>
        <w:rPr>
          <w:rFonts w:ascii="Arial" w:hAnsi="Arial" w:cs="Arial"/>
        </w:rPr>
        <w:t>of</w:t>
      </w:r>
      <w:r w:rsidRPr="00E57E10">
        <w:rPr>
          <w:rFonts w:ascii="Arial" w:hAnsi="Arial" w:cs="Arial"/>
        </w:rPr>
        <w:t xml:space="preserve"> 100% buffer A and 0% buffer B (100% methanol) with a flow rate of 0.4 ml/min and was followed by the subsequent steps: 5-8 min, 94.4% A; 8–9 min, 94.4% A; 9–16 min 86.3% A; 16–17 min 0% A; 17– 21 min 0% A; 21–24.3 min 100% A; 24.3–25 min 100% A. The AJS ESI settings were as follows: drying gas temperature 230 °C, the drying gas flow 14 lmin</w:t>
      </w:r>
      <w:r w:rsidRPr="00E57E10">
        <w:rPr>
          <w:rFonts w:ascii="Arial" w:hAnsi="Arial" w:cs="Arial"/>
          <w:vertAlign w:val="superscript"/>
        </w:rPr>
        <w:t>-1</w:t>
      </w:r>
      <w:r w:rsidRPr="00E57E10">
        <w:rPr>
          <w:rFonts w:ascii="Arial" w:hAnsi="Arial" w:cs="Arial"/>
        </w:rPr>
        <w:t>, nebulizer 20 psi, sheath gas temperature 400 °C, sheath gas flow 11 lmin</w:t>
      </w:r>
      <w:r w:rsidRPr="00E57E10">
        <w:rPr>
          <w:rFonts w:ascii="Arial" w:hAnsi="Arial" w:cs="Arial"/>
          <w:vertAlign w:val="superscript"/>
        </w:rPr>
        <w:t>-1</w:t>
      </w:r>
      <w:r w:rsidRPr="00E57E10">
        <w:rPr>
          <w:rFonts w:ascii="Arial" w:hAnsi="Arial" w:cs="Arial"/>
        </w:rPr>
        <w:t xml:space="preserve">, Vcap 2,000 V and nozzle voltage 0 V. The iFunnel parameters were as follows: high pressure RF 110 V, low pressure RF 80 V. The fragmentor of the QQQ mass spectrometer was set to 380 V and the delta EMV set to +200. </w:t>
      </w:r>
    </w:p>
    <w:p w14:paraId="00BFD1E3" w14:textId="77777777" w:rsidR="00B8363D" w:rsidRPr="00E57E10" w:rsidRDefault="00B8363D" w:rsidP="00B8363D">
      <w:pPr>
        <w:spacing w:after="120" w:line="360" w:lineRule="auto"/>
        <w:jc w:val="both"/>
        <w:rPr>
          <w:rFonts w:ascii="Arial" w:hAnsi="Arial" w:cs="Arial"/>
        </w:rPr>
      </w:pPr>
      <w:r w:rsidRPr="00E57E10">
        <w:rPr>
          <w:rFonts w:ascii="Arial" w:hAnsi="Arial" w:cs="Arial"/>
        </w:rPr>
        <w:t xml:space="preserve">The raw mass spectrometry data was analysed using the MassHunter Quant Software package (Agilent Technologies, version B.08.01). The transitions and retention times used for the </w:t>
      </w:r>
      <w:r w:rsidRPr="00964D3E">
        <w:rPr>
          <w:rFonts w:ascii="Arial" w:hAnsi="Arial" w:cs="Arial"/>
        </w:rPr>
        <w:t>characterization of nucleosides and their adducts are summarized in Table S6. For the identification of compounds, raw mass spectrometry data was processed</w:t>
      </w:r>
      <w:r w:rsidRPr="00E57E10">
        <w:rPr>
          <w:rFonts w:ascii="Arial" w:hAnsi="Arial" w:cs="Arial"/>
        </w:rPr>
        <w:t xml:space="preserve"> using the dMRM extraction function in the MassHunter software.</w:t>
      </w:r>
    </w:p>
    <w:p w14:paraId="59E39FEB" w14:textId="77777777" w:rsidR="00B8363D" w:rsidRPr="00E57E10" w:rsidRDefault="00B8363D" w:rsidP="00B8363D">
      <w:pPr>
        <w:spacing w:after="120" w:line="360" w:lineRule="auto"/>
        <w:jc w:val="both"/>
        <w:rPr>
          <w:rFonts w:ascii="Arial" w:hAnsi="Arial" w:cs="Arial"/>
          <w:b/>
        </w:rPr>
      </w:pPr>
    </w:p>
    <w:p w14:paraId="0C7AEBE4" w14:textId="77777777" w:rsidR="00B8363D" w:rsidRPr="00E57E10" w:rsidRDefault="00B8363D" w:rsidP="00B8363D">
      <w:pPr>
        <w:spacing w:after="120" w:line="360" w:lineRule="auto"/>
        <w:jc w:val="both"/>
        <w:rPr>
          <w:rFonts w:ascii="Arial" w:hAnsi="Arial" w:cs="Arial"/>
          <w:b/>
        </w:rPr>
      </w:pPr>
      <w:r w:rsidRPr="00E57E10">
        <w:rPr>
          <w:rFonts w:ascii="Arial" w:hAnsi="Arial" w:cs="Arial"/>
          <w:b/>
        </w:rPr>
        <w:t>Isolation of histone proteins and immunoblotting</w:t>
      </w:r>
    </w:p>
    <w:p w14:paraId="62B84FE2" w14:textId="2514B79A" w:rsidR="00B8363D" w:rsidRDefault="00B8363D" w:rsidP="00B8363D">
      <w:pPr>
        <w:spacing w:after="120" w:line="360" w:lineRule="auto"/>
        <w:jc w:val="both"/>
        <w:rPr>
          <w:rFonts w:ascii="Arial" w:eastAsia="MS Mincho" w:hAnsi="Arial" w:cs="Arial"/>
        </w:rPr>
      </w:pPr>
      <w:r w:rsidRPr="00E57E10">
        <w:rPr>
          <w:rFonts w:ascii="Arial" w:eastAsia="MS Mincho" w:hAnsi="Arial" w:cs="Arial"/>
        </w:rPr>
        <w:lastRenderedPageBreak/>
        <w:t>Unless stated otherwise, all steps were performed on ice, spins performed in a centrifuge chilled to 4 °C and rotations set up in a cold room. Cells were lysed in lysis buffer (PBS supplemented with 0.5% (v/v) Triton</w:t>
      </w:r>
      <w:r w:rsidR="00C4338E">
        <w:rPr>
          <w:rFonts w:ascii="Arial" w:eastAsia="MS Mincho" w:hAnsi="Arial" w:cs="Arial"/>
        </w:rPr>
        <w:t xml:space="preserve"> </w:t>
      </w:r>
      <w:r w:rsidRPr="00E57E10">
        <w:rPr>
          <w:rFonts w:ascii="Arial" w:eastAsia="MS Mincho" w:hAnsi="Arial" w:cs="Arial"/>
        </w:rPr>
        <w:t xml:space="preserve">X100, </w:t>
      </w:r>
      <w:bookmarkStart w:id="2" w:name="OLE_LINK67"/>
      <w:bookmarkStart w:id="3" w:name="OLE_LINK68"/>
      <w:r w:rsidRPr="00E57E10">
        <w:rPr>
          <w:rFonts w:ascii="Arial" w:eastAsia="MS Mincho" w:hAnsi="Arial" w:cs="Arial"/>
        </w:rPr>
        <w:t>1x cOmplete</w:t>
      </w:r>
      <w:r w:rsidRPr="00E57E10">
        <w:rPr>
          <w:rFonts w:ascii="Arial" w:eastAsia="MS Mincho" w:hAnsi="Arial" w:cs="Arial"/>
          <w:vertAlign w:val="superscript"/>
        </w:rPr>
        <w:t>TM</w:t>
      </w:r>
      <w:r w:rsidRPr="00E57E10">
        <w:rPr>
          <w:rFonts w:ascii="Arial" w:eastAsia="MS Mincho" w:hAnsi="Arial" w:cs="Arial"/>
        </w:rPr>
        <w:t xml:space="preserve"> EDTA-free Protease Inhibitor Cocktail (</w:t>
      </w:r>
      <w:bookmarkStart w:id="4" w:name="OLE_LINK15"/>
      <w:bookmarkStart w:id="5" w:name="OLE_LINK16"/>
      <w:r w:rsidRPr="00E57E10">
        <w:rPr>
          <w:rFonts w:ascii="Arial" w:eastAsia="MS Mincho" w:hAnsi="Arial" w:cs="Arial"/>
        </w:rPr>
        <w:t>Roche</w:t>
      </w:r>
      <w:bookmarkEnd w:id="4"/>
      <w:bookmarkEnd w:id="5"/>
      <w:r w:rsidRPr="00E57E10">
        <w:rPr>
          <w:rFonts w:ascii="Arial" w:eastAsia="MS Mincho" w:hAnsi="Arial" w:cs="Arial"/>
        </w:rPr>
        <w:t>)</w:t>
      </w:r>
      <w:bookmarkEnd w:id="2"/>
      <w:bookmarkEnd w:id="3"/>
      <w:r w:rsidRPr="00E57E10">
        <w:rPr>
          <w:rFonts w:ascii="Arial" w:eastAsia="MS Mincho" w:hAnsi="Arial" w:cs="Arial"/>
        </w:rPr>
        <w:t xml:space="preserve"> and 10 mM sodium butyrate) for 10 min after which nuclei were washed once with lysis buffer. Histone proteins were solubilised by incubating the nuclei in 0.2 M H</w:t>
      </w:r>
      <w:r w:rsidRPr="00E57E10">
        <w:rPr>
          <w:rFonts w:ascii="Arial" w:eastAsia="MS Mincho" w:hAnsi="Arial" w:cs="Arial"/>
          <w:vertAlign w:val="subscript"/>
        </w:rPr>
        <w:t>2</w:t>
      </w:r>
      <w:r w:rsidRPr="00E57E10">
        <w:rPr>
          <w:rFonts w:ascii="Arial" w:eastAsia="MS Mincho" w:hAnsi="Arial" w:cs="Arial"/>
        </w:rPr>
        <w:t>SO</w:t>
      </w:r>
      <w:r w:rsidRPr="00E57E10">
        <w:rPr>
          <w:rFonts w:ascii="Arial" w:eastAsia="MS Mincho" w:hAnsi="Arial" w:cs="Arial"/>
          <w:vertAlign w:val="subscript"/>
        </w:rPr>
        <w:t xml:space="preserve">4 </w:t>
      </w:r>
      <w:r w:rsidRPr="00E57E10">
        <w:rPr>
          <w:rFonts w:ascii="Arial" w:eastAsia="MS Mincho" w:hAnsi="Arial" w:cs="Arial"/>
        </w:rPr>
        <w:t>with rotation overnight and collected by spinning at 16,000 x g for 10 min. The histone proteins were subsequently precipitated by adding trichloroacetic acid (TCA) to a final concentration of 25% and incubating them for at least 2 hours on ice followed by the centrifugation at 16,000 x g for 10 min. Following two washes with ice-cold acetone, histone proteins were resuspended in 1x SDS-PAGE Loading Buffer (40 mM Tris-HCl pH 6.8, 80 mM DTT, 1.6% SDS, 0.08% bromophenol blue, 8% glycerol) and denatured at 95</w:t>
      </w:r>
      <w:r>
        <w:rPr>
          <w:rFonts w:ascii="Arial" w:eastAsia="MS Mincho" w:hAnsi="Arial" w:cs="Arial"/>
        </w:rPr>
        <w:t xml:space="preserve"> </w:t>
      </w:r>
      <w:r w:rsidRPr="00E57E10">
        <w:rPr>
          <w:rFonts w:ascii="Arial" w:eastAsia="MS Mincho" w:hAnsi="Arial" w:cs="Arial"/>
        </w:rPr>
        <w:t>°C for 5</w:t>
      </w:r>
      <w:r>
        <w:rPr>
          <w:rFonts w:ascii="Arial" w:eastAsia="MS Mincho" w:hAnsi="Arial" w:cs="Arial"/>
        </w:rPr>
        <w:t xml:space="preserve"> </w:t>
      </w:r>
      <w:r w:rsidRPr="00E57E10">
        <w:rPr>
          <w:rFonts w:ascii="Arial" w:eastAsia="MS Mincho" w:hAnsi="Arial" w:cs="Arial"/>
        </w:rPr>
        <w:t>min. Samples were resolved on 15% SDS-PAGE gels and analysed by immunoblotting. Histone proteins were detected by using a rabbit polyclonal anti- pan-acetyl H3/H4 antibody (Upstate, 06-866; 1:5000 dilution), a rabbit polyclonal antibody anti- pan-acetyl H3 antibody (Millipore, 06-599; 1:2000 dilution) and a rabbit polyclonal antibody against total unmodified H3 (Abcam, ab1791; 1:40000 dilution). The Santa Cruz sc-2004 goat anti-rabbit HRP-conjugated antibody was used as a secondary antibody (1:10000 dilution).</w:t>
      </w:r>
      <w:r>
        <w:t xml:space="preserve"> </w:t>
      </w:r>
      <w:r w:rsidRPr="00F26D01">
        <w:rPr>
          <w:rFonts w:ascii="Arial" w:eastAsia="MS Mincho" w:hAnsi="Arial" w:cs="Arial"/>
        </w:rPr>
        <w:t xml:space="preserve">The following primary antibodies were used for detecting transcription factors: anti-GABPA (Santa Cruz, sc-28312), anti-NRF1 (Abcam, ab55744), anti-SP1 (Santa Cruz, sc-17824), anti-YY1 (Santa Cruz, sc-7341). </w:t>
      </w:r>
      <w:r w:rsidR="008D3FA0">
        <w:rPr>
          <w:rFonts w:ascii="Arial" w:eastAsia="MS Mincho" w:hAnsi="Arial" w:cs="Arial"/>
        </w:rPr>
        <w:t>ACTB</w:t>
      </w:r>
      <w:r w:rsidRPr="00F26D01">
        <w:rPr>
          <w:rFonts w:ascii="Arial" w:eastAsia="MS Mincho" w:hAnsi="Arial" w:cs="Arial"/>
        </w:rPr>
        <w:t xml:space="preserve"> was detected using an HRP-conjugated antibody (Abcam, ab49900).</w:t>
      </w:r>
    </w:p>
    <w:p w14:paraId="02745794" w14:textId="77777777" w:rsidR="00E17029" w:rsidRPr="00E57E10" w:rsidRDefault="00E17029" w:rsidP="00B8363D">
      <w:pPr>
        <w:spacing w:after="120" w:line="360" w:lineRule="auto"/>
        <w:jc w:val="both"/>
        <w:rPr>
          <w:rFonts w:ascii="Arial" w:eastAsia="MS Mincho" w:hAnsi="Arial" w:cs="Arial"/>
        </w:rPr>
      </w:pPr>
    </w:p>
    <w:p w14:paraId="5DD0B78C" w14:textId="5BB30B1D" w:rsidR="00E17029" w:rsidRPr="00E57E10" w:rsidRDefault="00E17029" w:rsidP="00E17029">
      <w:pPr>
        <w:spacing w:after="120" w:line="360" w:lineRule="auto"/>
        <w:jc w:val="both"/>
        <w:rPr>
          <w:rFonts w:ascii="Arial" w:eastAsia="MS Mincho" w:hAnsi="Arial" w:cs="Arial"/>
          <w:b/>
        </w:rPr>
      </w:pPr>
      <w:r w:rsidRPr="00E57E10">
        <w:rPr>
          <w:rFonts w:ascii="Arial" w:eastAsia="MS Mincho" w:hAnsi="Arial" w:cs="Arial"/>
          <w:b/>
        </w:rPr>
        <w:t>ATAC-seq sample preparation</w:t>
      </w:r>
    </w:p>
    <w:p w14:paraId="2B1E655B" w14:textId="152B9C66" w:rsidR="00E17029" w:rsidRPr="00E57E10" w:rsidRDefault="00E17029" w:rsidP="00E17029">
      <w:pPr>
        <w:spacing w:after="120" w:line="360" w:lineRule="auto"/>
        <w:jc w:val="both"/>
        <w:rPr>
          <w:rFonts w:ascii="Arial" w:eastAsia="MS Mincho" w:hAnsi="Arial" w:cs="Arial"/>
        </w:rPr>
      </w:pPr>
      <w:r w:rsidRPr="005C1FDC">
        <w:rPr>
          <w:rFonts w:ascii="Arial" w:eastAsia="MS Mincho" w:hAnsi="Arial" w:cs="Arial"/>
        </w:rPr>
        <w:t>To allow</w:t>
      </w:r>
      <w:r w:rsidRPr="00E57E10">
        <w:rPr>
          <w:rFonts w:ascii="Arial" w:eastAsia="MS Mincho" w:hAnsi="Arial" w:cs="Arial"/>
        </w:rPr>
        <w:t xml:space="preserve"> for calibration of the ATAC-seq signal between different samples, </w:t>
      </w:r>
      <w:r w:rsidRPr="00E57E10">
        <w:rPr>
          <w:rFonts w:ascii="Arial" w:hAnsi="Arial" w:cs="Arial"/>
        </w:rPr>
        <w:t>5 x 10</w:t>
      </w:r>
      <w:r w:rsidRPr="00E57E10">
        <w:rPr>
          <w:rFonts w:ascii="Arial" w:hAnsi="Arial" w:cs="Arial"/>
          <w:vertAlign w:val="superscript"/>
        </w:rPr>
        <w:t>5</w:t>
      </w:r>
      <w:r w:rsidRPr="00E57E10">
        <w:rPr>
          <w:rFonts w:ascii="Arial" w:hAnsi="Arial" w:cs="Arial"/>
        </w:rPr>
        <w:t xml:space="preserve"> c</w:t>
      </w:r>
      <w:r w:rsidRPr="00E57E10">
        <w:rPr>
          <w:rFonts w:ascii="Arial" w:eastAsia="MS Mincho" w:hAnsi="Arial" w:cs="Arial"/>
        </w:rPr>
        <w:t>hicken DF-1 cells were spiked-in with</w:t>
      </w:r>
      <w:r w:rsidRPr="00E57E10">
        <w:rPr>
          <w:rFonts w:ascii="Arial" w:hAnsi="Arial" w:cs="Arial"/>
        </w:rPr>
        <w:t xml:space="preserve"> 5 x 10</w:t>
      </w:r>
      <w:r w:rsidRPr="00E57E10">
        <w:rPr>
          <w:rFonts w:ascii="Arial" w:hAnsi="Arial" w:cs="Arial"/>
          <w:vertAlign w:val="superscript"/>
        </w:rPr>
        <w:t>6</w:t>
      </w:r>
      <w:r w:rsidRPr="00E57E10">
        <w:rPr>
          <w:rFonts w:ascii="Arial" w:hAnsi="Arial" w:cs="Arial"/>
        </w:rPr>
        <w:t xml:space="preserve"> mouse ES cells from each experimental condition. </w:t>
      </w:r>
      <w:r w:rsidRPr="00E57E10">
        <w:rPr>
          <w:rFonts w:ascii="Arial" w:eastAsia="MS Mincho" w:hAnsi="Arial" w:cs="Arial"/>
        </w:rPr>
        <w:t xml:space="preserve"> </w:t>
      </w:r>
      <w:r w:rsidRPr="00E57E10">
        <w:rPr>
          <w:rFonts w:ascii="Arial" w:hAnsi="Arial" w:cs="Arial"/>
        </w:rPr>
        <w:t xml:space="preserve">Cell mixtures were lysed in </w:t>
      </w:r>
      <w:r w:rsidRPr="00E57E10">
        <w:rPr>
          <w:rFonts w:ascii="Arial" w:eastAsia="MS Mincho" w:hAnsi="Arial" w:cs="Arial"/>
        </w:rPr>
        <w:t>1</w:t>
      </w:r>
      <w:r>
        <w:rPr>
          <w:rFonts w:ascii="Arial" w:eastAsia="MS Mincho" w:hAnsi="Arial" w:cs="Arial"/>
        </w:rPr>
        <w:t xml:space="preserve"> </w:t>
      </w:r>
      <w:r w:rsidRPr="00E57E10">
        <w:rPr>
          <w:rFonts w:ascii="Arial" w:eastAsia="MS Mincho" w:hAnsi="Arial" w:cs="Arial"/>
        </w:rPr>
        <w:t>ml</w:t>
      </w:r>
      <w:r>
        <w:rPr>
          <w:rFonts w:ascii="Arial" w:eastAsia="MS Mincho" w:hAnsi="Arial" w:cs="Arial"/>
        </w:rPr>
        <w:t xml:space="preserve"> of</w:t>
      </w:r>
      <w:r w:rsidRPr="00E57E10">
        <w:rPr>
          <w:rFonts w:ascii="Arial" w:eastAsia="MS Mincho" w:hAnsi="Arial" w:cs="Arial"/>
        </w:rPr>
        <w:t xml:space="preserve"> Lysis Buffer (50 mM KCl, 10 mM MgSO</w:t>
      </w:r>
      <w:r w:rsidRPr="00E57E10">
        <w:rPr>
          <w:rFonts w:ascii="Arial" w:eastAsia="MS Mincho" w:hAnsi="Arial" w:cs="Arial"/>
          <w:vertAlign w:val="subscript"/>
        </w:rPr>
        <w:t>4</w:t>
      </w:r>
      <w:r>
        <w:rPr>
          <w:rFonts w:ascii="Arial" w:eastAsia="MS Mincho" w:hAnsi="Arial" w:cs="Arial"/>
        </w:rPr>
        <w:t>x</w:t>
      </w:r>
      <w:r w:rsidRPr="00E57E10">
        <w:rPr>
          <w:rFonts w:ascii="Arial" w:eastAsia="MS Mincho" w:hAnsi="Arial" w:cs="Arial"/>
        </w:rPr>
        <w:t>7H</w:t>
      </w:r>
      <w:r w:rsidRPr="00E57E10">
        <w:rPr>
          <w:rFonts w:ascii="Arial" w:eastAsia="MS Mincho" w:hAnsi="Arial" w:cs="Arial"/>
          <w:vertAlign w:val="subscript"/>
        </w:rPr>
        <w:t>2</w:t>
      </w:r>
      <w:r>
        <w:rPr>
          <w:rFonts w:ascii="Arial" w:eastAsia="MS Mincho" w:hAnsi="Arial" w:cs="Arial"/>
        </w:rPr>
        <w:t>O</w:t>
      </w:r>
      <w:r w:rsidRPr="00E57E10">
        <w:rPr>
          <w:rFonts w:ascii="Arial" w:eastAsia="MS Mincho" w:hAnsi="Arial" w:cs="Arial"/>
        </w:rPr>
        <w:t>, 5 mM HEPES, 0.05% NP</w:t>
      </w:r>
      <w:r w:rsidR="00C4338E">
        <w:rPr>
          <w:rFonts w:ascii="Arial" w:eastAsia="MS Mincho" w:hAnsi="Arial" w:cs="Arial"/>
        </w:rPr>
        <w:t>-</w:t>
      </w:r>
      <w:r w:rsidRPr="00E57E10">
        <w:rPr>
          <w:rFonts w:ascii="Arial" w:eastAsia="MS Mincho" w:hAnsi="Arial" w:cs="Arial"/>
        </w:rPr>
        <w:t>40 (IGEPAL CA630), 1 mM PMSF and 3 mM DTT) by incubating at room-temperature for 1 min followed by the two washes in 1 ml ice-cold RSB Buffer (10 mM NaCl, 10 mM Tris (pH 7.4), 3 mM MgCl</w:t>
      </w:r>
      <w:r w:rsidRPr="00E57E10">
        <w:rPr>
          <w:rFonts w:ascii="Arial" w:eastAsia="MS Mincho" w:hAnsi="Arial" w:cs="Arial"/>
          <w:vertAlign w:val="subscript"/>
        </w:rPr>
        <w:t>2</w:t>
      </w:r>
      <w:r w:rsidRPr="00E57E10">
        <w:rPr>
          <w:rFonts w:ascii="Arial" w:eastAsia="MS Mincho" w:hAnsi="Arial" w:cs="Arial"/>
        </w:rPr>
        <w:t xml:space="preserve">). </w:t>
      </w:r>
    </w:p>
    <w:p w14:paraId="48231253" w14:textId="26D451C9" w:rsidR="00E17029" w:rsidRPr="00E57E10" w:rsidRDefault="00E17029" w:rsidP="00E17029">
      <w:pPr>
        <w:spacing w:after="120" w:line="360" w:lineRule="auto"/>
        <w:jc w:val="both"/>
        <w:rPr>
          <w:rFonts w:ascii="Arial" w:eastAsia="MS Mincho" w:hAnsi="Arial" w:cs="Arial"/>
        </w:rPr>
      </w:pPr>
      <w:r w:rsidRPr="00E57E10">
        <w:rPr>
          <w:rFonts w:ascii="Arial" w:eastAsia="MS Mincho" w:hAnsi="Arial" w:cs="Arial"/>
        </w:rPr>
        <w:t>ATAC reactions were performed in 50 µl reactions in the presence of Tn5 reaction buffer (10 mM TAPS, 5 mM MgCl</w:t>
      </w:r>
      <w:r w:rsidRPr="00E57E10">
        <w:rPr>
          <w:rFonts w:ascii="Arial" w:eastAsia="MS Mincho" w:hAnsi="Arial" w:cs="Arial"/>
          <w:vertAlign w:val="subscript"/>
        </w:rPr>
        <w:t>2</w:t>
      </w:r>
      <w:r w:rsidRPr="00E57E10">
        <w:rPr>
          <w:rFonts w:ascii="Arial" w:eastAsia="MS Mincho" w:hAnsi="Arial" w:cs="Arial"/>
        </w:rPr>
        <w:t xml:space="preserve"> and 10% dimethylformamide), 5 x 10</w:t>
      </w:r>
      <w:r w:rsidRPr="00E57E10">
        <w:rPr>
          <w:rFonts w:ascii="Arial" w:eastAsia="MS Mincho" w:hAnsi="Arial" w:cs="Arial"/>
          <w:vertAlign w:val="superscript"/>
        </w:rPr>
        <w:t>4</w:t>
      </w:r>
      <w:r w:rsidRPr="00E57E10">
        <w:rPr>
          <w:rFonts w:ascii="Arial" w:eastAsia="MS Mincho" w:hAnsi="Arial" w:cs="Arial"/>
        </w:rPr>
        <w:t xml:space="preserve"> nuclei (resuspended in H</w:t>
      </w:r>
      <w:r w:rsidRPr="00E57E10">
        <w:rPr>
          <w:rFonts w:ascii="Arial" w:eastAsia="MS Mincho" w:hAnsi="Arial" w:cs="Arial"/>
          <w:vertAlign w:val="subscript"/>
        </w:rPr>
        <w:t>2</w:t>
      </w:r>
      <w:r>
        <w:rPr>
          <w:rFonts w:ascii="Arial" w:eastAsia="MS Mincho" w:hAnsi="Arial" w:cs="Arial"/>
        </w:rPr>
        <w:t>O</w:t>
      </w:r>
      <w:r w:rsidRPr="00E57E10">
        <w:rPr>
          <w:rFonts w:ascii="Arial" w:eastAsia="MS Mincho" w:hAnsi="Arial" w:cs="Arial"/>
        </w:rPr>
        <w:t xml:space="preserve">) and 2 µl </w:t>
      </w:r>
      <w:r>
        <w:rPr>
          <w:rFonts w:ascii="Arial" w:eastAsia="MS Mincho" w:hAnsi="Arial" w:cs="Arial"/>
        </w:rPr>
        <w:t xml:space="preserve">of </w:t>
      </w:r>
      <w:r w:rsidRPr="00E57E10">
        <w:rPr>
          <w:rFonts w:ascii="Arial" w:eastAsia="MS Mincho" w:hAnsi="Arial" w:cs="Arial"/>
        </w:rPr>
        <w:t xml:space="preserve">12 </w:t>
      </w:r>
      <w:r>
        <w:rPr>
          <w:rFonts w:ascii="Arial" w:eastAsia="MS Mincho" w:hAnsi="Arial" w:cs="Arial"/>
        </w:rPr>
        <w:t>μ</w:t>
      </w:r>
      <w:r w:rsidRPr="00E57E10">
        <w:rPr>
          <w:rFonts w:ascii="Arial" w:eastAsia="MS Mincho" w:hAnsi="Arial" w:cs="Arial"/>
        </w:rPr>
        <w:t xml:space="preserve">M Tn5 transposase (produced in house following a protocol by </w:t>
      </w:r>
      <w:r>
        <w:rPr>
          <w:rFonts w:ascii="Arial" w:eastAsia="MS Mincho" w:hAnsi="Arial" w:cs="Arial"/>
        </w:rPr>
        <w:fldChar w:fldCharType="begin"/>
      </w:r>
      <w:r>
        <w:rPr>
          <w:rFonts w:ascii="Arial" w:eastAsia="MS Mincho" w:hAnsi="Arial" w:cs="Arial"/>
        </w:rPr>
        <w:instrText xml:space="preserve"> ADDIN ZOTERO_ITEM CSL_CITATION {"citationID":"Tmx0LdNl","properties":{"formattedCitation":"(Picelli et al., 2014)","plainCitation":"(Picelli et al., 2014)","dontUpdate":true,"noteIndex":0},"citationItems":[{"id":963,"uris":["http://zotero.org/users/1612991/items/7GR8EMCG"],"uri":["http://zotero.org/users/1612991/items/7GR8EMCG"],"itemData":{"id":963,"type":"article-journal","abstract":"Massively parallel DNA sequencing of thousands of samples in a single machine-run is now possible, but the preparation of the individual sequencing libraries is expensive and time-consuming. Tagmentation-based library construction, using the Tn5 transposase, is an efficient way to generate sequencing libraries but currently relies on undisclosed reagents which severely limits novel application development and the execution of large scale projects. Here, we present simple and robust procedures for Tn5 transposase production and optimized reaction conditions for tagmentation-based sequencing library construction. We further show how molecular crowding agents both modulate library lengths and enable efficient tagmentation from sub-picogram amounts of cDNA. Comparison of single-cell RNA-sequencing libraries generated with produced and commercial Tn5 demonstrated equal performances in terms of gene detection and library characteristics. Finally, as naked Tn5 can be annealed to any oligonucleotide of choice, such as molecular barcodes in single-cell assays or methylated oligonucleotides for bisulfite sequencing, custom Tn5 production and tagmentation enables innovation in sequencing-based applications.","container-title":"Genome Research","DOI":"10.1101/gr.177881.114","ISSN":"1088-9051, 1549-5469","journalAbbreviation":"Genome Res.","language":"en","note":"PMID: 25079858","page":"gr.177881.114","source":"genome.cshlp.org","title":"Tn5 transposase and tagmentation procedures for massively-scaled sequencing projects","author":[{"family":"Picelli","given":"Simone"},{"family":"Björklund","given":"Åsa K."},{"family":"Reinius","given":"Björn"},{"family":"Sagasser","given":"Sven"},{"family":"Winberg","given":"Gösta"},{"family":"Sandberg","given":"Rickard"}],"issued":{"date-parts":[["2014",7,30]]}}}],"schema":"https://github.com/citation-style-language/schema/raw/master/csl-citation.json"} </w:instrText>
      </w:r>
      <w:r>
        <w:rPr>
          <w:rFonts w:ascii="Arial" w:eastAsia="MS Mincho" w:hAnsi="Arial" w:cs="Arial"/>
        </w:rPr>
        <w:fldChar w:fldCharType="separate"/>
      </w:r>
      <w:r w:rsidRPr="005C1FDC">
        <w:rPr>
          <w:rFonts w:ascii="Arial" w:hAnsi="Arial" w:cs="Arial"/>
        </w:rPr>
        <w:t>Picelli et al., 2014)</w:t>
      </w:r>
      <w:r>
        <w:rPr>
          <w:rFonts w:ascii="Arial" w:eastAsia="MS Mincho" w:hAnsi="Arial" w:cs="Arial"/>
        </w:rPr>
        <w:fldChar w:fldCharType="end"/>
      </w:r>
      <w:r w:rsidRPr="00E57E10">
        <w:rPr>
          <w:rFonts w:ascii="Arial" w:eastAsia="MS Mincho" w:hAnsi="Arial" w:cs="Arial"/>
        </w:rPr>
        <w:t xml:space="preserve"> for 30 min at 37°C. DNA was purified using the Q</w:t>
      </w:r>
      <w:r w:rsidR="00B6776B">
        <w:rPr>
          <w:rFonts w:ascii="Arial" w:eastAsia="MS Mincho" w:hAnsi="Arial" w:cs="Arial"/>
        </w:rPr>
        <w:t>IA</w:t>
      </w:r>
      <w:r w:rsidRPr="00E57E10">
        <w:rPr>
          <w:rFonts w:ascii="Arial" w:eastAsia="MS Mincho" w:hAnsi="Arial" w:cs="Arial"/>
        </w:rPr>
        <w:t>Quick MinElute columns (</w:t>
      </w:r>
      <w:bookmarkStart w:id="6" w:name="OLE_LINK101"/>
      <w:bookmarkStart w:id="7" w:name="OLE_LINK102"/>
      <w:r w:rsidRPr="00E57E10">
        <w:rPr>
          <w:rFonts w:ascii="Arial" w:eastAsia="MS Mincho" w:hAnsi="Arial" w:cs="Arial"/>
        </w:rPr>
        <w:t>Qiagen</w:t>
      </w:r>
      <w:bookmarkEnd w:id="6"/>
      <w:bookmarkEnd w:id="7"/>
      <w:r w:rsidRPr="00E57E10">
        <w:rPr>
          <w:rFonts w:ascii="Arial" w:eastAsia="MS Mincho" w:hAnsi="Arial" w:cs="Arial"/>
        </w:rPr>
        <w:t xml:space="preserve">) following manufacturer’s instructions. </w:t>
      </w:r>
    </w:p>
    <w:p w14:paraId="0482D1D3" w14:textId="77777777" w:rsidR="00E17029" w:rsidRPr="00E57E10" w:rsidRDefault="00E17029" w:rsidP="00E17029">
      <w:pPr>
        <w:spacing w:after="120" w:line="360" w:lineRule="auto"/>
        <w:jc w:val="both"/>
        <w:rPr>
          <w:rFonts w:ascii="Arial" w:eastAsia="MS Mincho" w:hAnsi="Arial" w:cs="Arial"/>
        </w:rPr>
      </w:pPr>
      <w:r w:rsidRPr="00E57E10">
        <w:rPr>
          <w:rFonts w:ascii="Arial" w:eastAsia="MS Mincho" w:hAnsi="Arial" w:cs="Arial"/>
        </w:rPr>
        <w:lastRenderedPageBreak/>
        <w:t>Input samples were prepared by subjecting genomic DNA</w:t>
      </w:r>
      <w:r>
        <w:rPr>
          <w:rFonts w:ascii="Arial" w:eastAsia="MS Mincho" w:hAnsi="Arial" w:cs="Arial"/>
        </w:rPr>
        <w:t>,</w:t>
      </w:r>
      <w:r w:rsidRPr="00E57E10">
        <w:rPr>
          <w:rFonts w:ascii="Arial" w:eastAsia="MS Mincho" w:hAnsi="Arial" w:cs="Arial"/>
        </w:rPr>
        <w:t xml:space="preserve"> </w:t>
      </w:r>
      <w:r>
        <w:rPr>
          <w:rFonts w:ascii="Arial" w:eastAsia="MS Mincho" w:hAnsi="Arial" w:cs="Arial"/>
        </w:rPr>
        <w:t>which</w:t>
      </w:r>
      <w:r w:rsidRPr="00E57E10">
        <w:rPr>
          <w:rFonts w:ascii="Arial" w:eastAsia="MS Mincho" w:hAnsi="Arial" w:cs="Arial"/>
        </w:rPr>
        <w:t xml:space="preserve"> had been isolated from each sample prior to the ATAC reaction</w:t>
      </w:r>
      <w:r>
        <w:rPr>
          <w:rFonts w:ascii="Arial" w:eastAsia="MS Mincho" w:hAnsi="Arial" w:cs="Arial"/>
        </w:rPr>
        <w:t>,</w:t>
      </w:r>
      <w:r w:rsidRPr="00E57E10">
        <w:rPr>
          <w:rFonts w:ascii="Arial" w:eastAsia="MS Mincho" w:hAnsi="Arial" w:cs="Arial"/>
        </w:rPr>
        <w:t xml:space="preserve"> to Tn5 tagmentation in reactions containing 5 ng genomic DNA, 1 µl </w:t>
      </w:r>
      <w:r>
        <w:rPr>
          <w:rFonts w:ascii="Arial" w:eastAsia="MS Mincho" w:hAnsi="Arial" w:cs="Arial"/>
        </w:rPr>
        <w:t xml:space="preserve">of </w:t>
      </w:r>
      <w:r w:rsidRPr="00E57E10">
        <w:rPr>
          <w:rFonts w:ascii="Arial" w:eastAsia="MS Mincho" w:hAnsi="Arial" w:cs="Arial"/>
        </w:rPr>
        <w:t>Tn5 and incubated at 55 °C for 7 min.</w:t>
      </w:r>
    </w:p>
    <w:p w14:paraId="29B82CB3" w14:textId="2A534E69" w:rsidR="00E17029" w:rsidRPr="00E57E10" w:rsidRDefault="00E17029" w:rsidP="00E17029">
      <w:pPr>
        <w:spacing w:after="120" w:line="360" w:lineRule="auto"/>
        <w:jc w:val="both"/>
        <w:rPr>
          <w:rFonts w:ascii="Arial" w:eastAsia="MS Mincho" w:hAnsi="Arial" w:cs="Arial"/>
        </w:rPr>
      </w:pPr>
      <w:r w:rsidRPr="00E57E10">
        <w:rPr>
          <w:rFonts w:ascii="Arial" w:eastAsia="MS Mincho" w:hAnsi="Arial" w:cs="Arial"/>
        </w:rPr>
        <w:t xml:space="preserve">ATAC-seq libraries were prepared by 6-12 cycles </w:t>
      </w:r>
      <w:r>
        <w:rPr>
          <w:rFonts w:ascii="Arial" w:eastAsia="MS Mincho" w:hAnsi="Arial" w:cs="Arial"/>
        </w:rPr>
        <w:t xml:space="preserve">of </w:t>
      </w:r>
      <w:r w:rsidRPr="00E57E10">
        <w:rPr>
          <w:rFonts w:ascii="Arial" w:eastAsia="MS Mincho" w:hAnsi="Arial" w:cs="Arial"/>
        </w:rPr>
        <w:t>PCR amplification using custom made Illumina barcodes</w:t>
      </w:r>
      <w:r>
        <w:rPr>
          <w:rFonts w:ascii="Arial" w:eastAsia="MS Mincho" w:hAnsi="Arial" w:cs="Arial"/>
        </w:rPr>
        <w:t xml:space="preserve"> in</w:t>
      </w:r>
      <w:r w:rsidRPr="00E57E10">
        <w:rPr>
          <w:rFonts w:ascii="Arial" w:eastAsia="MS Mincho" w:hAnsi="Arial" w:cs="Arial"/>
        </w:rPr>
        <w:t xml:space="preserve"> the NEBNext Ultra II Q5 2x PCR Master Mix. PCR amplicons were purified and size selected using home-made SPRI beads </w:t>
      </w:r>
      <w:r>
        <w:rPr>
          <w:rFonts w:ascii="Arial" w:eastAsia="MS Mincho" w:hAnsi="Arial" w:cs="Arial"/>
        </w:rPr>
        <w:fldChar w:fldCharType="begin"/>
      </w:r>
      <w:r w:rsidR="00FB1ACA">
        <w:rPr>
          <w:rFonts w:ascii="Arial" w:eastAsia="MS Mincho" w:hAnsi="Arial" w:cs="Arial"/>
        </w:rPr>
        <w:instrText xml:space="preserve"> ADDIN ZOTERO_ITEM CSL_CITATION {"citationID":"lpSVM9Iy","properties":{"formattedCitation":"(Rohland and Reich 2012)","plainCitation":"(Rohland and Reich 2012)","noteIndex":0},"citationItems":[{"id":4653,"uris":["http://zotero.org/users/1612991/items/V8SJA7FP"],"uri":["http://zotero.org/users/1612991/items/V8SJA7FP"],"itemData":{"id":4653,"type":"article-journal","abstract":"Improvements in technology have reduced the cost of DNA sequencing to the point that the limiting factor for many experiments is the time and reagent cost of sample preparation. We present an approach in which 192 sequencing libraries can be produced in a single day of technician time at a cost of about $15 per sample. These libraries are effective not only for low-pass whole-genome sequencing, but also for simultaneously enriching them in pools of approximately 100 individually barcoded samples for a subset of the genome without substantial loss in efficiency of target capture. We illustrate the power and effectiveness of this approach on about 2000 samples from a prostate cancer study.","container-title":"Genome Research","DOI":"10.1101/gr.128124.111","ISSN":"1088-9051, 1549-5469","issue":"5","journalAbbreviation":"Genome Res.","language":"en","note":"PMID: 22267522","page":"939-946","source":"genome.cshlp.org","title":"Cost-effective, high-throughput DNA sequencing libraries for multiplexed target capture","volume":"22","author":[{"family":"Rohland","given":"Nadin"},{"family":"Reich","given":"David"}],"issued":{"date-parts":[["2012",1,5]]}}}],"schema":"https://github.com/citation-style-language/schema/raw/master/csl-citation.json"} </w:instrText>
      </w:r>
      <w:r>
        <w:rPr>
          <w:rFonts w:ascii="Arial" w:eastAsia="MS Mincho" w:hAnsi="Arial" w:cs="Arial"/>
        </w:rPr>
        <w:fldChar w:fldCharType="separate"/>
      </w:r>
      <w:r w:rsidR="00FB1ACA">
        <w:rPr>
          <w:rFonts w:ascii="Arial" w:hAnsi="Arial" w:cs="Arial"/>
        </w:rPr>
        <w:t>(Rohland and Reich 2012)</w:t>
      </w:r>
      <w:r>
        <w:rPr>
          <w:rFonts w:ascii="Arial" w:eastAsia="MS Mincho" w:hAnsi="Arial" w:cs="Arial"/>
        </w:rPr>
        <w:fldChar w:fldCharType="end"/>
      </w:r>
      <w:r w:rsidRPr="00E57E10">
        <w:rPr>
          <w:rFonts w:ascii="Arial" w:eastAsia="MS Mincho" w:hAnsi="Arial" w:cs="Arial"/>
        </w:rPr>
        <w:t xml:space="preserve"> in two rounds (1:0.6 then 1:1.4 DNA:beads ratio). ATAC-seq libraries were quantified using the NEBNext Library Quant Kit and pooled prior to the sequencing on an Illumina HiSeq</w:t>
      </w:r>
      <w:r w:rsidR="00C4338E">
        <w:rPr>
          <w:rFonts w:ascii="Arial" w:eastAsia="MS Mincho" w:hAnsi="Arial" w:cs="Arial"/>
        </w:rPr>
        <w:t xml:space="preserve"> </w:t>
      </w:r>
      <w:r w:rsidRPr="00E57E10">
        <w:rPr>
          <w:rFonts w:ascii="Arial" w:eastAsia="MS Mincho" w:hAnsi="Arial" w:cs="Arial"/>
        </w:rPr>
        <w:t>4000 instrument at the Oxford Genomics Centre to generate 75 bp paired-end reads</w:t>
      </w:r>
      <w:r w:rsidR="008D3FA0">
        <w:rPr>
          <w:rFonts w:ascii="Arial" w:eastAsia="MS Mincho" w:hAnsi="Arial" w:cs="Arial"/>
        </w:rPr>
        <w:t xml:space="preserve"> (</w:t>
      </w:r>
      <w:r w:rsidR="008D3FA0" w:rsidRPr="00BA50C7">
        <w:rPr>
          <w:rFonts w:ascii="Arial" w:eastAsia="MS Mincho" w:hAnsi="Arial" w:cs="Arial"/>
          <w:color w:val="4472C4" w:themeColor="accent1"/>
        </w:rPr>
        <w:t>Table S1</w:t>
      </w:r>
      <w:r w:rsidR="008D3FA0">
        <w:rPr>
          <w:rFonts w:ascii="Arial" w:eastAsia="MS Mincho" w:hAnsi="Arial" w:cs="Arial"/>
        </w:rPr>
        <w:t>)</w:t>
      </w:r>
      <w:r w:rsidRPr="00E57E10">
        <w:rPr>
          <w:rFonts w:ascii="Arial" w:eastAsia="MS Mincho" w:hAnsi="Arial" w:cs="Arial"/>
        </w:rPr>
        <w:t>.</w:t>
      </w:r>
      <w:r>
        <w:rPr>
          <w:rFonts w:ascii="Arial" w:eastAsia="MS Mincho" w:hAnsi="Arial" w:cs="Arial"/>
        </w:rPr>
        <w:t xml:space="preserve"> ATAC-seq experiments were performed on four biological replicates.</w:t>
      </w:r>
    </w:p>
    <w:p w14:paraId="34DEBEB5" w14:textId="77777777" w:rsidR="00B8363D" w:rsidRDefault="00B8363D" w:rsidP="00FD7F6C">
      <w:pPr>
        <w:spacing w:after="120" w:line="360" w:lineRule="auto"/>
        <w:jc w:val="both"/>
        <w:rPr>
          <w:rFonts w:ascii="Arial" w:eastAsia="MS Mincho" w:hAnsi="Arial" w:cs="Arial"/>
          <w:b/>
        </w:rPr>
      </w:pPr>
    </w:p>
    <w:p w14:paraId="45DB1CAD" w14:textId="2424DA7D" w:rsidR="00FD7F6C" w:rsidRPr="00E57E10" w:rsidRDefault="00FD7F6C" w:rsidP="00FD7F6C">
      <w:pPr>
        <w:spacing w:after="120" w:line="360" w:lineRule="auto"/>
        <w:jc w:val="both"/>
        <w:rPr>
          <w:rFonts w:ascii="Arial" w:eastAsia="MS Mincho" w:hAnsi="Arial" w:cs="Arial"/>
          <w:b/>
        </w:rPr>
      </w:pPr>
      <w:r w:rsidRPr="00E57E10">
        <w:rPr>
          <w:rFonts w:ascii="Arial" w:eastAsia="MS Mincho" w:hAnsi="Arial" w:cs="Arial"/>
          <w:b/>
        </w:rPr>
        <w:t>ATAC-seq computational analysis</w:t>
      </w:r>
    </w:p>
    <w:p w14:paraId="01E7ECB2" w14:textId="77777777" w:rsidR="00FD7F6C" w:rsidRDefault="00FD7F6C" w:rsidP="00FD7F6C">
      <w:pPr>
        <w:spacing w:after="120" w:line="360" w:lineRule="auto"/>
        <w:jc w:val="both"/>
        <w:rPr>
          <w:rFonts w:ascii="Arial" w:eastAsia="Calibri" w:hAnsi="Arial" w:cs="Arial"/>
        </w:rPr>
      </w:pPr>
      <w:r w:rsidRPr="00E57E10">
        <w:rPr>
          <w:rFonts w:ascii="Arial" w:eastAsia="Calibri" w:hAnsi="Arial" w:cs="Arial"/>
        </w:rPr>
        <w:t xml:space="preserve">Whilst we incorporated spike-ins into our ATAC-seq experiments to facilitate calibration, the number of reads mapping to the exogenous galGal4 genome varied widely between the four biological replicates of a same experimental condition </w:t>
      </w:r>
      <w:r w:rsidRPr="00BC69DE">
        <w:rPr>
          <w:rFonts w:ascii="Arial" w:eastAsia="Calibri" w:hAnsi="Arial" w:cs="Arial"/>
        </w:rPr>
        <w:t>(</w:t>
      </w:r>
      <w:r w:rsidRPr="00B4249A">
        <w:rPr>
          <w:rFonts w:ascii="Arial" w:eastAsia="Calibri" w:hAnsi="Arial" w:cs="Arial"/>
          <w:color w:val="44546A" w:themeColor="text2"/>
        </w:rPr>
        <w:t xml:space="preserve">Figure </w:t>
      </w:r>
      <w:r>
        <w:rPr>
          <w:rFonts w:ascii="Arial" w:eastAsia="Calibri" w:hAnsi="Arial" w:cs="Arial"/>
          <w:color w:val="44546A" w:themeColor="text2"/>
        </w:rPr>
        <w:t>M</w:t>
      </w:r>
      <w:r w:rsidRPr="00B4249A">
        <w:rPr>
          <w:rFonts w:ascii="Arial" w:eastAsia="Calibri" w:hAnsi="Arial" w:cs="Arial"/>
          <w:color w:val="44546A" w:themeColor="text2"/>
        </w:rPr>
        <w:t>1 below</w:t>
      </w:r>
      <w:r w:rsidRPr="00BC69DE">
        <w:rPr>
          <w:rFonts w:ascii="Arial" w:eastAsia="Calibri" w:hAnsi="Arial" w:cs="Arial"/>
        </w:rPr>
        <w:t>).</w:t>
      </w:r>
      <w:r w:rsidRPr="00E57E10">
        <w:rPr>
          <w:rFonts w:ascii="Arial" w:eastAsia="Calibri" w:hAnsi="Arial" w:cs="Arial"/>
        </w:rPr>
        <w:t xml:space="preserve"> Due to this variation and the lack of a consistent trend when comparing samples from different experimental conditions, we omitted the spike-in data from our analyses.  </w:t>
      </w:r>
    </w:p>
    <w:p w14:paraId="397025F5" w14:textId="77777777" w:rsidR="00FD7F6C" w:rsidRDefault="00FD7F6C" w:rsidP="00FD7F6C">
      <w:pPr>
        <w:spacing w:after="120" w:line="360" w:lineRule="auto"/>
        <w:jc w:val="both"/>
        <w:rPr>
          <w:rFonts w:ascii="Arial" w:eastAsia="Calibri" w:hAnsi="Arial" w:cs="Arial"/>
        </w:rPr>
      </w:pPr>
    </w:p>
    <w:p w14:paraId="1E6CF1D0" w14:textId="77777777" w:rsidR="00FD7F6C" w:rsidRPr="00B4249A" w:rsidRDefault="00FD7F6C" w:rsidP="00FD7F6C">
      <w:pPr>
        <w:spacing w:after="120" w:line="360" w:lineRule="auto"/>
        <w:jc w:val="both"/>
        <w:rPr>
          <w:rFonts w:ascii="Arial" w:eastAsia="Calibri" w:hAnsi="Arial" w:cs="Arial"/>
        </w:rPr>
      </w:pPr>
      <w:r w:rsidRPr="003E1C67">
        <w:rPr>
          <w:rFonts w:ascii="Arial" w:hAnsi="Arial" w:cs="Arial"/>
          <w:b/>
          <w:noProof/>
          <w:lang w:val="en-US"/>
        </w:rPr>
        <w:drawing>
          <wp:inline distT="0" distB="0" distL="0" distR="0" wp14:anchorId="6E6ACE0C" wp14:editId="126F81F9">
            <wp:extent cx="5941060" cy="2233295"/>
            <wp:effectExtent l="0" t="0" r="2540" b="0"/>
            <wp:docPr id="1" name="Picture 1" descr="C:\Users\mcusack\Nexus365\Skirmantas Kriaucionis - Martins paper\Latest version 02052018\Figures JPEGs\Figure in Materials 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usack\Nexus365\Skirmantas Kriaucionis - Martins paper\Latest version 02052018\Figures JPEGs\Figure in Materials Method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2233295"/>
                    </a:xfrm>
                    <a:prstGeom prst="rect">
                      <a:avLst/>
                    </a:prstGeom>
                    <a:noFill/>
                    <a:ln>
                      <a:noFill/>
                    </a:ln>
                  </pic:spPr>
                </pic:pic>
              </a:graphicData>
            </a:graphic>
          </wp:inline>
        </w:drawing>
      </w:r>
    </w:p>
    <w:p w14:paraId="54857FD2" w14:textId="4DE56F07" w:rsidR="00FD7F6C" w:rsidRPr="00B4249A" w:rsidRDefault="00FD7F6C" w:rsidP="00FD7F6C">
      <w:pPr>
        <w:spacing w:after="120" w:line="360" w:lineRule="auto"/>
        <w:jc w:val="both"/>
        <w:rPr>
          <w:rFonts w:ascii="Arial" w:hAnsi="Arial" w:cs="Arial"/>
          <w:i/>
        </w:rPr>
      </w:pPr>
      <w:r w:rsidRPr="00B4249A">
        <w:rPr>
          <w:rFonts w:ascii="Arial" w:hAnsi="Arial" w:cs="Arial"/>
          <w:b/>
          <w:i/>
        </w:rPr>
        <w:t xml:space="preserve">Figure </w:t>
      </w:r>
      <w:r>
        <w:rPr>
          <w:rFonts w:ascii="Arial" w:hAnsi="Arial" w:cs="Arial"/>
          <w:b/>
          <w:i/>
        </w:rPr>
        <w:t>M</w:t>
      </w:r>
      <w:r w:rsidRPr="00B4249A">
        <w:rPr>
          <w:rFonts w:ascii="Arial" w:hAnsi="Arial" w:cs="Arial"/>
          <w:b/>
          <w:i/>
        </w:rPr>
        <w:t>1</w:t>
      </w:r>
      <w:r w:rsidR="000A5168">
        <w:rPr>
          <w:rFonts w:ascii="Arial" w:hAnsi="Arial" w:cs="Arial"/>
          <w:b/>
          <w:i/>
        </w:rPr>
        <w:t>.</w:t>
      </w:r>
      <w:r w:rsidRPr="00B4249A">
        <w:rPr>
          <w:rFonts w:ascii="Arial" w:hAnsi="Arial" w:cs="Arial"/>
          <w:b/>
          <w:i/>
        </w:rPr>
        <w:t xml:space="preserve"> A.</w:t>
      </w:r>
      <w:r w:rsidRPr="00B4249A">
        <w:rPr>
          <w:rFonts w:ascii="Arial" w:hAnsi="Arial" w:cs="Arial"/>
          <w:i/>
        </w:rPr>
        <w:t xml:space="preserve"> Number of uniquely mapped reads from each ATAC-seq library that align to the mm10 genome. </w:t>
      </w:r>
      <w:r w:rsidRPr="00B4249A">
        <w:rPr>
          <w:rFonts w:ascii="Arial" w:hAnsi="Arial" w:cs="Arial"/>
          <w:b/>
          <w:i/>
        </w:rPr>
        <w:t>B.</w:t>
      </w:r>
      <w:r w:rsidRPr="00B4249A">
        <w:rPr>
          <w:rFonts w:ascii="Arial" w:hAnsi="Arial" w:cs="Arial"/>
          <w:i/>
        </w:rPr>
        <w:t xml:space="preserve"> Number of uniquely mapped reads from each ATAC-seq library that align to the galGal4 genome. </w:t>
      </w:r>
      <w:r w:rsidRPr="00B4249A">
        <w:rPr>
          <w:rFonts w:ascii="Arial" w:hAnsi="Arial" w:cs="Arial"/>
          <w:b/>
          <w:i/>
        </w:rPr>
        <w:t>C.</w:t>
      </w:r>
      <w:r w:rsidRPr="00B4249A">
        <w:rPr>
          <w:rFonts w:ascii="Arial" w:hAnsi="Arial" w:cs="Arial"/>
          <w:i/>
        </w:rPr>
        <w:t xml:space="preserve"> Number of uniquely mapped reads from each ATAC-seq library that align to the galGal4 genome per 100 reads that align to the mm10 genome.</w:t>
      </w:r>
    </w:p>
    <w:p w14:paraId="20856B2A" w14:textId="77777777" w:rsidR="00FD7F6C" w:rsidRDefault="00FD7F6C" w:rsidP="00FD7F6C">
      <w:pPr>
        <w:spacing w:after="120" w:line="360" w:lineRule="auto"/>
        <w:jc w:val="both"/>
        <w:rPr>
          <w:rFonts w:ascii="Arial" w:eastAsia="Calibri" w:hAnsi="Arial" w:cs="Arial"/>
        </w:rPr>
      </w:pPr>
    </w:p>
    <w:p w14:paraId="396CF5DC" w14:textId="0EA82562" w:rsidR="00FD7F6C" w:rsidRPr="00FB1ACA" w:rsidRDefault="00FD7F6C" w:rsidP="00FD7F6C">
      <w:pPr>
        <w:spacing w:after="120" w:line="360" w:lineRule="auto"/>
        <w:jc w:val="both"/>
        <w:rPr>
          <w:rFonts w:ascii="Arial" w:eastAsia="MS Mincho" w:hAnsi="Arial" w:cs="Arial"/>
        </w:rPr>
      </w:pPr>
      <w:r w:rsidRPr="00FB1ACA">
        <w:rPr>
          <w:rFonts w:ascii="Arial" w:eastAsia="Calibri" w:hAnsi="Arial" w:cs="Arial"/>
        </w:rPr>
        <w:lastRenderedPageBreak/>
        <w:t xml:space="preserve">ATAC-seq 75 bp paired-end reads were trimmed using cutadapt (v1.16) to remove 3’ adapter sequences then aligned to a concatenated mm10+galGal4 genome using bowtie2 (v2.2.5.0) with the options </w:t>
      </w:r>
      <w:r w:rsidRPr="00FB1ACA">
        <w:rPr>
          <w:rFonts w:ascii="Arial" w:eastAsia="Calibri" w:hAnsi="Arial" w:cs="Arial"/>
          <w:i/>
        </w:rPr>
        <w:t>--no-mixed</w:t>
      </w:r>
      <w:r w:rsidRPr="00FB1ACA">
        <w:rPr>
          <w:rFonts w:ascii="Arial" w:eastAsia="Calibri" w:hAnsi="Arial" w:cs="Arial"/>
        </w:rPr>
        <w:t xml:space="preserve"> and </w:t>
      </w:r>
      <w:r w:rsidRPr="00FB1ACA">
        <w:rPr>
          <w:rFonts w:ascii="Arial" w:eastAsia="Calibri" w:hAnsi="Arial" w:cs="Arial"/>
          <w:i/>
        </w:rPr>
        <w:t>--no-discordant</w:t>
      </w:r>
      <w:r w:rsidR="008D3FA0" w:rsidRPr="00FB1ACA">
        <w:rPr>
          <w:rFonts w:ascii="Arial" w:eastAsia="MS Mincho" w:hAnsi="Arial" w:cs="Arial"/>
        </w:rPr>
        <w:t xml:space="preserve"> (</w:t>
      </w:r>
      <w:r w:rsidR="008D3FA0" w:rsidRPr="00FB1ACA">
        <w:rPr>
          <w:rFonts w:ascii="Arial" w:eastAsia="MS Mincho" w:hAnsi="Arial" w:cs="Arial"/>
          <w:color w:val="4472C4" w:themeColor="accent1"/>
        </w:rPr>
        <w:t>Table S1</w:t>
      </w:r>
      <w:r w:rsidR="008D3FA0" w:rsidRPr="00FB1ACA">
        <w:rPr>
          <w:rFonts w:ascii="Arial" w:eastAsia="MS Mincho" w:hAnsi="Arial" w:cs="Arial"/>
        </w:rPr>
        <w:t>)</w:t>
      </w:r>
      <w:r w:rsidRPr="00FB1ACA">
        <w:rPr>
          <w:rFonts w:ascii="Arial" w:eastAsia="Calibri" w:hAnsi="Arial" w:cs="Arial"/>
        </w:rPr>
        <w:t xml:space="preserve">. Reads that aligned to the exogenous galGal4 genome, reads with multiple alignments and fragments mapping to a custom “blacklist” of artificially high regions of the genome were discarded. Duplicate reads were removed. Alignment files were randomly down-sampled to retain an equivalent number of alignments in all samples. BigWig coverage files were generated </w:t>
      </w:r>
      <w:r w:rsidRPr="00FB1ACA">
        <w:rPr>
          <w:rFonts w:ascii="Arial" w:eastAsia="MS Mincho" w:hAnsi="Arial" w:cs="Arial"/>
        </w:rPr>
        <w:t xml:space="preserve">using the Deeptools </w:t>
      </w:r>
      <w:bookmarkStart w:id="8" w:name="ZOTERO_TEMP_BOOKMARK"/>
      <w:r w:rsidR="00FB1ACA" w:rsidRPr="00FB1ACA">
        <w:rPr>
          <w:rFonts w:ascii="Arial" w:hAnsi="Arial" w:cs="Arial"/>
        </w:rPr>
        <w:t>(Ramírez et al. 2016)</w:t>
      </w:r>
      <w:bookmarkEnd w:id="8"/>
      <w:r w:rsidRPr="00FB1ACA">
        <w:rPr>
          <w:rFonts w:ascii="Arial" w:eastAsia="MS Mincho" w:hAnsi="Arial" w:cs="Arial"/>
        </w:rPr>
        <w:fldChar w:fldCharType="begin"/>
      </w:r>
      <w:r w:rsidR="00FB1ACA" w:rsidRPr="00FB1ACA">
        <w:rPr>
          <w:rFonts w:ascii="Arial" w:eastAsia="MS Mincho" w:hAnsi="Arial" w:cs="Arial"/>
        </w:rPr>
        <w:instrText xml:space="preserve"> ADDIN ZOTERO_ITEM CSL_CITATION {"citationID":"zaOqMvgd","properties":{"formattedCitation":"(Ram\\uc0\\u237{}rez et al. 2016)","plainCitation":"","noteIndex":0},"citationItems":[{"id":3499,"uris":["http://zotero.org/users/1612991/items/RA4UH39T"],"uri":["http://zotero.org/users/1612991/items/RA4UH39T"],"itemData":{"id":3499,"type":"article-journal","abstract":"We present an update to our Galaxy-based web server for processing and visualizing deeply sequenced data. Its core tool set, deepTools, allows users to perform complete bioinformatic workflows ranging from quality controls and normalizations of aligned reads to integrative analyses, including clustering and visualization approaches. Since we first described our deepTools Galaxy server in 2014, we have implemented new solutions for many requests from the community and our users. Here, we introduce significant enhancements and new tools to further improve data visualization and interpretation. deepTools continue to be open to all users and freely available as a web service at deeptools.ie-freiburg.mpg.de. The new deepTools2 suite can be easily deployed within any Galaxy framework via the toolshed repository, and we also provide source code for command line usage under Linux and Mac OS X. A public and documented API for access to deepTools functionality is also available.","container-title":"Nucleic Acids Research","DOI":"10.1093/nar/gkw257","ISSN":"0305-1048","issue":"Web Server issue","journalAbbreviation":"Nucleic Acids Res","note":"PMID: 27079975\nPMCID: PMC4987876","page":"W160-W165","source":"PubMed Central","title":"deepTools2: a next generation web server for deep-sequencing data analysis","title-short":"deepTools2","volume":"44","author":[{"family":"Ramírez","given":"Fidel"},{"family":"Ryan","given":"Devon P"},{"family":"Grüning","given":"Björn"},{"family":"Bhardwaj","given":"Vivek"},{"family":"Kilpert","given":"Fabian"},{"family":"Richter","given":"Andreas S"},{"family":"Heyne","given":"Steffen"},{"family":"Dündar","given":"Friederike"},{"family":"Manke","given":"Thomas"}],"issued":{"date-parts":[["2016",7,8]]}}}],"schema":"https://github.com/citation-style-language/schema/raw/master/csl-citation.json"} </w:instrText>
      </w:r>
      <w:r w:rsidRPr="00FB1ACA">
        <w:rPr>
          <w:rFonts w:ascii="Arial" w:eastAsia="MS Mincho" w:hAnsi="Arial" w:cs="Arial"/>
        </w:rPr>
        <w:fldChar w:fldCharType="end"/>
      </w:r>
      <w:r w:rsidRPr="00FB1ACA">
        <w:rPr>
          <w:rFonts w:ascii="Arial" w:eastAsia="MS Mincho" w:hAnsi="Arial" w:cs="Arial"/>
        </w:rPr>
        <w:t xml:space="preserve"> function ‘bamCoverage’ (v2.4.2) with the option </w:t>
      </w:r>
      <w:r w:rsidRPr="00FB1ACA">
        <w:rPr>
          <w:rFonts w:ascii="Arial" w:eastAsia="MS Mincho" w:hAnsi="Arial" w:cs="Arial"/>
          <w:i/>
        </w:rPr>
        <w:t xml:space="preserve">–bs </w:t>
      </w:r>
      <w:r w:rsidRPr="00FB1ACA">
        <w:rPr>
          <w:rFonts w:ascii="Arial" w:eastAsia="MS Mincho" w:hAnsi="Arial" w:cs="Arial"/>
        </w:rPr>
        <w:t>set to 2.</w:t>
      </w:r>
      <w:r w:rsidR="004B2298" w:rsidRPr="00FB1ACA">
        <w:rPr>
          <w:rFonts w:ascii="Arial" w:eastAsia="MS Mincho" w:hAnsi="Arial" w:cs="Arial"/>
        </w:rPr>
        <w:t xml:space="preserve"> The coverage graphs </w:t>
      </w:r>
      <w:r w:rsidR="0015252D" w:rsidRPr="00FB1ACA">
        <w:rPr>
          <w:rFonts w:ascii="Arial" w:eastAsia="MS Mincho" w:hAnsi="Arial" w:cs="Arial"/>
        </w:rPr>
        <w:t xml:space="preserve">that we </w:t>
      </w:r>
      <w:r w:rsidR="008825A6" w:rsidRPr="00FB1ACA">
        <w:rPr>
          <w:rFonts w:ascii="Arial" w:eastAsia="MS Mincho" w:hAnsi="Arial" w:cs="Arial"/>
        </w:rPr>
        <w:t xml:space="preserve">displayed </w:t>
      </w:r>
      <w:r w:rsidR="00926273" w:rsidRPr="00FB1ACA">
        <w:rPr>
          <w:rFonts w:ascii="Arial" w:eastAsia="MS Mincho" w:hAnsi="Arial" w:cs="Arial"/>
        </w:rPr>
        <w:t>were generated</w:t>
      </w:r>
      <w:r w:rsidR="0015252D" w:rsidRPr="00FB1ACA">
        <w:rPr>
          <w:rFonts w:ascii="Arial" w:eastAsia="MS Mincho" w:hAnsi="Arial" w:cs="Arial"/>
        </w:rPr>
        <w:t xml:space="preserve"> after merging alignments from replicate</w:t>
      </w:r>
      <w:r w:rsidR="00730C62" w:rsidRPr="00FB1ACA">
        <w:rPr>
          <w:rFonts w:ascii="Arial" w:eastAsia="MS Mincho" w:hAnsi="Arial" w:cs="Arial"/>
        </w:rPr>
        <w:t xml:space="preserve"> samples.</w:t>
      </w:r>
      <w:r w:rsidR="004B2298" w:rsidRPr="00FB1ACA">
        <w:rPr>
          <w:rFonts w:ascii="Arial" w:eastAsia="MS Mincho" w:hAnsi="Arial" w:cs="Arial"/>
        </w:rPr>
        <w:t xml:space="preserve"> </w:t>
      </w:r>
      <w:r w:rsidRPr="00FB1ACA">
        <w:rPr>
          <w:rFonts w:ascii="Arial" w:eastAsia="MS Mincho" w:hAnsi="Arial" w:cs="Arial"/>
        </w:rPr>
        <w:t xml:space="preserve"> Enriched regions were identified using the ‘dpeak’ peak-calling algorithm of DANPOS v2.2.2 </w:t>
      </w:r>
      <w:r w:rsidRPr="00FB1ACA">
        <w:rPr>
          <w:rFonts w:ascii="Arial" w:eastAsia="MS Mincho" w:hAnsi="Arial" w:cs="Arial"/>
        </w:rPr>
        <w:fldChar w:fldCharType="begin"/>
      </w:r>
      <w:r w:rsidR="00FB1ACA" w:rsidRPr="00FB1ACA">
        <w:rPr>
          <w:rFonts w:ascii="Arial" w:eastAsia="MS Mincho" w:hAnsi="Arial" w:cs="Arial"/>
        </w:rPr>
        <w:instrText xml:space="preserve"> ADDIN ZOTERO_ITEM CSL_CITATION {"citationID":"1p3boZ4c","properties":{"formattedCitation":"(Chen et al. 2013)","plainCitation":"(Chen et al. 2013)","noteIndex":0},"citationItems":[{"id":3487,"uris":["http://zotero.org/users/1612991/items/P94MQBB3"],"uri":["http://zotero.org/users/1612991/items/P94MQBB3"],"itemData":{"id":3487,"type":"article-journal","abstract":"Recent developments in next-generation sequencing have enabled whole-genome profiling of nucleosome organizations. Although several algorithms for inferring nucleosome position from a single experimental condition have been available, it remains a challenge to accurately define dynamic nucleosomes associated with environmental changes. Here, we report a comprehensive bioinformatics pipeline, DANPOS, explicitly designed for dynamic nucleosome analysis at single-nucleotide resolution. Using both simulated and real nucleosome data, we demonstrated that bias correction in preliminary data processing and optimal statistical testing significantly enhances the functional interpretation of dynamic nucleosomes. The single-nucleotide resolution analysis of DANPOS allows us to detect all three categories of nucleosome dynamics, such as position shift, fuzziness change, and occupancy change, using a uniform statistical framework. Pathway analysis indicates that each category is involved in distinct biological functions. We also analyzed the influence of sequencing depth and suggest that even 200-fold coverage is probably not enough to identify all the dynamic nucleosomes. Finally, based on nucleosome data from the human hematopoietic stem cells (HSCs) and mouse embryonic stem cells (ESCs), we demonstrated that DANPOS is also robust in defining functional dynamic nucleosomes, not only in promoters, but also in distal regulatory regions in the mammalian genome.","container-title":"Genome Research","DOI":"10.1101/gr.142067.112","ISSN":"1549-5469","issue":"2","journalAbbreviation":"Genome Res.","language":"eng","note":"PMID: 23193179\nPMCID: PMC3561875","page":"341-351","source":"PubMed","title":"DANPOS: dynamic analysis of nucleosome position and occupancy by sequencing","title-short":"DANPOS","volume":"23","author":[{"family":"Chen","given":"Kaifu"},{"family":"Xi","given":"Yuanxin"},{"family":"Pan","given":"Xuewen"},{"family":"Li","given":"Zhaoyu"},{"family":"Kaestner","given":"Klaus"},{"family":"Tyler","given":"Jessica"},{"family":"Dent","given":"Sharon"},{"family":"He","given":"Xiangwei"},{"family":"Li","given":"Wei"}],"issued":{"date-parts":[["2013",2]]}}}],"schema":"https://github.com/citation-style-language/schema/raw/master/csl-citation.json"} </w:instrText>
      </w:r>
      <w:r w:rsidRPr="00FB1ACA">
        <w:rPr>
          <w:rFonts w:ascii="Arial" w:eastAsia="MS Mincho" w:hAnsi="Arial" w:cs="Arial"/>
        </w:rPr>
        <w:fldChar w:fldCharType="separate"/>
      </w:r>
      <w:r w:rsidR="00FB1ACA" w:rsidRPr="00FB1ACA">
        <w:rPr>
          <w:rFonts w:ascii="Arial" w:hAnsi="Arial" w:cs="Arial"/>
        </w:rPr>
        <w:t>(Chen et al. 2013)</w:t>
      </w:r>
      <w:r w:rsidRPr="00FB1ACA">
        <w:rPr>
          <w:rFonts w:ascii="Arial" w:eastAsia="MS Mincho" w:hAnsi="Arial" w:cs="Arial"/>
        </w:rPr>
        <w:fldChar w:fldCharType="end"/>
      </w:r>
      <w:r w:rsidRPr="00FB1ACA">
        <w:rPr>
          <w:rFonts w:ascii="Arial" w:eastAsia="MS Mincho" w:hAnsi="Arial" w:cs="Arial"/>
        </w:rPr>
        <w:t xml:space="preserve"> with the options </w:t>
      </w:r>
      <w:r w:rsidRPr="00FB1ACA">
        <w:rPr>
          <w:rFonts w:ascii="Arial" w:eastAsia="MS Mincho" w:hAnsi="Arial" w:cs="Arial"/>
          <w:i/>
        </w:rPr>
        <w:t xml:space="preserve">–m, –kd 250, -kw 150 </w:t>
      </w:r>
      <w:r w:rsidRPr="00FB1ACA">
        <w:rPr>
          <w:rFonts w:ascii="Arial" w:eastAsia="MS Mincho" w:hAnsi="Arial" w:cs="Arial"/>
        </w:rPr>
        <w:t>and</w:t>
      </w:r>
      <w:r w:rsidRPr="00FB1ACA">
        <w:rPr>
          <w:rFonts w:ascii="Arial" w:eastAsia="MS Mincho" w:hAnsi="Arial" w:cs="Arial"/>
          <w:i/>
        </w:rPr>
        <w:t xml:space="preserve"> –p 1e-60</w:t>
      </w:r>
      <w:r w:rsidRPr="00FB1ACA">
        <w:rPr>
          <w:rFonts w:ascii="Arial" w:eastAsia="MS Mincho" w:hAnsi="Arial" w:cs="Arial"/>
        </w:rPr>
        <w:t>. The R package DiffBind (Stark and Brown, 2011) was used to identify ATAC-seq peak regions with significant changes in enrichment between experimental conditions. Significant changes were determined using the DBA_DESEQ2 method applying a fold change cut-off of 1.5 and a p-value threshold of 0.01</w:t>
      </w:r>
      <w:r w:rsidRPr="00FB1ACA">
        <w:rPr>
          <w:rFonts w:ascii="Arial" w:eastAsia="MS Mincho" w:hAnsi="Arial" w:cs="Arial"/>
          <w:vertAlign w:val="superscript"/>
        </w:rPr>
        <w:t xml:space="preserve"> </w:t>
      </w:r>
      <w:r w:rsidRPr="00FB1ACA">
        <w:rPr>
          <w:rFonts w:ascii="Arial" w:eastAsia="MS Mincho" w:hAnsi="Arial" w:cs="Arial"/>
        </w:rPr>
        <w:t>after multiple-testing correction.</w:t>
      </w:r>
    </w:p>
    <w:p w14:paraId="2420DD54" w14:textId="77777777" w:rsidR="00FD7F6C" w:rsidRPr="00FB1ACA" w:rsidRDefault="00FD7F6C" w:rsidP="00FD7F6C">
      <w:pPr>
        <w:spacing w:after="120" w:line="360" w:lineRule="auto"/>
        <w:jc w:val="both"/>
        <w:rPr>
          <w:rFonts w:ascii="Arial" w:eastAsia="MS Mincho" w:hAnsi="Arial" w:cs="Arial"/>
        </w:rPr>
      </w:pPr>
    </w:p>
    <w:p w14:paraId="1BD7A247" w14:textId="77777777" w:rsidR="00FD7F6C" w:rsidRPr="00FB1ACA" w:rsidRDefault="00FD7F6C" w:rsidP="00FD7F6C">
      <w:pPr>
        <w:spacing w:after="120" w:line="360" w:lineRule="auto"/>
        <w:jc w:val="both"/>
        <w:rPr>
          <w:rFonts w:ascii="Arial" w:eastAsia="Calibri" w:hAnsi="Arial" w:cs="Arial"/>
          <w:b/>
        </w:rPr>
      </w:pPr>
      <w:r w:rsidRPr="00FB1ACA">
        <w:rPr>
          <w:rFonts w:ascii="Arial" w:eastAsia="Calibri" w:hAnsi="Arial" w:cs="Arial"/>
          <w:b/>
        </w:rPr>
        <w:t>Quantification of ATAC-seq reads within different categories of genomic regions</w:t>
      </w:r>
    </w:p>
    <w:p w14:paraId="3A795190" w14:textId="77777777" w:rsidR="00FD7F6C" w:rsidRPr="00FB1ACA" w:rsidRDefault="00FD7F6C" w:rsidP="00FD7F6C">
      <w:pPr>
        <w:spacing w:after="120" w:line="360" w:lineRule="auto"/>
        <w:jc w:val="both"/>
        <w:rPr>
          <w:rFonts w:ascii="Arial" w:eastAsia="Calibri" w:hAnsi="Arial" w:cs="Arial"/>
        </w:rPr>
      </w:pPr>
      <w:r w:rsidRPr="00FB1ACA">
        <w:rPr>
          <w:rFonts w:ascii="Arial" w:eastAsia="Calibri" w:hAnsi="Arial" w:cs="Arial"/>
        </w:rPr>
        <w:t>The genomic space was segmented into three categories of regions: “ATAC-seq peaks” that were called using DANPOS ‘dpeak’ as described above; “Repmask regions” which included all genomic intervals that were annotated as repetitive based on the UCSC RepeatMasker annotation but excluded sequences that overlap with ATAC-seq peaks; and a “Unannotated” category which grouped together all remaining genomic intervals. The bedtools “intersect” command was used to count the number of alignments from each sequencing dataset that overlapped regions within each category. All alignments to the mm10 genome were counted, including those marked as having multiple alignments. Reads that overlapped two regions were counted only once: reads that only partially overlapped with an “ATAC peaks” region were included in this category while reads that overlapped a “Repmask” region and an “Unannotated” region were counted for the “Repmask” region only. We then calculated the percentage of total reads in the dataset that mapped to each category (</w:t>
      </w:r>
      <w:r w:rsidRPr="00FB1ACA">
        <w:rPr>
          <w:rFonts w:ascii="Arial" w:eastAsia="Calibri" w:hAnsi="Arial" w:cs="Arial"/>
          <w:color w:val="44546A" w:themeColor="text2"/>
        </w:rPr>
        <w:t>Figure 2E</w:t>
      </w:r>
      <w:r w:rsidRPr="00FB1ACA">
        <w:rPr>
          <w:rFonts w:ascii="Arial" w:eastAsia="Calibri" w:hAnsi="Arial" w:cs="Arial"/>
        </w:rPr>
        <w:t>).</w:t>
      </w:r>
    </w:p>
    <w:p w14:paraId="5B3ADDFF" w14:textId="77777777" w:rsidR="00FD7F6C" w:rsidRPr="00FB1ACA" w:rsidRDefault="00FD7F6C" w:rsidP="00FD7F6C">
      <w:pPr>
        <w:spacing w:after="120" w:line="360" w:lineRule="auto"/>
        <w:jc w:val="both"/>
        <w:rPr>
          <w:rFonts w:ascii="Arial" w:eastAsia="Calibri" w:hAnsi="Arial" w:cs="Arial"/>
        </w:rPr>
      </w:pPr>
      <w:r w:rsidRPr="00FB1ACA">
        <w:rPr>
          <w:rFonts w:ascii="Arial" w:eastAsia="Calibri" w:hAnsi="Arial" w:cs="Arial"/>
        </w:rPr>
        <w:t>To estimate the percentage of reads mapping outside of “ATAC peak” regions that would align to the “Repmask” and “Unnanotated“ regions by chance (random or expected distribution), we shuffled the reads with no alignment to ATAC peaks within the combined “Repmask” and “Unnanotated“ genomic space (using the bedtools “shuffle” command) and repeated the counting procedure (</w:t>
      </w:r>
      <w:r w:rsidRPr="00FB1ACA">
        <w:rPr>
          <w:rFonts w:ascii="Arial" w:eastAsia="Calibri" w:hAnsi="Arial" w:cs="Arial"/>
          <w:color w:val="44546A" w:themeColor="text2"/>
        </w:rPr>
        <w:t>Figure S3B</w:t>
      </w:r>
      <w:r w:rsidRPr="00FB1ACA">
        <w:rPr>
          <w:rFonts w:ascii="Arial" w:eastAsia="Calibri" w:hAnsi="Arial" w:cs="Arial"/>
        </w:rPr>
        <w:t>). We calculated “observed/expected” values based on the number of reads mapping to these two categories before and after shuffling (</w:t>
      </w:r>
      <w:r w:rsidRPr="00FB1ACA">
        <w:rPr>
          <w:rFonts w:ascii="Arial" w:eastAsia="Calibri" w:hAnsi="Arial" w:cs="Arial"/>
          <w:color w:val="44546A" w:themeColor="text2"/>
        </w:rPr>
        <w:t>Figure 2F</w:t>
      </w:r>
      <w:r w:rsidRPr="00FB1ACA">
        <w:rPr>
          <w:rFonts w:ascii="Arial" w:eastAsia="Calibri" w:hAnsi="Arial" w:cs="Arial"/>
        </w:rPr>
        <w:t>).</w:t>
      </w:r>
    </w:p>
    <w:p w14:paraId="1912E2A3" w14:textId="77777777" w:rsidR="00FD7F6C" w:rsidRPr="00FB1ACA" w:rsidRDefault="00FD7F6C" w:rsidP="00FD7F6C">
      <w:pPr>
        <w:spacing w:after="120" w:line="360" w:lineRule="auto"/>
        <w:jc w:val="both"/>
        <w:rPr>
          <w:rFonts w:ascii="Arial" w:eastAsia="MS Mincho" w:hAnsi="Arial" w:cs="Arial"/>
          <w:b/>
        </w:rPr>
      </w:pPr>
    </w:p>
    <w:p w14:paraId="316E3DE4" w14:textId="327A4E19" w:rsidR="00FD7F6C" w:rsidRPr="00FB1ACA" w:rsidRDefault="00FD7F6C" w:rsidP="00FD7F6C">
      <w:pPr>
        <w:spacing w:after="120" w:line="360" w:lineRule="auto"/>
        <w:jc w:val="both"/>
        <w:rPr>
          <w:rFonts w:ascii="Arial" w:eastAsia="MS Mincho" w:hAnsi="Arial" w:cs="Arial"/>
          <w:b/>
        </w:rPr>
      </w:pPr>
      <w:r w:rsidRPr="00FB1ACA">
        <w:rPr>
          <w:rFonts w:ascii="Arial" w:eastAsia="MS Mincho" w:hAnsi="Arial" w:cs="Arial"/>
          <w:b/>
        </w:rPr>
        <w:t>Calibrated ChIP-seq computational analysis</w:t>
      </w:r>
    </w:p>
    <w:p w14:paraId="6D492FFD" w14:textId="0AA02DF3" w:rsidR="00FD7F6C" w:rsidRPr="00FB1ACA" w:rsidRDefault="00FD7F6C" w:rsidP="00FD7F6C">
      <w:pPr>
        <w:spacing w:after="120" w:line="360" w:lineRule="auto"/>
        <w:jc w:val="both"/>
        <w:rPr>
          <w:rFonts w:ascii="Arial" w:eastAsia="MS Mincho" w:hAnsi="Arial" w:cs="Arial"/>
          <w:b/>
        </w:rPr>
      </w:pPr>
      <w:r w:rsidRPr="00FB1ACA">
        <w:rPr>
          <w:rFonts w:ascii="Arial" w:eastAsia="MS Mincho" w:hAnsi="Arial" w:cs="Arial"/>
        </w:rPr>
        <w:t xml:space="preserve">ChIP-seq 75-bp paired-end reads were </w:t>
      </w:r>
      <w:r w:rsidRPr="00FB1ACA">
        <w:rPr>
          <w:rFonts w:ascii="Arial" w:eastAsia="Calibri" w:hAnsi="Arial" w:cs="Arial"/>
        </w:rPr>
        <w:t xml:space="preserve">aligned to a concatenated mm10+galGal4 genome using bowtie2 (v2.2.5.0) with the options </w:t>
      </w:r>
      <w:r w:rsidRPr="00FB1ACA">
        <w:rPr>
          <w:rFonts w:ascii="Arial" w:eastAsia="Calibri" w:hAnsi="Arial" w:cs="Arial"/>
          <w:i/>
        </w:rPr>
        <w:t>--no-mixed</w:t>
      </w:r>
      <w:r w:rsidRPr="00FB1ACA">
        <w:rPr>
          <w:rFonts w:ascii="Arial" w:eastAsia="Calibri" w:hAnsi="Arial" w:cs="Arial"/>
        </w:rPr>
        <w:t xml:space="preserve"> and </w:t>
      </w:r>
      <w:r w:rsidRPr="00FB1ACA">
        <w:rPr>
          <w:rFonts w:ascii="Arial" w:eastAsia="Calibri" w:hAnsi="Arial" w:cs="Arial"/>
          <w:i/>
        </w:rPr>
        <w:t>--no-discordant</w:t>
      </w:r>
      <w:r w:rsidR="008D3FA0" w:rsidRPr="00FB1ACA">
        <w:rPr>
          <w:rFonts w:ascii="Arial" w:eastAsia="MS Mincho" w:hAnsi="Arial" w:cs="Arial"/>
        </w:rPr>
        <w:t xml:space="preserve"> (</w:t>
      </w:r>
      <w:r w:rsidR="008D3FA0" w:rsidRPr="00FB1ACA">
        <w:rPr>
          <w:rFonts w:ascii="Arial" w:eastAsia="MS Mincho" w:hAnsi="Arial" w:cs="Arial"/>
          <w:color w:val="4472C4" w:themeColor="accent1"/>
        </w:rPr>
        <w:t>Table S1</w:t>
      </w:r>
      <w:r w:rsidR="008D3FA0" w:rsidRPr="00FB1ACA">
        <w:rPr>
          <w:rFonts w:ascii="Arial" w:eastAsia="MS Mincho" w:hAnsi="Arial" w:cs="Arial"/>
        </w:rPr>
        <w:t>)</w:t>
      </w:r>
      <w:r w:rsidRPr="00FB1ACA">
        <w:rPr>
          <w:rFonts w:ascii="Arial" w:eastAsia="Calibri" w:hAnsi="Arial" w:cs="Arial"/>
        </w:rPr>
        <w:t>. Reads that had multiple alignments were discarded and duplicate reads were removed. The number of reads mapping to the mm10 or galGal4 genome were counted and used to calculate the ratio of galGal4 to mm10 reads for both IP and inputs samples. To adjust for the variation in mouse cells used for the four experimental conditions from a single biological replicate, the number of galGal4 reads in the input samples were randomly down-sampled so that the resulting mm10:galGal4 ratio in the four input samples was equal (</w:t>
      </w:r>
      <w:r w:rsidRPr="00FB1ACA">
        <w:rPr>
          <w:rFonts w:ascii="Arial" w:eastAsia="Calibri" w:hAnsi="Arial" w:cs="Arial"/>
          <w:color w:val="44546A" w:themeColor="text2"/>
        </w:rPr>
        <w:t>See Figure S1B and Table S1</w:t>
      </w:r>
      <w:r w:rsidRPr="00FB1ACA">
        <w:rPr>
          <w:rFonts w:ascii="Arial" w:eastAsia="Calibri" w:hAnsi="Arial" w:cs="Arial"/>
        </w:rPr>
        <w:t xml:space="preserve">). Enriched regions were identified using the MACS2 function ‘callpeak’ (v2.0.10, </w:t>
      </w:r>
      <w:r w:rsidRPr="00FB1ACA">
        <w:rPr>
          <w:rFonts w:ascii="Arial" w:eastAsia="Calibri" w:hAnsi="Arial" w:cs="Arial"/>
        </w:rPr>
        <w:fldChar w:fldCharType="begin"/>
      </w:r>
      <w:r w:rsidR="00FB1ACA" w:rsidRPr="00FB1ACA">
        <w:rPr>
          <w:rFonts w:ascii="Arial" w:eastAsia="Calibri" w:hAnsi="Arial" w:cs="Arial"/>
        </w:rPr>
        <w:instrText xml:space="preserve"> ADDIN ZOTERO_ITEM CSL_CITATION {"citationID":"GMcNBOqN","properties":{"formattedCitation":"(Zhang et al., 2008)","plainCitation":"(Zhang et al., 2008)","dontUpdate":true,"noteIndex":0},"citationItems":[{"id":3508,"uris":["http://zotero.org/users/1612991/items/KMM8NHX8"],"uri":["http://zotero.org/users/1612991/items/KMM8NHX8"],"itemData":{"id":3508,"type":"article-journal","abstract":"MACS performs model-based analysis of ChIP-Seq data generated by short read sequencers., We present Model-based Analysis of ChIP-Seq data, MACS, which analyzes data generated by short read sequencers such as Solexa's Genome Analyzer. MACS empirically models the shift size of ChIP-Seq tags, and uses it to improve the spatial resolution of predicted binding sites. MACS also uses a dynamic Poisson distribution to effectively capture local biases in the genome, allowing for more robust predictions. MACS compares favorably to existing ChIP-Seq peak-finding algorithms, and is freely available.","container-title":"Genome Biology","DOI":"10.1186/gb-2008-9-9-r137","ISSN":"1465-6906","issue":"9","journalAbbreviation":"Genome Biol","note":"PMID: 18798982\nPMCID: PMC2592715","page":"R137","source":"PubMed Central","title":"Model-based Analysis of ChIP-Seq (MACS)","volume":"9","author":[{"family":"Zhang","given":"Yong"},{"family":"Liu","given":"Tao"},{"family":"Meyer","given":"Clifford A"},{"family":"Eeckhoute","given":"Jérôme"},{"family":"Johnson","given":"David S"},{"family":"Bernstein","given":"Bradley E"},{"family":"Nusbaum","given":"Chad"},{"family":"Myers","given":"Richard M"},{"family":"Brown","given":"Myles"},{"family":"Li","given":"Wei"},{"family":"Liu","given":"X Shirley"}],"issued":{"date-parts":[["2008"]]}}}],"schema":"https://github.com/citation-style-language/schema/raw/master/csl-citation.json"} </w:instrText>
      </w:r>
      <w:r w:rsidRPr="00FB1ACA">
        <w:rPr>
          <w:rFonts w:ascii="Arial" w:eastAsia="Calibri" w:hAnsi="Arial" w:cs="Arial"/>
        </w:rPr>
        <w:fldChar w:fldCharType="separate"/>
      </w:r>
      <w:r w:rsidRPr="00FB1ACA">
        <w:rPr>
          <w:rFonts w:ascii="Arial" w:hAnsi="Arial" w:cs="Arial"/>
        </w:rPr>
        <w:t>Zhang et al., 2008)</w:t>
      </w:r>
      <w:r w:rsidRPr="00FB1ACA">
        <w:rPr>
          <w:rFonts w:ascii="Arial" w:eastAsia="Calibri" w:hAnsi="Arial" w:cs="Arial"/>
        </w:rPr>
        <w:fldChar w:fldCharType="end"/>
      </w:r>
      <w:r w:rsidRPr="00FB1ACA">
        <w:rPr>
          <w:rFonts w:ascii="Arial" w:eastAsia="Calibri" w:hAnsi="Arial" w:cs="Arial"/>
        </w:rPr>
        <w:t xml:space="preserve"> with the genome size set to 1.87 x 10</w:t>
      </w:r>
      <w:r w:rsidRPr="00FB1ACA">
        <w:rPr>
          <w:rFonts w:ascii="Arial" w:eastAsia="Calibri" w:hAnsi="Arial" w:cs="Arial"/>
          <w:vertAlign w:val="superscript"/>
        </w:rPr>
        <w:t>9</w:t>
      </w:r>
      <w:r w:rsidRPr="00FB1ACA">
        <w:rPr>
          <w:rFonts w:ascii="Arial" w:eastAsia="Calibri" w:hAnsi="Arial" w:cs="Arial"/>
        </w:rPr>
        <w:t>. Peak calling was performed independently for each biological replicate using all uniquely mapped mm10 reads. Regions identified as enriched in more than one sample from any condition were kept for downstream analyses. Biological replicate samples showed higher sample-to-sample similarity than samples from different experimental conditions (</w:t>
      </w:r>
      <w:r w:rsidRPr="00FB1ACA">
        <w:rPr>
          <w:rFonts w:ascii="Arial" w:eastAsia="Calibri" w:hAnsi="Arial" w:cs="Arial"/>
          <w:color w:val="44546A" w:themeColor="text2"/>
        </w:rPr>
        <w:t>Figure S1D</w:t>
      </w:r>
      <w:r w:rsidRPr="00FB1ACA">
        <w:rPr>
          <w:rFonts w:ascii="Arial" w:eastAsia="Calibri" w:hAnsi="Arial" w:cs="Arial"/>
        </w:rPr>
        <w:t xml:space="preserve">). </w:t>
      </w:r>
    </w:p>
    <w:p w14:paraId="2BC2E6C9" w14:textId="12AF2B02" w:rsidR="00FD7F6C" w:rsidRPr="00FB1ACA" w:rsidRDefault="00FD7F6C" w:rsidP="00FD7F6C">
      <w:pPr>
        <w:spacing w:after="120" w:line="360" w:lineRule="auto"/>
        <w:jc w:val="both"/>
        <w:rPr>
          <w:rFonts w:ascii="Arial" w:eastAsia="MS Mincho" w:hAnsi="Arial" w:cs="Arial"/>
        </w:rPr>
      </w:pPr>
      <w:r w:rsidRPr="00FB1ACA">
        <w:rPr>
          <w:rFonts w:ascii="Arial" w:eastAsia="MS Mincho" w:hAnsi="Arial" w:cs="Arial"/>
        </w:rPr>
        <w:t xml:space="preserve">To generate bigWig coverage files calibrated to the exogenous spike-in, we first randomly down-sampled BAM files containing the mm10 alignments for a particular sample based on the number of reads mapping to the galGal4 genome for that sample (in a manner which results in an equal mm10:galGal4 reads ratio in all samples). BigWig files were subsequently created using the Deeptools </w:t>
      </w:r>
      <w:r w:rsidR="00FB1ACA" w:rsidRPr="00FB1ACA">
        <w:rPr>
          <w:rFonts w:ascii="Arial" w:hAnsi="Arial" w:cs="Arial"/>
        </w:rPr>
        <w:t>(Ramírez et al. 2016)</w:t>
      </w:r>
      <w:r w:rsidRPr="00FB1ACA">
        <w:rPr>
          <w:rFonts w:ascii="Arial" w:eastAsia="MS Mincho" w:hAnsi="Arial" w:cs="Arial"/>
        </w:rPr>
        <w:fldChar w:fldCharType="begin"/>
      </w:r>
      <w:r w:rsidR="00FB1ACA" w:rsidRPr="00FB1ACA">
        <w:rPr>
          <w:rFonts w:ascii="Arial" w:eastAsia="MS Mincho" w:hAnsi="Arial" w:cs="Arial"/>
        </w:rPr>
        <w:instrText xml:space="preserve"> ADDIN ZOTERO_ITEM CSL_CITATION {"citationID":"Ep1Pi78x","properties":{"formattedCitation":"(Ram\\uc0\\u237{}rez et al. 2016)","plainCitation":"","noteIndex":0},"citationItems":[{"id":3499,"uris":["http://zotero.org/users/1612991/items/RA4UH39T"],"uri":["http://zotero.org/users/1612991/items/RA4UH39T"],"itemData":{"id":3499,"type":"article-journal","abstract":"We present an update to our Galaxy-based web server for processing and visualizing deeply sequenced data. Its core tool set, deepTools, allows users to perform complete bioinformatic workflows ranging from quality controls and normalizations of aligned reads to integrative analyses, including clustering and visualization approaches. Since we first described our deepTools Galaxy server in 2014, we have implemented new solutions for many requests from the community and our users. Here, we introduce significant enhancements and new tools to further improve data visualization and interpretation. deepTools continue to be open to all users and freely available as a web service at deeptools.ie-freiburg.mpg.de. The new deepTools2 suite can be easily deployed within any Galaxy framework via the toolshed repository, and we also provide source code for command line usage under Linux and Mac OS X. A public and documented API for access to deepTools functionality is also available.","container-title":"Nucleic Acids Research","DOI":"10.1093/nar/gkw257","ISSN":"0305-1048","issue":"Web Server issue","journalAbbreviation":"Nucleic Acids Res","note":"PMID: 27079975\nPMCID: PMC4987876","page":"W160-W165","source":"PubMed Central","title":"deepTools2: a next generation web server for deep-sequencing data analysis","title-short":"deepTools2","volume":"44","author":[{"family":"Ramírez","given":"Fidel"},{"family":"Ryan","given":"Devon P"},{"family":"Grüning","given":"Björn"},{"family":"Bhardwaj","given":"Vivek"},{"family":"Kilpert","given":"Fabian"},{"family":"Richter","given":"Andreas S"},{"family":"Heyne","given":"Steffen"},{"family":"Dündar","given":"Friederike"},{"family":"Manke","given":"Thomas"}],"issued":{"date-parts":[["2016",7,8]]}}}],"schema":"https://github.com/citation-style-language/schema/raw/master/csl-citation.json"} </w:instrText>
      </w:r>
      <w:r w:rsidRPr="00FB1ACA">
        <w:rPr>
          <w:rFonts w:ascii="Arial" w:eastAsia="MS Mincho" w:hAnsi="Arial" w:cs="Arial"/>
        </w:rPr>
        <w:fldChar w:fldCharType="end"/>
      </w:r>
      <w:r w:rsidRPr="00FB1ACA">
        <w:rPr>
          <w:rFonts w:ascii="Arial" w:eastAsia="MS Mincho" w:hAnsi="Arial" w:cs="Arial"/>
        </w:rPr>
        <w:t xml:space="preserve"> function ‘bamCoverage’ (v2.4.2) with the options </w:t>
      </w:r>
      <w:r w:rsidRPr="00FB1ACA">
        <w:rPr>
          <w:rFonts w:ascii="Arial" w:eastAsia="MS Mincho" w:hAnsi="Arial" w:cs="Arial"/>
          <w:i/>
        </w:rPr>
        <w:t>–e</w:t>
      </w:r>
      <w:r w:rsidRPr="00FB1ACA">
        <w:rPr>
          <w:rFonts w:ascii="Arial" w:eastAsia="MS Mincho" w:hAnsi="Arial" w:cs="Arial"/>
        </w:rPr>
        <w:t xml:space="preserve"> and </w:t>
      </w:r>
      <w:r w:rsidRPr="00FB1ACA">
        <w:rPr>
          <w:rFonts w:ascii="Arial" w:eastAsia="MS Mincho" w:hAnsi="Arial" w:cs="Arial"/>
          <w:i/>
        </w:rPr>
        <w:t>–bs 2</w:t>
      </w:r>
      <w:r w:rsidRPr="00FB1ACA">
        <w:rPr>
          <w:rFonts w:ascii="Arial" w:eastAsia="MS Mincho" w:hAnsi="Arial" w:cs="Arial"/>
        </w:rPr>
        <w:t>.</w:t>
      </w:r>
      <w:r w:rsidR="00B54661" w:rsidRPr="00FB1ACA">
        <w:rPr>
          <w:rFonts w:ascii="Arial" w:eastAsia="MS Mincho" w:hAnsi="Arial" w:cs="Arial"/>
        </w:rPr>
        <w:t xml:space="preserve"> The coverage graphs that we displayed were generated after merging alignments from replicate samples.</w:t>
      </w:r>
    </w:p>
    <w:p w14:paraId="277EEA48" w14:textId="77777777" w:rsidR="00F42E99" w:rsidRPr="00FB1ACA" w:rsidRDefault="00F42E99" w:rsidP="00FD7F6C">
      <w:pPr>
        <w:spacing w:after="120" w:line="360" w:lineRule="auto"/>
        <w:jc w:val="both"/>
        <w:rPr>
          <w:rFonts w:ascii="Arial" w:eastAsia="Calibri" w:hAnsi="Arial" w:cs="Arial"/>
          <w:b/>
        </w:rPr>
      </w:pPr>
    </w:p>
    <w:p w14:paraId="00D1DD37" w14:textId="719EB425" w:rsidR="00D63A4D" w:rsidRPr="00FB1ACA" w:rsidRDefault="00D63A4D" w:rsidP="00D63A4D">
      <w:pPr>
        <w:spacing w:after="120" w:line="360" w:lineRule="auto"/>
        <w:jc w:val="both"/>
        <w:rPr>
          <w:rFonts w:ascii="Arial" w:eastAsia="MS Mincho" w:hAnsi="Arial" w:cs="Arial"/>
          <w:b/>
        </w:rPr>
      </w:pPr>
      <w:bookmarkStart w:id="9" w:name="OLE_LINK155"/>
      <w:bookmarkStart w:id="10" w:name="OLE_LINK156"/>
      <w:r w:rsidRPr="00FB1ACA">
        <w:rPr>
          <w:rFonts w:ascii="Arial" w:eastAsia="MS Mincho" w:hAnsi="Arial" w:cs="Arial"/>
          <w:b/>
        </w:rPr>
        <w:t>Chromatin immunoprecipitation for transcription factors – sample preparation</w:t>
      </w:r>
    </w:p>
    <w:p w14:paraId="0E203776" w14:textId="51ACCF2A" w:rsidR="00D63A4D" w:rsidRPr="00FB1ACA" w:rsidRDefault="00FB1ACA" w:rsidP="00D63A4D">
      <w:pPr>
        <w:spacing w:after="120" w:line="360" w:lineRule="auto"/>
        <w:jc w:val="both"/>
        <w:rPr>
          <w:rFonts w:ascii="Arial" w:eastAsia="MS Mincho" w:hAnsi="Arial" w:cs="Arial"/>
        </w:rPr>
      </w:pPr>
      <w:bookmarkStart w:id="11" w:name="OLE_LINK64"/>
      <w:bookmarkStart w:id="12" w:name="OLE_LINK65"/>
      <w:bookmarkStart w:id="13" w:name="OLE_LINK66"/>
      <w:bookmarkEnd w:id="9"/>
      <w:bookmarkEnd w:id="10"/>
      <w:r>
        <w:rPr>
          <w:rFonts w:ascii="Arial" w:eastAsia="MS Mincho" w:hAnsi="Arial" w:cs="Arial"/>
        </w:rPr>
        <w:t>M</w:t>
      </w:r>
      <w:r w:rsidR="00D63A4D" w:rsidRPr="00FB1ACA">
        <w:rPr>
          <w:rFonts w:ascii="Arial" w:eastAsia="MS Mincho" w:hAnsi="Arial" w:cs="Arial"/>
        </w:rPr>
        <w:t>ouse ES cells were crosslinked in 1% methanol-free formaldehyde (</w:t>
      </w:r>
      <w:r w:rsidR="00B6776B" w:rsidRPr="00FB1ACA">
        <w:rPr>
          <w:rFonts w:ascii="Arial" w:hAnsi="Arial" w:cs="Arial"/>
        </w:rPr>
        <w:t>Thermo Fisher Scientific</w:t>
      </w:r>
      <w:r w:rsidR="00D63A4D" w:rsidRPr="00FB1ACA">
        <w:rPr>
          <w:rFonts w:ascii="Arial" w:eastAsia="MS Mincho" w:hAnsi="Arial" w:cs="Arial"/>
        </w:rPr>
        <w:t>) alone or sequentially with 2 mM disuccinimidyl glutarate (DSG) first then 1% formaldehyde (YY1 only). Immunoprecipitation was carried out on sonicated chromatin using antibodies listed in Table S6.</w:t>
      </w:r>
    </w:p>
    <w:p w14:paraId="04FC715B" w14:textId="3D37F9A8" w:rsidR="00D63A4D" w:rsidRPr="00FB1ACA" w:rsidRDefault="00D63A4D" w:rsidP="00D63A4D">
      <w:pPr>
        <w:spacing w:after="120" w:line="360" w:lineRule="auto"/>
        <w:jc w:val="both"/>
        <w:rPr>
          <w:rFonts w:ascii="Arial" w:eastAsia="MS Mincho" w:hAnsi="Arial" w:cs="Arial"/>
        </w:rPr>
      </w:pPr>
      <w:r w:rsidRPr="00FB1ACA">
        <w:rPr>
          <w:rFonts w:ascii="Arial" w:eastAsia="MS Mincho" w:hAnsi="Arial" w:cs="Arial"/>
        </w:rPr>
        <w:t>Chromatin was prepared from 1 x 10</w:t>
      </w:r>
      <w:r w:rsidRPr="00FB1ACA">
        <w:rPr>
          <w:rFonts w:ascii="Arial" w:eastAsia="MS Mincho" w:hAnsi="Arial" w:cs="Arial"/>
          <w:vertAlign w:val="superscript"/>
        </w:rPr>
        <w:t>8</w:t>
      </w:r>
      <w:r w:rsidRPr="00FB1ACA">
        <w:rPr>
          <w:rFonts w:ascii="Arial" w:eastAsia="MS Mincho" w:hAnsi="Arial" w:cs="Arial"/>
        </w:rPr>
        <w:t xml:space="preserve"> mouse ES cells</w:t>
      </w:r>
      <w:bookmarkEnd w:id="11"/>
      <w:bookmarkEnd w:id="12"/>
      <w:bookmarkEnd w:id="13"/>
      <w:r w:rsidRPr="00FB1ACA">
        <w:rPr>
          <w:rFonts w:ascii="Arial" w:eastAsia="MS Mincho" w:hAnsi="Arial" w:cs="Arial"/>
        </w:rPr>
        <w:t xml:space="preserve"> grown to 70-90% confluency. Cells were crosslinked at room temperature for either 10 min in 1% methanol-free formaldehyde (</w:t>
      </w:r>
      <w:r w:rsidR="00B6776B" w:rsidRPr="00FB1ACA">
        <w:rPr>
          <w:rFonts w:ascii="Arial" w:hAnsi="Arial" w:cs="Arial"/>
        </w:rPr>
        <w:t>Thermo Fisher Scientific</w:t>
      </w:r>
      <w:r w:rsidRPr="00FB1ACA">
        <w:rPr>
          <w:rFonts w:ascii="Arial" w:eastAsia="MS Mincho" w:hAnsi="Arial" w:cs="Arial"/>
        </w:rPr>
        <w:t xml:space="preserve">) or 2 mM disuccinimidyl glutarate (DSG) for 1 hour followed by 10 min with 1% formaldehyde (YY1 only). Crosslinking reactions were quenched by the addition of glycine to a concentration of 200 mM. Chromatin was prepared at 4 °C by rotating the cells in 10 ml </w:t>
      </w:r>
      <w:r w:rsidRPr="00FB1ACA">
        <w:rPr>
          <w:rFonts w:ascii="Arial" w:eastAsia="MS Mincho" w:hAnsi="Arial" w:cs="Arial"/>
        </w:rPr>
        <w:lastRenderedPageBreak/>
        <w:t>buffer LB1 (50 mM HEPES KOH pH 7.9, 140 mM NaCl, 1 mM EDTA, 10% Glycerol, 0.5% NP</w:t>
      </w:r>
      <w:r w:rsidR="00C4338E" w:rsidRPr="00FB1ACA">
        <w:rPr>
          <w:rFonts w:ascii="Arial" w:eastAsia="MS Mincho" w:hAnsi="Arial" w:cs="Arial"/>
        </w:rPr>
        <w:t>-</w:t>
      </w:r>
      <w:r w:rsidRPr="00FB1ACA">
        <w:rPr>
          <w:rFonts w:ascii="Arial" w:eastAsia="MS Mincho" w:hAnsi="Arial" w:cs="Arial"/>
        </w:rPr>
        <w:t xml:space="preserve">40, 0.25% Triton </w:t>
      </w:r>
      <w:r w:rsidR="00C4338E" w:rsidRPr="00FB1ACA">
        <w:rPr>
          <w:rFonts w:ascii="Arial" w:eastAsia="MS Mincho" w:hAnsi="Arial" w:cs="Arial"/>
        </w:rPr>
        <w:t>X</w:t>
      </w:r>
      <w:r w:rsidRPr="00FB1ACA">
        <w:rPr>
          <w:rFonts w:ascii="Arial" w:eastAsia="MS Mincho" w:hAnsi="Arial" w:cs="Arial"/>
        </w:rPr>
        <w:t>-100, with 1x cOmplete</w:t>
      </w:r>
      <w:r w:rsidRPr="00FB1ACA">
        <w:rPr>
          <w:rFonts w:ascii="Arial" w:eastAsia="MS Mincho" w:hAnsi="Arial" w:cs="Arial"/>
          <w:vertAlign w:val="superscript"/>
        </w:rPr>
        <w:t>TM</w:t>
      </w:r>
      <w:r w:rsidRPr="00FB1ACA">
        <w:rPr>
          <w:rFonts w:ascii="Arial" w:eastAsia="MS Mincho" w:hAnsi="Arial" w:cs="Arial"/>
        </w:rPr>
        <w:t xml:space="preserve"> EDTA-free Protease Inhibitor Cocktail (Roche)), 10 ml buffer LB2 (10 mM Tris-HCl pH 8.0, 200 mM NaCl, 1 mM EDTA, 0.5 mM EGTA, with 1x cOmplete</w:t>
      </w:r>
      <w:r w:rsidRPr="00FB1ACA">
        <w:rPr>
          <w:rFonts w:ascii="Arial" w:eastAsia="MS Mincho" w:hAnsi="Arial" w:cs="Arial"/>
          <w:vertAlign w:val="superscript"/>
        </w:rPr>
        <w:t>TM</w:t>
      </w:r>
      <w:r w:rsidRPr="00FB1ACA">
        <w:rPr>
          <w:rFonts w:ascii="Arial" w:eastAsia="MS Mincho" w:hAnsi="Arial" w:cs="Arial"/>
        </w:rPr>
        <w:t xml:space="preserve"> EDTA-free Protease Inhibitor Cocktail) and 1 ml buffer LB3 (10 mM Tris-HCl pH 8.0, 100 mM NaCl, 1 mM EDTA, 0.5 mM EGTA, 0.1% sodium deoxycholate, 0.5% N-</w:t>
      </w:r>
      <w:bookmarkStart w:id="14" w:name="OLE_LINK71"/>
      <w:bookmarkStart w:id="15" w:name="OLE_LINK72"/>
      <w:r w:rsidRPr="00FB1ACA">
        <w:rPr>
          <w:rFonts w:ascii="Arial" w:eastAsia="MS Mincho" w:hAnsi="Arial" w:cs="Arial"/>
        </w:rPr>
        <w:t>lauroylsarcosine</w:t>
      </w:r>
      <w:bookmarkEnd w:id="14"/>
      <w:bookmarkEnd w:id="15"/>
      <w:r w:rsidRPr="00FB1ACA">
        <w:rPr>
          <w:rFonts w:ascii="Arial" w:eastAsia="MS Mincho" w:hAnsi="Arial" w:cs="Arial"/>
        </w:rPr>
        <w:t xml:space="preserve">, </w:t>
      </w:r>
      <w:bookmarkStart w:id="16" w:name="OLE_LINK75"/>
      <w:bookmarkStart w:id="17" w:name="OLE_LINK76"/>
      <w:r w:rsidRPr="00FB1ACA">
        <w:rPr>
          <w:rFonts w:ascii="Arial" w:eastAsia="MS Mincho" w:hAnsi="Arial" w:cs="Arial"/>
        </w:rPr>
        <w:t>1x cOmplete</w:t>
      </w:r>
      <w:r w:rsidRPr="00FB1ACA">
        <w:rPr>
          <w:rFonts w:ascii="Arial" w:eastAsia="MS Mincho" w:hAnsi="Arial" w:cs="Arial"/>
          <w:vertAlign w:val="superscript"/>
        </w:rPr>
        <w:t>TM</w:t>
      </w:r>
      <w:r w:rsidRPr="00FB1ACA">
        <w:rPr>
          <w:rFonts w:ascii="Arial" w:eastAsia="MS Mincho" w:hAnsi="Arial" w:cs="Arial"/>
        </w:rPr>
        <w:t xml:space="preserve"> EDTA-free Protease Inhibitor Cocktail</w:t>
      </w:r>
      <w:bookmarkEnd w:id="16"/>
      <w:bookmarkEnd w:id="17"/>
      <w:r w:rsidRPr="00FB1ACA">
        <w:rPr>
          <w:rFonts w:ascii="Arial" w:eastAsia="MS Mincho" w:hAnsi="Arial" w:cs="Arial"/>
        </w:rPr>
        <w:t xml:space="preserve">). Chromatin was sheared in a 1 ml milliTUBE with AFA Fiber (Covaris) using a </w:t>
      </w:r>
      <w:bookmarkStart w:id="18" w:name="OLE_LINK69"/>
      <w:bookmarkStart w:id="19" w:name="OLE_LINK70"/>
      <w:r w:rsidRPr="00FB1ACA">
        <w:rPr>
          <w:rFonts w:ascii="Arial" w:eastAsia="MS Mincho" w:hAnsi="Arial" w:cs="Arial"/>
        </w:rPr>
        <w:t>Covaris S220 AFA ultrasonicator</w:t>
      </w:r>
      <w:bookmarkEnd w:id="18"/>
      <w:bookmarkEnd w:id="19"/>
      <w:r w:rsidRPr="00FB1ACA">
        <w:rPr>
          <w:rFonts w:ascii="Arial" w:eastAsia="MS Mincho" w:hAnsi="Arial" w:cs="Arial"/>
        </w:rPr>
        <w:t xml:space="preserve"> (set at 150 W Peak Incident Power, 8% Duty Factor, 200 Cycles/Burst) for 30 min. Following sonication, the sheared chromatin was spun at 15,000 x g for 20 min and the soluble fraction collected and aliquoted for immediate use or storage at -80 °C.</w:t>
      </w:r>
    </w:p>
    <w:p w14:paraId="6395539C" w14:textId="77777777" w:rsidR="00D63A4D" w:rsidRPr="00FB1ACA" w:rsidRDefault="00D63A4D" w:rsidP="00D63A4D">
      <w:pPr>
        <w:spacing w:after="120" w:line="360" w:lineRule="auto"/>
        <w:jc w:val="both"/>
        <w:rPr>
          <w:rFonts w:ascii="Arial" w:eastAsia="MS Mincho" w:hAnsi="Arial" w:cs="Arial"/>
        </w:rPr>
      </w:pPr>
      <w:r w:rsidRPr="00FB1ACA">
        <w:rPr>
          <w:rFonts w:ascii="Arial" w:eastAsia="MS Mincho" w:hAnsi="Arial" w:cs="Arial"/>
        </w:rPr>
        <w:t>Immunoprecipitation (IP) was performed using the sheared chromatin from approximately 1 x 10</w:t>
      </w:r>
      <w:r w:rsidRPr="00FB1ACA">
        <w:rPr>
          <w:rFonts w:ascii="Arial" w:eastAsia="MS Mincho" w:hAnsi="Arial" w:cs="Arial"/>
          <w:vertAlign w:val="superscript"/>
        </w:rPr>
        <w:t>7</w:t>
      </w:r>
      <w:r w:rsidRPr="00FB1ACA">
        <w:rPr>
          <w:rFonts w:ascii="Arial" w:eastAsia="MS Mincho" w:hAnsi="Arial" w:cs="Arial"/>
        </w:rPr>
        <w:t xml:space="preserve"> cells in Chromatin Dilution Buffer (16.7 mM Tris pH 8.1, 167 mM NaCl, 0.01% SDS, 1.1% Triton X-100, 1.2 mM EDTA, freshly complemented with </w:t>
      </w:r>
      <w:bookmarkStart w:id="20" w:name="OLE_LINK107"/>
      <w:bookmarkStart w:id="21" w:name="OLE_LINK108"/>
      <w:r w:rsidRPr="00FB1ACA">
        <w:rPr>
          <w:rFonts w:ascii="Arial" w:eastAsia="MS Mincho" w:hAnsi="Arial" w:cs="Arial"/>
        </w:rPr>
        <w:t>1x cOmplete</w:t>
      </w:r>
      <w:r w:rsidRPr="00FB1ACA">
        <w:rPr>
          <w:rFonts w:ascii="Arial" w:eastAsia="MS Mincho" w:hAnsi="Arial" w:cs="Arial"/>
          <w:vertAlign w:val="superscript"/>
        </w:rPr>
        <w:t>TM</w:t>
      </w:r>
      <w:r w:rsidRPr="00FB1ACA">
        <w:rPr>
          <w:rFonts w:ascii="Arial" w:eastAsia="MS Mincho" w:hAnsi="Arial" w:cs="Arial"/>
        </w:rPr>
        <w:t xml:space="preserve"> EDTA-free Protease Inhibitor Cocktail (Roche)</w:t>
      </w:r>
      <w:bookmarkEnd w:id="20"/>
      <w:bookmarkEnd w:id="21"/>
      <w:r w:rsidRPr="00FB1ACA">
        <w:rPr>
          <w:rFonts w:ascii="Arial" w:eastAsia="MS Mincho" w:hAnsi="Arial" w:cs="Arial"/>
        </w:rPr>
        <w:t xml:space="preserve">). Following a 30 min preclear using </w:t>
      </w:r>
      <w:bookmarkStart w:id="22" w:name="OLE_LINK77"/>
      <w:bookmarkStart w:id="23" w:name="OLE_LINK78"/>
      <w:r w:rsidRPr="00FB1ACA">
        <w:rPr>
          <w:rFonts w:ascii="Arial" w:eastAsia="MS Mincho" w:hAnsi="Arial" w:cs="Arial"/>
        </w:rPr>
        <w:t>blocked Protein A</w:t>
      </w:r>
      <w:bookmarkEnd w:id="22"/>
      <w:bookmarkEnd w:id="23"/>
      <w:r w:rsidRPr="00FB1ACA">
        <w:rPr>
          <w:rFonts w:ascii="Arial" w:eastAsia="MS Mincho" w:hAnsi="Arial" w:cs="Arial"/>
        </w:rPr>
        <w:t xml:space="preserve"> or G agarose beads (</w:t>
      </w:r>
      <w:bookmarkStart w:id="24" w:name="OLE_LINK117"/>
      <w:bookmarkStart w:id="25" w:name="OLE_LINK118"/>
      <w:r w:rsidRPr="00FB1ACA">
        <w:rPr>
          <w:rFonts w:ascii="Arial" w:eastAsia="MS Mincho" w:hAnsi="Arial" w:cs="Arial"/>
        </w:rPr>
        <w:t>Roche</w:t>
      </w:r>
      <w:bookmarkEnd w:id="24"/>
      <w:bookmarkEnd w:id="25"/>
      <w:r w:rsidRPr="00FB1ACA">
        <w:rPr>
          <w:rFonts w:ascii="Arial" w:eastAsia="MS Mincho" w:hAnsi="Arial" w:cs="Arial"/>
        </w:rPr>
        <w:t>), the chromatin was incubated with 5 µg antibody overnight at 4 °C (antibodies are listed in Table S6). Immune complexes were captured with 50 µl blocked Protein A or G agarose beads by incubation for 4 h with rotation and then washed with the following buffers: Low Salt Buffer (20 mM Tris pH8.1, 150 mM NaCl, 0.2% SDS, 1% Triton X-100, 5 mM EDTA, and 5% w/v sucrose), High Salt Buffer (50 mM HEPES pH 7.5, 500 mM NaCl, 0.1% deoxycholic acid, 1% Triton X-100 and 1 mM EDTA), Lithium Chloride Buffer (10 mM Tris pH 8.0, 250 mM LiCl, 0.5% deoxycholic acid, 0.5% NP-40 and 1 mM EDTA) and twice with TE Buffer (10 mM Tris-HCl pH 8.0, 1 mM EDTA). Captured chromatin was eluted in 125 µl elution buffer (1% SDS and 0.1 M NaHCO</w:t>
      </w:r>
      <w:r w:rsidRPr="00FB1ACA">
        <w:rPr>
          <w:rFonts w:ascii="Arial" w:eastAsia="MS Mincho" w:hAnsi="Arial" w:cs="Arial"/>
          <w:vertAlign w:val="subscript"/>
        </w:rPr>
        <w:t>3</w:t>
      </w:r>
      <w:r w:rsidRPr="00FB1ACA">
        <w:rPr>
          <w:rFonts w:ascii="Arial" w:eastAsia="MS Mincho" w:hAnsi="Arial" w:cs="Arial"/>
        </w:rPr>
        <w:t xml:space="preserve">) by shaking vigorously for 30 min at room temperature and then subjected to reverse crosslinking by incubating at 65 °C overnight in the presence of 200 mM NaCl. Input controls consisted of 50 µl (5%) samples of pre-cleared chromatin that were reverse crosslinked and purified as described for the IP samples. After incubation with 0.5 µg RNase A (1 h at 37 °C) and 20 µg Proteinase K (1 h at 45 °C), DNA was purified using the QIAquick PCR Purification kit (Qiagen). </w:t>
      </w:r>
    </w:p>
    <w:p w14:paraId="72B57BEC" w14:textId="5E50B5B0" w:rsidR="00D63A4D" w:rsidRPr="00FB1ACA" w:rsidRDefault="00D63A4D" w:rsidP="00D63A4D">
      <w:pPr>
        <w:spacing w:after="120" w:line="360" w:lineRule="auto"/>
        <w:jc w:val="both"/>
        <w:rPr>
          <w:rFonts w:ascii="Arial" w:hAnsi="Arial" w:cs="Arial"/>
        </w:rPr>
      </w:pPr>
      <w:r w:rsidRPr="00FB1ACA">
        <w:rPr>
          <w:rFonts w:ascii="Arial" w:eastAsia="MS Mincho" w:hAnsi="Arial" w:cs="Arial"/>
        </w:rPr>
        <w:t xml:space="preserve">For sequencing, ChIP DNA was further sonicated using a Bioruptor sonication system to obtain DNA fragments in the 100-300 bp range. Libraries were prepared and sequenced using the same procedure as described for the </w:t>
      </w:r>
      <w:r w:rsidRPr="00FB1ACA">
        <w:rPr>
          <w:rFonts w:ascii="Arial" w:hAnsi="Arial" w:cs="Arial"/>
        </w:rPr>
        <w:t xml:space="preserve">Native Chromatin Immunoprecipitation with exogenous spike-in experiments. </w:t>
      </w:r>
    </w:p>
    <w:p w14:paraId="59570544" w14:textId="77777777" w:rsidR="00D63A4D" w:rsidRPr="00FB1ACA" w:rsidRDefault="00D63A4D" w:rsidP="00D63A4D">
      <w:pPr>
        <w:spacing w:after="120" w:line="360" w:lineRule="auto"/>
        <w:jc w:val="both"/>
        <w:rPr>
          <w:rFonts w:ascii="Arial" w:hAnsi="Arial" w:cs="Arial"/>
          <w:b/>
        </w:rPr>
      </w:pPr>
    </w:p>
    <w:p w14:paraId="0E632158" w14:textId="31410C3A" w:rsidR="00FD7F6C" w:rsidRPr="00FB1ACA" w:rsidRDefault="00FD7F6C" w:rsidP="00FD7F6C">
      <w:pPr>
        <w:spacing w:after="120" w:line="360" w:lineRule="auto"/>
        <w:jc w:val="both"/>
        <w:rPr>
          <w:rFonts w:ascii="Arial" w:eastAsia="Calibri" w:hAnsi="Arial" w:cs="Arial"/>
          <w:b/>
        </w:rPr>
      </w:pPr>
      <w:r w:rsidRPr="00FB1ACA">
        <w:rPr>
          <w:rFonts w:ascii="Arial" w:eastAsia="Calibri" w:hAnsi="Arial" w:cs="Arial"/>
          <w:b/>
        </w:rPr>
        <w:t>ChIP-seq computational analysis</w:t>
      </w:r>
    </w:p>
    <w:p w14:paraId="0C02E325" w14:textId="3275E81F" w:rsidR="00FD7F6C" w:rsidRPr="00FB1ACA" w:rsidRDefault="00FD7F6C" w:rsidP="00FD7F6C">
      <w:pPr>
        <w:spacing w:after="120" w:line="360" w:lineRule="auto"/>
        <w:jc w:val="both"/>
        <w:rPr>
          <w:rFonts w:ascii="Arial" w:eastAsia="MS Mincho" w:hAnsi="Arial" w:cs="Arial"/>
        </w:rPr>
      </w:pPr>
      <w:r w:rsidRPr="00FB1ACA">
        <w:rPr>
          <w:rFonts w:ascii="Arial" w:eastAsia="MS Mincho" w:hAnsi="Arial" w:cs="Arial"/>
        </w:rPr>
        <w:lastRenderedPageBreak/>
        <w:t xml:space="preserve">ChIP-seq 75-bp paired-end reads were </w:t>
      </w:r>
      <w:r w:rsidRPr="00FB1ACA">
        <w:rPr>
          <w:rFonts w:ascii="Arial" w:eastAsia="Calibri" w:hAnsi="Arial" w:cs="Arial"/>
        </w:rPr>
        <w:t xml:space="preserve">aligned to the mm10 genome using bowtie2 (v2.2.5.0) with the options </w:t>
      </w:r>
      <w:r w:rsidRPr="00FB1ACA">
        <w:rPr>
          <w:rFonts w:ascii="Arial" w:eastAsia="Calibri" w:hAnsi="Arial" w:cs="Arial"/>
          <w:i/>
        </w:rPr>
        <w:t>--no-mixed</w:t>
      </w:r>
      <w:r w:rsidRPr="00FB1ACA">
        <w:rPr>
          <w:rFonts w:ascii="Arial" w:eastAsia="Calibri" w:hAnsi="Arial" w:cs="Arial"/>
        </w:rPr>
        <w:t xml:space="preserve"> and </w:t>
      </w:r>
      <w:r w:rsidRPr="00FB1ACA">
        <w:rPr>
          <w:rFonts w:ascii="Arial" w:eastAsia="Calibri" w:hAnsi="Arial" w:cs="Arial"/>
          <w:i/>
        </w:rPr>
        <w:t>--no-discordant</w:t>
      </w:r>
      <w:r w:rsidR="008D3FA0" w:rsidRPr="00FB1ACA">
        <w:rPr>
          <w:rFonts w:ascii="Arial" w:eastAsia="MS Mincho" w:hAnsi="Arial" w:cs="Arial"/>
        </w:rPr>
        <w:t xml:space="preserve"> (</w:t>
      </w:r>
      <w:r w:rsidR="008D3FA0" w:rsidRPr="00FB1ACA">
        <w:rPr>
          <w:rFonts w:ascii="Arial" w:eastAsia="MS Mincho" w:hAnsi="Arial" w:cs="Arial"/>
          <w:color w:val="4472C4" w:themeColor="accent1"/>
        </w:rPr>
        <w:t>Table S1</w:t>
      </w:r>
      <w:r w:rsidR="008D3FA0" w:rsidRPr="00FB1ACA">
        <w:rPr>
          <w:rFonts w:ascii="Arial" w:eastAsia="MS Mincho" w:hAnsi="Arial" w:cs="Arial"/>
        </w:rPr>
        <w:t>)</w:t>
      </w:r>
      <w:r w:rsidRPr="00FB1ACA">
        <w:rPr>
          <w:rFonts w:ascii="Arial" w:eastAsia="Calibri" w:hAnsi="Arial" w:cs="Arial"/>
        </w:rPr>
        <w:t xml:space="preserve">. Reads that had multiple alignments were discarded, duplicate reads were removed as well as fragments mapping to a custom “blacklist” of artificially high regions of the genome (derived from the ENCODE Consortium Project, 2012). </w:t>
      </w:r>
      <w:r w:rsidR="009704CC" w:rsidRPr="00FB1ACA">
        <w:rPr>
          <w:rFonts w:ascii="Arial" w:eastAsia="Calibri" w:hAnsi="Arial" w:cs="Arial"/>
        </w:rPr>
        <w:t>GC composition of reads was similar between samples, conditions and different TF (</w:t>
      </w:r>
      <w:r w:rsidR="009704CC" w:rsidRPr="00FB1ACA">
        <w:rPr>
          <w:rFonts w:ascii="Arial" w:eastAsia="Calibri" w:hAnsi="Arial" w:cs="Arial"/>
          <w:color w:val="44546A" w:themeColor="text2"/>
        </w:rPr>
        <w:t>Figure M2</w:t>
      </w:r>
      <w:r w:rsidR="009704CC" w:rsidRPr="00FB1ACA">
        <w:rPr>
          <w:rFonts w:ascii="Arial" w:eastAsia="Calibri" w:hAnsi="Arial" w:cs="Arial"/>
        </w:rPr>
        <w:t xml:space="preserve">). </w:t>
      </w:r>
      <w:r w:rsidRPr="00FB1ACA">
        <w:rPr>
          <w:rFonts w:ascii="Arial" w:eastAsia="Calibri" w:hAnsi="Arial" w:cs="Arial"/>
        </w:rPr>
        <w:t xml:space="preserve">All alignment files from the same transcription factor ChIP were randomly down-sampled to match the number of alignments in the minimal ChIP or input sample. BigWig coverage files were generated </w:t>
      </w:r>
      <w:r w:rsidRPr="00FB1ACA">
        <w:rPr>
          <w:rFonts w:ascii="Arial" w:eastAsia="MS Mincho" w:hAnsi="Arial" w:cs="Arial"/>
        </w:rPr>
        <w:t xml:space="preserve">using the Deeptools </w:t>
      </w:r>
      <w:r w:rsidR="00FB1ACA" w:rsidRPr="00FB1ACA">
        <w:rPr>
          <w:rFonts w:ascii="Arial" w:hAnsi="Arial" w:cs="Arial"/>
        </w:rPr>
        <w:t>(Ramírez et al. 2016)</w:t>
      </w:r>
      <w:r w:rsidRPr="00FB1ACA">
        <w:rPr>
          <w:rFonts w:ascii="Arial" w:eastAsia="MS Mincho" w:hAnsi="Arial" w:cs="Arial"/>
        </w:rPr>
        <w:fldChar w:fldCharType="begin"/>
      </w:r>
      <w:r w:rsidR="00FB1ACA" w:rsidRPr="00FB1ACA">
        <w:rPr>
          <w:rFonts w:ascii="Arial" w:eastAsia="MS Mincho" w:hAnsi="Arial" w:cs="Arial"/>
        </w:rPr>
        <w:instrText xml:space="preserve"> ADDIN ZOTERO_ITEM CSL_CITATION {"citationID":"W7pN4kP0","properties":{"formattedCitation":"(Ram\\uc0\\u237{}rez et al. 2016)","plainCitation":"","noteIndex":0},"citationItems":[{"id":3499,"uris":["http://zotero.org/users/1612991/items/RA4UH39T"],"uri":["http://zotero.org/users/1612991/items/RA4UH39T"],"itemData":{"id":3499,"type":"article-journal","abstract":"We present an update to our Galaxy-based web server for processing and visualizing deeply sequenced data. Its core tool set, deepTools, allows users to perform complete bioinformatic workflows ranging from quality controls and normalizations of aligned reads to integrative analyses, including clustering and visualization approaches. Since we first described our deepTools Galaxy server in 2014, we have implemented new solutions for many requests from the community and our users. Here, we introduce significant enhancements and new tools to further improve data visualization and interpretation. deepTools continue to be open to all users and freely available as a web service at deeptools.ie-freiburg.mpg.de. The new deepTools2 suite can be easily deployed within any Galaxy framework via the toolshed repository, and we also provide source code for command line usage under Linux and Mac OS X. A public and documented API for access to deepTools functionality is also available.","container-title":"Nucleic Acids Research","DOI":"10.1093/nar/gkw257","ISSN":"0305-1048","issue":"Web Server issue","journalAbbreviation":"Nucleic Acids Res","note":"PMID: 27079975\nPMCID: PMC4987876","page":"W160-W165","source":"PubMed Central","title":"deepTools2: a next generation web server for deep-sequencing data analysis","title-short":"deepTools2","volume":"44","author":[{"family":"Ramírez","given":"Fidel"},{"family":"Ryan","given":"Devon P"},{"family":"Grüning","given":"Björn"},{"family":"Bhardwaj","given":"Vivek"},{"family":"Kilpert","given":"Fabian"},{"family":"Richter","given":"Andreas S"},{"family":"Heyne","given":"Steffen"},{"family":"Dündar","given":"Friederike"},{"family":"Manke","given":"Thomas"}],"issued":{"date-parts":[["2016",7,8]]}}}],"schema":"https://github.com/citation-style-language/schema/raw/master/csl-citation.json"} </w:instrText>
      </w:r>
      <w:r w:rsidRPr="00FB1ACA">
        <w:rPr>
          <w:rFonts w:ascii="Arial" w:eastAsia="MS Mincho" w:hAnsi="Arial" w:cs="Arial"/>
        </w:rPr>
        <w:fldChar w:fldCharType="end"/>
      </w:r>
      <w:r w:rsidRPr="00FB1ACA">
        <w:rPr>
          <w:rFonts w:ascii="Arial" w:eastAsia="MS Mincho" w:hAnsi="Arial" w:cs="Arial"/>
        </w:rPr>
        <w:t xml:space="preserve"> function ‘bamCoverage’ (v2.4.2) with the options </w:t>
      </w:r>
      <w:r w:rsidRPr="00FB1ACA">
        <w:rPr>
          <w:rFonts w:ascii="Arial" w:eastAsia="MS Mincho" w:hAnsi="Arial" w:cs="Arial"/>
          <w:i/>
        </w:rPr>
        <w:t>–e</w:t>
      </w:r>
      <w:r w:rsidRPr="00FB1ACA">
        <w:rPr>
          <w:rFonts w:ascii="Arial" w:eastAsia="MS Mincho" w:hAnsi="Arial" w:cs="Arial"/>
        </w:rPr>
        <w:t xml:space="preserve"> and </w:t>
      </w:r>
      <w:r w:rsidRPr="00FB1ACA">
        <w:rPr>
          <w:rFonts w:ascii="Arial" w:eastAsia="MS Mincho" w:hAnsi="Arial" w:cs="Arial"/>
          <w:i/>
        </w:rPr>
        <w:t>–bs 2</w:t>
      </w:r>
      <w:r w:rsidRPr="00FB1ACA">
        <w:rPr>
          <w:rFonts w:ascii="Arial" w:eastAsia="MS Mincho" w:hAnsi="Arial" w:cs="Arial"/>
        </w:rPr>
        <w:t>.</w:t>
      </w:r>
      <w:r w:rsidR="00CC063C" w:rsidRPr="00FB1ACA">
        <w:rPr>
          <w:rFonts w:ascii="Arial" w:eastAsia="MS Mincho" w:hAnsi="Arial" w:cs="Arial"/>
        </w:rPr>
        <w:t xml:space="preserve"> The coverage graphs that we displayed were generated after merging alignments from replicate samples. </w:t>
      </w:r>
      <w:r w:rsidRPr="00FB1ACA">
        <w:rPr>
          <w:rFonts w:ascii="Arial" w:eastAsia="MS Mincho" w:hAnsi="Arial" w:cs="Arial"/>
        </w:rPr>
        <w:t xml:space="preserve">Enriched regions were identified using the ‘dpeak’ peak-calling algorithm of DANPOS v2.2.2 </w:t>
      </w:r>
      <w:r w:rsidRPr="00FB1ACA">
        <w:rPr>
          <w:rFonts w:ascii="Arial" w:eastAsia="MS Mincho" w:hAnsi="Arial" w:cs="Arial"/>
        </w:rPr>
        <w:fldChar w:fldCharType="begin"/>
      </w:r>
      <w:r w:rsidR="00FB1ACA" w:rsidRPr="00FB1ACA">
        <w:rPr>
          <w:rFonts w:ascii="Arial" w:eastAsia="MS Mincho" w:hAnsi="Arial" w:cs="Arial"/>
        </w:rPr>
        <w:instrText xml:space="preserve"> ADDIN ZOTERO_ITEM CSL_CITATION {"citationID":"O7BEtz2D","properties":{"formattedCitation":"(Chen et al. 2013)","plainCitation":"(Chen et al. 2013)","noteIndex":0},"citationItems":[{"id":3487,"uris":["http://zotero.org/users/1612991/items/P94MQBB3"],"uri":["http://zotero.org/users/1612991/items/P94MQBB3"],"itemData":{"id":3487,"type":"article-journal","abstract":"Recent developments in next-generation sequencing have enabled whole-genome profiling of nucleosome organizations. Although several algorithms for inferring nucleosome position from a single experimental condition have been available, it remains a challenge to accurately define dynamic nucleosomes associated with environmental changes. Here, we report a comprehensive bioinformatics pipeline, DANPOS, explicitly designed for dynamic nucleosome analysis at single-nucleotide resolution. Using both simulated and real nucleosome data, we demonstrated that bias correction in preliminary data processing and optimal statistical testing significantly enhances the functional interpretation of dynamic nucleosomes. The single-nucleotide resolution analysis of DANPOS allows us to detect all three categories of nucleosome dynamics, such as position shift, fuzziness change, and occupancy change, using a uniform statistical framework. Pathway analysis indicates that each category is involved in distinct biological functions. We also analyzed the influence of sequencing depth and suggest that even 200-fold coverage is probably not enough to identify all the dynamic nucleosomes. Finally, based on nucleosome data from the human hematopoietic stem cells (HSCs) and mouse embryonic stem cells (ESCs), we demonstrated that DANPOS is also robust in defining functional dynamic nucleosomes, not only in promoters, but also in distal regulatory regions in the mammalian genome.","container-title":"Genome Research","DOI":"10.1101/gr.142067.112","ISSN":"1549-5469","issue":"2","journalAbbreviation":"Genome Res.","language":"eng","note":"PMID: 23193179\nPMCID: PMC3561875","page":"341-351","source":"PubMed","title":"DANPOS: dynamic analysis of nucleosome position and occupancy by sequencing","title-short":"DANPOS","volume":"23","author":[{"family":"Chen","given":"Kaifu"},{"family":"Xi","given":"Yuanxin"},{"family":"Pan","given":"Xuewen"},{"family":"Li","given":"Zhaoyu"},{"family":"Kaestner","given":"Klaus"},{"family":"Tyler","given":"Jessica"},{"family":"Dent","given":"Sharon"},{"family":"He","given":"Xiangwei"},{"family":"Li","given":"Wei"}],"issued":{"date-parts":[["2013",2]]}}}],"schema":"https://github.com/citation-style-language/schema/raw/master/csl-citation.json"} </w:instrText>
      </w:r>
      <w:r w:rsidRPr="00FB1ACA">
        <w:rPr>
          <w:rFonts w:ascii="Arial" w:eastAsia="MS Mincho" w:hAnsi="Arial" w:cs="Arial"/>
        </w:rPr>
        <w:fldChar w:fldCharType="separate"/>
      </w:r>
      <w:r w:rsidR="00FB1ACA" w:rsidRPr="00FB1ACA">
        <w:rPr>
          <w:rFonts w:ascii="Arial" w:hAnsi="Arial" w:cs="Arial"/>
        </w:rPr>
        <w:t>(Chen et al. 2013)</w:t>
      </w:r>
      <w:r w:rsidRPr="00FB1ACA">
        <w:rPr>
          <w:rFonts w:ascii="Arial" w:eastAsia="MS Mincho" w:hAnsi="Arial" w:cs="Arial"/>
        </w:rPr>
        <w:fldChar w:fldCharType="end"/>
      </w:r>
      <w:r w:rsidRPr="00FB1ACA">
        <w:rPr>
          <w:rFonts w:ascii="Arial" w:eastAsia="MS Mincho" w:hAnsi="Arial" w:cs="Arial"/>
        </w:rPr>
        <w:t xml:space="preserve"> with the options </w:t>
      </w:r>
      <w:r w:rsidRPr="00FB1ACA">
        <w:rPr>
          <w:rFonts w:ascii="Arial" w:eastAsia="MS Mincho" w:hAnsi="Arial" w:cs="Arial"/>
          <w:i/>
        </w:rPr>
        <w:t>–m, -kd 250, -kw 150</w:t>
      </w:r>
      <w:r w:rsidRPr="00FB1ACA">
        <w:rPr>
          <w:rFonts w:ascii="Arial" w:eastAsia="MS Mincho" w:hAnsi="Arial" w:cs="Arial"/>
        </w:rPr>
        <w:t xml:space="preserve"> and </w:t>
      </w:r>
      <w:r w:rsidRPr="00FB1ACA">
        <w:rPr>
          <w:rFonts w:ascii="Arial" w:eastAsia="MS Mincho" w:hAnsi="Arial" w:cs="Arial"/>
          <w:i/>
        </w:rPr>
        <w:t>–p 1e-100</w:t>
      </w:r>
      <w:r w:rsidRPr="00FB1ACA">
        <w:rPr>
          <w:rFonts w:ascii="Arial" w:eastAsia="MS Mincho" w:hAnsi="Arial" w:cs="Arial"/>
        </w:rPr>
        <w:t>.</w:t>
      </w:r>
    </w:p>
    <w:p w14:paraId="65D0C26E" w14:textId="77777777" w:rsidR="00FD7F6C" w:rsidRPr="00FB1ACA" w:rsidRDefault="00FD7F6C" w:rsidP="00FD7F6C">
      <w:pPr>
        <w:spacing w:after="120" w:line="360" w:lineRule="auto"/>
        <w:jc w:val="both"/>
        <w:rPr>
          <w:rFonts w:ascii="Arial" w:eastAsia="MS Mincho" w:hAnsi="Arial" w:cs="Arial"/>
        </w:rPr>
      </w:pPr>
      <w:r w:rsidRPr="00FB1ACA">
        <w:rPr>
          <w:rFonts w:ascii="Arial" w:eastAsia="MS Mincho" w:hAnsi="Arial" w:cs="Arial"/>
        </w:rPr>
        <w:t xml:space="preserve">When visualising the GABPA ChIP-seq datasets we noticed that sequencing reads were not only enriched in a localised manner, forming the narrow peaks typically seen in transcription factor ChIP-seq data, but also within broader domains whose boundaries coincided closely with the edges of transcribed genes, particularly those with high levels of transcription. For the purposes of this study, we restricted our analysis to localised sites of GABPA ChIP-seq enrichment. While the ‘dpeak’ peak-calling algorithm is designed to identify shorter enriched regions rather than larger domains, many of the focal “peaks” called using the parameters noted above were located within the broader GABPA enriched regions. In order to filter these out, we first identified genomic domains &gt;2000bp broadly enriched with GABPA using the DANPOS function ‘dregion’ with the options </w:t>
      </w:r>
      <w:r w:rsidRPr="00FB1ACA">
        <w:rPr>
          <w:rFonts w:ascii="Arial" w:hAnsi="Arial" w:cs="Arial"/>
          <w:i/>
        </w:rPr>
        <w:t xml:space="preserve">-m 1 -rd 1500 -rw 2000 </w:t>
      </w:r>
      <w:r w:rsidRPr="00FB1ACA">
        <w:rPr>
          <w:rFonts w:ascii="Arial" w:hAnsi="Arial" w:cs="Arial"/>
        </w:rPr>
        <w:t>and</w:t>
      </w:r>
      <w:r w:rsidRPr="00FB1ACA">
        <w:rPr>
          <w:rFonts w:ascii="Arial" w:hAnsi="Arial" w:cs="Arial"/>
          <w:i/>
        </w:rPr>
        <w:t xml:space="preserve"> -p 1e-50</w:t>
      </w:r>
      <w:r w:rsidRPr="00FB1ACA">
        <w:rPr>
          <w:rFonts w:ascii="Arial" w:eastAsia="MS Mincho" w:hAnsi="Arial" w:cs="Arial"/>
        </w:rPr>
        <w:t>. Subsequently, peaks called using dpeak (n = 10022) that overlapped with a called region were discarded unless they intersected a gene promoter (-1kb to 100bp around TSS). 4735 peaks remained, 74.7% contained a GABPA motif, compared to 56.9% before filtering.</w:t>
      </w:r>
    </w:p>
    <w:p w14:paraId="14BFD473" w14:textId="3DD8BC84" w:rsidR="00FD7F6C" w:rsidRPr="00FB1ACA" w:rsidRDefault="00FD7F6C" w:rsidP="00FD7F6C">
      <w:pPr>
        <w:spacing w:after="120" w:line="360" w:lineRule="auto"/>
        <w:jc w:val="both"/>
        <w:rPr>
          <w:rFonts w:ascii="Arial" w:eastAsia="MS Mincho" w:hAnsi="Arial" w:cs="Arial"/>
        </w:rPr>
      </w:pPr>
      <w:r w:rsidRPr="00FB1ACA">
        <w:rPr>
          <w:rFonts w:ascii="Arial" w:eastAsia="MS Mincho" w:hAnsi="Arial" w:cs="Arial"/>
        </w:rPr>
        <w:t>The R package DiffBind (Stark and Brown, 2011) was used to identify ChIP-seq peak regions with significant changes in enrichment between experimental conditions.</w:t>
      </w:r>
      <w:r w:rsidR="009704CC" w:rsidRPr="00FB1ACA">
        <w:rPr>
          <w:rFonts w:ascii="Arial" w:eastAsia="MS Mincho" w:hAnsi="Arial" w:cs="Arial"/>
        </w:rPr>
        <w:t xml:space="preserve"> Samples were normalised to (ChIP) reads per kilobase per million reads in library (RPKM, option bFullLibrarysize = TRUE) per RPKM of input sample; and significant changes were determined using the DBA_DESEQ2 method </w:t>
      </w:r>
      <w:r w:rsidRPr="00FB1ACA">
        <w:rPr>
          <w:rFonts w:ascii="Arial" w:eastAsia="MS Mincho" w:hAnsi="Arial" w:cs="Arial"/>
        </w:rPr>
        <w:t>applying a fold change cut-off of 4 and a p-value threshold of 10</w:t>
      </w:r>
      <w:r w:rsidRPr="00FB1ACA">
        <w:rPr>
          <w:rFonts w:ascii="Arial" w:eastAsia="MS Mincho" w:hAnsi="Arial" w:cs="Arial"/>
          <w:vertAlign w:val="superscript"/>
        </w:rPr>
        <w:t xml:space="preserve">-3 </w:t>
      </w:r>
      <w:r w:rsidRPr="00FB1ACA">
        <w:rPr>
          <w:rFonts w:ascii="Arial" w:eastAsia="MS Mincho" w:hAnsi="Arial" w:cs="Arial"/>
        </w:rPr>
        <w:t>after multiple-testing correction (Bonferroni correction).</w:t>
      </w:r>
      <w:r w:rsidR="007B5501" w:rsidRPr="00FB1ACA">
        <w:rPr>
          <w:rFonts w:ascii="Arial" w:eastAsia="MS Mincho" w:hAnsi="Arial" w:cs="Arial"/>
        </w:rPr>
        <w:t xml:space="preserve"> Figure M3</w:t>
      </w:r>
      <w:r w:rsidR="00BB5F47" w:rsidRPr="00FB1ACA">
        <w:rPr>
          <w:rFonts w:ascii="Arial" w:eastAsia="MS Mincho" w:hAnsi="Arial" w:cs="Arial"/>
        </w:rPr>
        <w:t xml:space="preserve"> provides validation that several regions identified as differentially enriched from our ChIP-seq data using the approach described above (but not other methods) can be identified as such using qPCR.</w:t>
      </w:r>
    </w:p>
    <w:p w14:paraId="6B73DA47" w14:textId="77777777" w:rsidR="009704CC" w:rsidRDefault="009704CC" w:rsidP="009704CC">
      <w:pPr>
        <w:spacing w:after="120" w:line="360" w:lineRule="auto"/>
        <w:jc w:val="both"/>
        <w:rPr>
          <w:rFonts w:ascii="Arial" w:eastAsia="MS Mincho" w:hAnsi="Arial" w:cs="Arial"/>
        </w:rPr>
      </w:pPr>
      <w:r>
        <w:rPr>
          <w:rFonts w:ascii="Arial" w:eastAsia="MS Mincho" w:hAnsi="Arial" w:cs="Arial"/>
          <w:noProof/>
          <w:lang w:val="en-US"/>
        </w:rPr>
        <w:lastRenderedPageBreak/>
        <w:drawing>
          <wp:inline distT="0" distB="0" distL="0" distR="0" wp14:anchorId="00620F48" wp14:editId="4CF0F7C0">
            <wp:extent cx="5731510" cy="3429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R6 fastqc GCcontent.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429635"/>
                    </a:xfrm>
                    <a:prstGeom prst="rect">
                      <a:avLst/>
                    </a:prstGeom>
                  </pic:spPr>
                </pic:pic>
              </a:graphicData>
            </a:graphic>
          </wp:inline>
        </w:drawing>
      </w:r>
    </w:p>
    <w:p w14:paraId="5689D29F" w14:textId="7650FCA8" w:rsidR="009704CC" w:rsidRDefault="009704CC" w:rsidP="009704CC">
      <w:pPr>
        <w:spacing w:after="120" w:line="360" w:lineRule="auto"/>
        <w:jc w:val="both"/>
        <w:rPr>
          <w:rFonts w:ascii="Arial" w:hAnsi="Arial" w:cs="Arial"/>
          <w:bCs/>
          <w:i/>
        </w:rPr>
      </w:pPr>
      <w:r w:rsidRPr="00B4249A">
        <w:rPr>
          <w:rFonts w:ascii="Arial" w:hAnsi="Arial" w:cs="Arial"/>
          <w:b/>
          <w:i/>
        </w:rPr>
        <w:t xml:space="preserve">Figure </w:t>
      </w:r>
      <w:r>
        <w:rPr>
          <w:rFonts w:ascii="Arial" w:hAnsi="Arial" w:cs="Arial"/>
          <w:b/>
          <w:i/>
        </w:rPr>
        <w:t xml:space="preserve">M2. </w:t>
      </w:r>
      <w:r w:rsidRPr="000A5168">
        <w:rPr>
          <w:rFonts w:ascii="Arial" w:hAnsi="Arial" w:cs="Arial"/>
          <w:bCs/>
          <w:i/>
        </w:rPr>
        <w:t>Average GC content for all sequencing reads. Fastqc and multiqc (Ewels et al. 2016) were used to generate these plots.</w:t>
      </w:r>
    </w:p>
    <w:p w14:paraId="1BF9B318" w14:textId="77777777" w:rsidR="00D74B57" w:rsidRPr="000A5168" w:rsidRDefault="00D74B57" w:rsidP="009704CC">
      <w:pPr>
        <w:spacing w:after="120" w:line="360" w:lineRule="auto"/>
        <w:jc w:val="both"/>
        <w:rPr>
          <w:rFonts w:ascii="Arial" w:eastAsia="MS Mincho" w:hAnsi="Arial" w:cs="Arial"/>
          <w:i/>
        </w:rPr>
      </w:pPr>
    </w:p>
    <w:p w14:paraId="1E45F521" w14:textId="3A0300A1" w:rsidR="00FD7F6C" w:rsidRDefault="00D74B57" w:rsidP="00FD7F6C">
      <w:pPr>
        <w:spacing w:after="120" w:line="360" w:lineRule="auto"/>
        <w:jc w:val="both"/>
        <w:rPr>
          <w:rFonts w:ascii="Arial" w:eastAsia="MS Mincho" w:hAnsi="Arial" w:cs="Arial"/>
        </w:rPr>
      </w:pPr>
      <w:r>
        <w:rPr>
          <w:rFonts w:ascii="Arial" w:eastAsia="MS Mincho" w:hAnsi="Arial" w:cs="Arial"/>
          <w:noProof/>
        </w:rPr>
        <w:drawing>
          <wp:inline distT="0" distB="0" distL="0" distR="0" wp14:anchorId="29D9B2C2" wp14:editId="1043062F">
            <wp:extent cx="4927600" cy="15367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27600" cy="1536700"/>
                    </a:xfrm>
                    <a:prstGeom prst="rect">
                      <a:avLst/>
                    </a:prstGeom>
                  </pic:spPr>
                </pic:pic>
              </a:graphicData>
            </a:graphic>
          </wp:inline>
        </w:drawing>
      </w:r>
    </w:p>
    <w:p w14:paraId="203BEA98" w14:textId="0E0505F8" w:rsidR="00D74B57" w:rsidRPr="00E57E10" w:rsidRDefault="00D74B57" w:rsidP="00FD7F6C">
      <w:pPr>
        <w:spacing w:after="120" w:line="360" w:lineRule="auto"/>
        <w:jc w:val="both"/>
        <w:rPr>
          <w:rFonts w:ascii="Arial" w:eastAsia="MS Mincho" w:hAnsi="Arial" w:cs="Arial"/>
        </w:rPr>
      </w:pPr>
      <w:r w:rsidRPr="000C5723">
        <w:rPr>
          <w:rFonts w:ascii="Arial" w:eastAsia="MS Mincho" w:hAnsi="Arial" w:cs="Arial"/>
          <w:b/>
          <w:bCs/>
        </w:rPr>
        <w:t>Figure M3.</w:t>
      </w:r>
      <w:r>
        <w:rPr>
          <w:rFonts w:ascii="Arial" w:eastAsia="MS Mincho" w:hAnsi="Arial" w:cs="Arial"/>
        </w:rPr>
        <w:t xml:space="preserve"> </w:t>
      </w:r>
      <w:r w:rsidR="005F56CC" w:rsidRPr="005F56CC">
        <w:rPr>
          <w:rFonts w:ascii="Arial" w:eastAsia="MS Mincho" w:hAnsi="Arial" w:cs="Arial"/>
        </w:rPr>
        <w:t>ChIP-qPCR performed for five loci (A-E, H-L) that we called as significantly differentially occupied between TSA- and mock-treated DNMT.TKO cells from our ChIP-seq data and two loci (F-G, M-N) that do not show any significant change in the ChIP-seq data. Enrichment values were calculated relative to the average of two background regions using the ΔCt method. Mean and SD of three biological replicates are shown, Student t-tests were used to determine significant differences: ns = non-significant (p-value &gt; 0.05).</w:t>
      </w:r>
    </w:p>
    <w:p w14:paraId="7CD9B30C" w14:textId="77777777" w:rsidR="00FD7F6C" w:rsidRPr="00E57E10" w:rsidRDefault="00FD7F6C" w:rsidP="00FD7F6C">
      <w:pPr>
        <w:spacing w:after="120" w:line="360" w:lineRule="auto"/>
        <w:jc w:val="both"/>
        <w:rPr>
          <w:rFonts w:ascii="Arial" w:eastAsia="MS Mincho" w:hAnsi="Arial" w:cs="Arial"/>
          <w:b/>
        </w:rPr>
      </w:pPr>
      <w:r w:rsidRPr="00E57E10">
        <w:rPr>
          <w:rFonts w:ascii="Arial" w:eastAsia="MS Mincho" w:hAnsi="Arial" w:cs="Arial"/>
          <w:b/>
        </w:rPr>
        <w:t>RNA-seq computational analysis</w:t>
      </w:r>
    </w:p>
    <w:p w14:paraId="46B6DF2D" w14:textId="39DFCB28" w:rsidR="00FD7F6C" w:rsidRDefault="00FD7F6C" w:rsidP="00FD7F6C">
      <w:pPr>
        <w:spacing w:after="120" w:line="360" w:lineRule="auto"/>
        <w:jc w:val="both"/>
        <w:rPr>
          <w:rFonts w:ascii="Arial" w:eastAsia="MS Mincho" w:hAnsi="Arial" w:cs="Arial"/>
        </w:rPr>
      </w:pPr>
      <w:r w:rsidRPr="00E57E10">
        <w:rPr>
          <w:rFonts w:ascii="Arial" w:eastAsia="MS Mincho" w:hAnsi="Arial" w:cs="Arial"/>
        </w:rPr>
        <w:t>RNA-seq 51</w:t>
      </w:r>
      <w:r>
        <w:rPr>
          <w:rFonts w:ascii="Arial" w:eastAsia="MS Mincho" w:hAnsi="Arial" w:cs="Arial"/>
        </w:rPr>
        <w:t xml:space="preserve"> </w:t>
      </w:r>
      <w:r w:rsidRPr="00E57E10">
        <w:rPr>
          <w:rFonts w:ascii="Arial" w:eastAsia="MS Mincho" w:hAnsi="Arial" w:cs="Arial"/>
        </w:rPr>
        <w:t xml:space="preserve">bp paired-end reads were aligned to the mouse mm10 genome using TopHat (v2.0.13) </w:t>
      </w:r>
      <w:r>
        <w:rPr>
          <w:rFonts w:ascii="Arial" w:eastAsia="MS Mincho" w:hAnsi="Arial" w:cs="Arial"/>
        </w:rPr>
        <w:fldChar w:fldCharType="begin"/>
      </w:r>
      <w:r w:rsidR="00FB1ACA">
        <w:rPr>
          <w:rFonts w:ascii="Arial" w:eastAsia="MS Mincho" w:hAnsi="Arial" w:cs="Arial"/>
        </w:rPr>
        <w:instrText xml:space="preserve"> ADDIN ZOTERO_ITEM CSL_CITATION {"citationID":"Xu5Ue5xk","properties":{"formattedCitation":"(Trapnell et al. 2009)","plainCitation":"(Trapnell et al. 2009)","noteIndex":0},"citationItems":[{"id":3505,"uris":["http://zotero.org/users/1612991/items/Q5LMRV6M"],"uri":["http://zotero.org/users/1612991/items/Q5LMRV6M"],"itemData":{"id":3505,"type":"article-journal","abstract":"Motivation: A new protocol for sequencing the messenger RNA in a cell, known as RNA-Seq, generates millions of short sequence fragments in a single run. These fragments, or ‘reads’, can be used to measure levels of gene expression and to identify novel splice variants of genes. However, current software for aligning RNA-Seq data to a genome relies on known splice junctions and cannot identify novel ones. TopHat is an efficient read-mapping algorithm designed to align reads from an RNA-Seq experiment to a reference genome without relying on known splice sites., Results: We mapped the RNA-Seq reads from a recent mammalian RNA-Seq experiment and recovered more than 72% of the splice junctions reported by the annotation-based software from that study, along with nearly 20 000 previously unreported junctions. The TopHat pipeline is much faster than previous systems, mapping nearly 2.2 million reads per CPU hour, which is sufficient to process an entire RNA-Seq experiment in less than a day on a standard desktop computer. We describe several challenges unique to ab initio splice site discovery from RNA-Seq reads that will require further algorithm development., Availability: TopHat is free, open-source software available from http://tophat.cbcb.umd.edu, Contact: cole@cs.umd.edu, Supplementary information: Supplementary data are available at Bioinformatics online.","container-title":"Bioinformatics","DOI":"10.1093/bioinformatics/btp120","ISSN":"1367-4803","issue":"9","journalAbbreviation":"Bioinformatics","note":"PMID: 19289445\nPMCID: PMC2672628","page":"1105-1111","source":"PubMed Central","title":"TopHat: discovering splice junctions with RNA-Seq","title-short":"TopHat","volume":"25","author":[{"family":"Trapnell","given":"Cole"},{"family":"Pachter","given":"Lior"},{"family":"Salzberg","given":"Steven L."}],"issued":{"date-parts":[["2009",5,1]]}}}],"schema":"https://github.com/citation-style-language/schema/raw/master/csl-citation.json"} </w:instrText>
      </w:r>
      <w:r>
        <w:rPr>
          <w:rFonts w:ascii="Arial" w:eastAsia="MS Mincho" w:hAnsi="Arial" w:cs="Arial"/>
        </w:rPr>
        <w:fldChar w:fldCharType="separate"/>
      </w:r>
      <w:r w:rsidR="00FB1ACA">
        <w:rPr>
          <w:rFonts w:ascii="Arial" w:hAnsi="Arial" w:cs="Arial"/>
        </w:rPr>
        <w:t>(Trapnell et al. 2009)</w:t>
      </w:r>
      <w:r>
        <w:rPr>
          <w:rFonts w:ascii="Arial" w:eastAsia="MS Mincho" w:hAnsi="Arial" w:cs="Arial"/>
        </w:rPr>
        <w:fldChar w:fldCharType="end"/>
      </w:r>
      <w:r w:rsidRPr="00E57E10">
        <w:rPr>
          <w:rFonts w:ascii="Arial" w:eastAsia="MS Mincho" w:hAnsi="Arial" w:cs="Arial"/>
        </w:rPr>
        <w:t xml:space="preserve"> with the </w:t>
      </w:r>
      <w:r w:rsidRPr="00E57E10">
        <w:rPr>
          <w:rFonts w:ascii="Arial" w:eastAsia="MS Mincho" w:hAnsi="Arial" w:cs="Arial"/>
          <w:i/>
        </w:rPr>
        <w:t>--library-type</w:t>
      </w:r>
      <w:r w:rsidRPr="00E57E10">
        <w:rPr>
          <w:rFonts w:ascii="Arial" w:eastAsia="MS Mincho" w:hAnsi="Arial" w:cs="Arial"/>
        </w:rPr>
        <w:t xml:space="preserve"> option </w:t>
      </w:r>
      <w:r w:rsidRPr="00E57E10">
        <w:rPr>
          <w:rFonts w:ascii="Arial" w:eastAsia="MS Mincho" w:hAnsi="Arial" w:cs="Arial"/>
          <w:i/>
        </w:rPr>
        <w:t>fr-firststrand</w:t>
      </w:r>
      <w:r w:rsidRPr="00E57E10">
        <w:rPr>
          <w:rFonts w:ascii="Arial" w:eastAsia="MS Mincho" w:hAnsi="Arial" w:cs="Arial"/>
        </w:rPr>
        <w:t xml:space="preserve">, </w:t>
      </w:r>
      <w:r w:rsidRPr="00E57E10">
        <w:rPr>
          <w:rFonts w:ascii="Arial" w:eastAsia="MS Mincho" w:hAnsi="Arial" w:cs="Arial"/>
          <w:i/>
        </w:rPr>
        <w:t>--mate-inner-dist</w:t>
      </w:r>
      <w:r w:rsidRPr="00E57E10">
        <w:rPr>
          <w:rFonts w:ascii="Arial" w:eastAsia="MS Mincho" w:hAnsi="Arial" w:cs="Arial"/>
        </w:rPr>
        <w:t xml:space="preserve"> set to </w:t>
      </w:r>
      <w:r w:rsidRPr="00E57E10">
        <w:rPr>
          <w:rFonts w:ascii="Arial" w:eastAsia="MS Mincho" w:hAnsi="Arial" w:cs="Arial"/>
          <w:i/>
        </w:rPr>
        <w:t>100</w:t>
      </w:r>
      <w:r w:rsidRPr="00E57E10">
        <w:rPr>
          <w:rFonts w:ascii="Arial" w:eastAsia="MS Mincho" w:hAnsi="Arial" w:cs="Arial"/>
        </w:rPr>
        <w:t xml:space="preserve"> and coverage based searching for junctions disabled</w:t>
      </w:r>
      <w:r w:rsidR="009C347A">
        <w:rPr>
          <w:rFonts w:ascii="Arial" w:eastAsia="MS Mincho" w:hAnsi="Arial" w:cs="Arial"/>
        </w:rPr>
        <w:t xml:space="preserve"> (</w:t>
      </w:r>
      <w:r w:rsidR="009C347A" w:rsidRPr="00BA50C7">
        <w:rPr>
          <w:rFonts w:ascii="Arial" w:eastAsia="MS Mincho" w:hAnsi="Arial" w:cs="Arial"/>
          <w:color w:val="4472C4" w:themeColor="accent1"/>
        </w:rPr>
        <w:t>Table S1</w:t>
      </w:r>
      <w:r w:rsidR="009C347A">
        <w:rPr>
          <w:rFonts w:ascii="Arial" w:eastAsia="MS Mincho" w:hAnsi="Arial" w:cs="Arial"/>
        </w:rPr>
        <w:t>)</w:t>
      </w:r>
      <w:r w:rsidRPr="00E57E10">
        <w:rPr>
          <w:rFonts w:ascii="Arial" w:eastAsia="MS Mincho" w:hAnsi="Arial" w:cs="Arial"/>
        </w:rPr>
        <w:t>. FeatureCounts v1.4.5-</w:t>
      </w:r>
      <w:r w:rsidRPr="00E57E10">
        <w:rPr>
          <w:rFonts w:ascii="Arial" w:eastAsia="MS Mincho" w:hAnsi="Arial" w:cs="Arial"/>
        </w:rPr>
        <w:lastRenderedPageBreak/>
        <w:t xml:space="preserve">p1 </w:t>
      </w:r>
      <w:r>
        <w:rPr>
          <w:rFonts w:ascii="Arial" w:eastAsia="MS Mincho" w:hAnsi="Arial" w:cs="Arial"/>
        </w:rPr>
        <w:fldChar w:fldCharType="begin"/>
      </w:r>
      <w:r w:rsidR="00FB1ACA">
        <w:rPr>
          <w:rFonts w:ascii="Arial" w:eastAsia="MS Mincho" w:hAnsi="Arial" w:cs="Arial"/>
        </w:rPr>
        <w:instrText xml:space="preserve"> ADDIN ZOTERO_ITEM CSL_CITATION {"citationID":"KQbIxu65","properties":{"formattedCitation":"(Liao et al. 2014)","plainCitation":"(Liao et al. 2014)","noteIndex":0},"citationItems":[{"id":3511,"uris":["http://zotero.org/users/1612991/items/GW5M4JMW"],"uri":["http://zotero.org/users/1612991/items/GW5M4JMW"],"itemData":{"id":3511,"type":"article-journal","abstract":"MOTIVATION: Next-generation sequencing technologies generate millions of short sequence reads, which are usually aligned to a reference genome. In many applications, the key information required for downstream analysis is the number of reads mapping to each genomic feature, for example to each exon or each gene. The process of counting reads is called read summarization. Read summarization is required for a great variety of genomic analyses but has so far received relatively little attention in the literature.\nRESULTS: We present featureCounts, a read summarization program suitable for counting reads generated from either RNA or genomic DNA sequencing experiments. featureCounts implements highly efficient chromosome hashing and feature blocking techniques. It is considerably faster than existing methods (by an order of magnitude for gene-level summarization) and requires far less computer memory. It works with either single or paired-end reads and provides a wide range of options appropriate for different sequencing applications.\nAVAILABILITY AND IMPLEMENTATION: featureCounts is available under GNU General Public License as part of the Subread (http://subread.sourceforge.net) or Rsubread (http://www.bioconductor.org) software packages.","container-title":"Bioinformatics (Oxford, England)","DOI":"10.1093/bioinformatics/btt656","ISSN":"1367-4811","issue":"7","journalAbbreviation":"Bioinformatics","language":"eng","note":"PMID: 24227677","page":"923-930","source":"PubMed","title":"featureCounts: an efficient general purpose program for assigning sequence reads to genomic features","title-short":"featureCounts","volume":"30","author":[{"family":"Liao","given":"Yang"},{"family":"Smyth","given":"Gordon K."},{"family":"Shi","given":"Wei"}],"issued":{"date-parts":[["2014",4,1]]}}}],"schema":"https://github.com/citation-style-language/schema/raw/master/csl-citation.json"} </w:instrText>
      </w:r>
      <w:r>
        <w:rPr>
          <w:rFonts w:ascii="Arial" w:eastAsia="MS Mincho" w:hAnsi="Arial" w:cs="Arial"/>
        </w:rPr>
        <w:fldChar w:fldCharType="separate"/>
      </w:r>
      <w:r w:rsidR="00FB1ACA">
        <w:rPr>
          <w:rFonts w:ascii="Arial" w:hAnsi="Arial" w:cs="Arial"/>
        </w:rPr>
        <w:t>(Liao et al. 2014)</w:t>
      </w:r>
      <w:r>
        <w:rPr>
          <w:rFonts w:ascii="Arial" w:eastAsia="MS Mincho" w:hAnsi="Arial" w:cs="Arial"/>
        </w:rPr>
        <w:fldChar w:fldCharType="end"/>
      </w:r>
      <w:r w:rsidRPr="00E57E10">
        <w:rPr>
          <w:rFonts w:ascii="Arial" w:eastAsia="MS Mincho" w:hAnsi="Arial" w:cs="Arial"/>
        </w:rPr>
        <w:t xml:space="preserve"> was used to count aligned RNA-seq reads that mapped to the exons of annotated genes. Read counting was strand specific (option </w:t>
      </w:r>
      <w:r w:rsidRPr="00E57E10">
        <w:rPr>
          <w:rFonts w:ascii="Arial" w:eastAsia="MS Mincho" w:hAnsi="Arial" w:cs="Arial"/>
          <w:i/>
        </w:rPr>
        <w:t>-s</w:t>
      </w:r>
      <w:r w:rsidRPr="00E57E10">
        <w:rPr>
          <w:rFonts w:ascii="Arial" w:eastAsia="MS Mincho" w:hAnsi="Arial" w:cs="Arial"/>
        </w:rPr>
        <w:t xml:space="preserve"> set to 2).</w:t>
      </w:r>
      <w:r w:rsidRPr="00E57E10">
        <w:rPr>
          <w:rFonts w:ascii="Arial" w:hAnsi="Arial" w:cs="Arial"/>
        </w:rPr>
        <w:t xml:space="preserve"> </w:t>
      </w:r>
      <w:r w:rsidRPr="00E57E10">
        <w:rPr>
          <w:rFonts w:ascii="Arial" w:eastAsia="MS Mincho" w:hAnsi="Arial" w:cs="Arial"/>
        </w:rPr>
        <w:t xml:space="preserve">Reads with a mapping quality below 1 were excluded. Differential analysis was performed using the R package edgeR </w:t>
      </w:r>
      <w:r>
        <w:rPr>
          <w:rFonts w:ascii="Arial" w:eastAsia="MS Mincho" w:hAnsi="Arial" w:cs="Arial"/>
        </w:rPr>
        <w:fldChar w:fldCharType="begin"/>
      </w:r>
      <w:r w:rsidR="00FB1ACA">
        <w:rPr>
          <w:rFonts w:ascii="Arial" w:eastAsia="MS Mincho" w:hAnsi="Arial" w:cs="Arial"/>
        </w:rPr>
        <w:instrText xml:space="preserve"> ADDIN ZOTERO_ITEM CSL_CITATION {"citationID":"F2UrsZUn","properties":{"formattedCitation":"(McCarthy et al., 2012; Robinson et al., 2010)","plainCitation":"(McCarthy et al., 2012; Robinson et al., 2010)","dontUpdate":true,"noteIndex":0},"citationItems":[{"id":3516,"uris":["http://zotero.org/users/1612991/items/KFLVS99Q"],"uri":["http://zotero.org/users/1612991/items/KFLVS99Q"],"itemData":{"id":3516,"type":"article-journal","abstract":"A flexible statistical framework is developed for the analysis of read counts from RNA-Seq gene expression studies. It provides the ability to analyse complex experiments involving multiple treatment conditions and blocking variables while still taking full account of biological variation. Biological variation between RNA samples is estimated separately from the technical variation associated with sequencing technologies. Novel empirical Bayes methods allow each gene to have its own specific variability, even when there are relatively few biological replicates from which to estimate such variability. The pipeline is implemented in the edgeR package of the Bioconductor project. A case study analysis of carcinoma data demonstrates the ability of generalized linear model methods (GLMs) to detect differential expression in a paired design, and even to detect tumour-specific expression changes. The case study demonstrates the need to allow for gene-specific variability, rather than assuming a common dispersion across genes or a fixed relationship between abundance and variability. Genewise dispersions de-prioritize genes with inconsistent results and allow the main analysis to focus on changes that are consistent between biological replicates. Parallel computational approaches are developed to make non-linear model fitting faster and more reliable, making the application of GLMs to genomic data more convenient and practical. Simulations demonstrate the ability of adjusted profile likelihood estimators to return accurate estimators of biological variability in complex situations. When variation is gene-specific, empirical Bayes estimators provide an advantageous compromise between the extremes of assuming common dispersion or separate genewise dispersion. The methods developed here can also be applied to count data arising from DNA-Seq applications, including ChIP-Seq for epigenetic marks and DNA methylation analyses.","container-title":"Nucleic Acids Research","DOI":"10.1093/nar/gks042","ISSN":"0305-1048","issue":"10","journalAbbreviation":"Nucleic Acids Res","note":"PMID: 22287627\nPMCID: PMC3378882","page":"4288-4297","source":"PubMed Central","title":"Differential expression analysis of multifactor RNA-Seq experiments with respect to biological variation","volume":"40","author":[{"family":"McCarthy","given":"Davis J."},{"family":"Chen","given":"Yunshun"},{"family":"Smyth","given":"Gordon K."}],"issued":{"date-parts":[["2012",5]]}}},{"id":3513,"uris":["http://zotero.org/users/1612991/items/QW36S2QI"],"uri":["http://zotero.org/users/1612991/items/QW36S2QI"],"itemData":{"id":3513,"type":"article-journal","abstract":"Summary: It is expected that emerging digital gene expression (DGE) technologies will overtake microarray technologies in the near future for many functional genomics applications. One of the fundamental data analysis tasks, especially for gene expression studies, involves determining whether there is evidence that counts for a transcript or exon are significantly different across experimental conditions. edgeR is a Bioconductor software package for examining differential expression of replicated count data. An overdispersed Poisson model is used to account for both biological and technical variability. Empirical Bayes methods are used to moderate the degree of overdispersion across transcripts, improving the reliability of inference. The methodology can be used even with the most minimal levels of replication, provided at least one phenotype or experimental condition is replicated. The software may have other applications beyond sequencing data, such as proteome peptide count data., Availability: The package is freely available under the LGPL licence from the Bioconductor web site (http://bioconductor.org)., Contact: mrobinson@wehi.edu.au","container-title":"Bioinformatics","DOI":"10.1093/bioinformatics/btp616","ISSN":"1367-4803","issue":"1","journalAbbreviation":"Bioinformatics","note":"PMID: 19910308\nPMCID: PMC2796818","page":"139-140","source":"PubMed Central","title":"edgeR: a Bioconductor package for differential expression analysis of digital gene expression data","title-short":"edgeR","volume":"26","author":[{"family":"Robinson","given":"Mark D."},{"family":"McCarthy","given":"Davis J."},{"family":"Smyth","given":"Gordon K."}],"issued":{"date-parts":[["2010",1,1]]}}}],"schema":"https://github.com/citation-style-language/schema/raw/master/csl-citation.json"} </w:instrText>
      </w:r>
      <w:r>
        <w:rPr>
          <w:rFonts w:ascii="Arial" w:eastAsia="MS Mincho" w:hAnsi="Arial" w:cs="Arial"/>
        </w:rPr>
        <w:fldChar w:fldCharType="separate"/>
      </w:r>
      <w:r w:rsidRPr="0007138C">
        <w:rPr>
          <w:rFonts w:ascii="Arial" w:hAnsi="Arial" w:cs="Arial"/>
        </w:rPr>
        <w:t>(</w:t>
      </w:r>
      <w:r>
        <w:rPr>
          <w:rFonts w:ascii="Arial" w:hAnsi="Arial" w:cs="Arial"/>
        </w:rPr>
        <w:t xml:space="preserve">v3.22.3, </w:t>
      </w:r>
      <w:r w:rsidRPr="0007138C">
        <w:rPr>
          <w:rFonts w:ascii="Arial" w:hAnsi="Arial" w:cs="Arial"/>
        </w:rPr>
        <w:t>McCarthy et al., 2012; Robinson et al., 2010)</w:t>
      </w:r>
      <w:r>
        <w:rPr>
          <w:rFonts w:ascii="Arial" w:eastAsia="MS Mincho" w:hAnsi="Arial" w:cs="Arial"/>
        </w:rPr>
        <w:fldChar w:fldCharType="end"/>
      </w:r>
      <w:r w:rsidRPr="00E57E10">
        <w:rPr>
          <w:rFonts w:ascii="Arial" w:eastAsia="MS Mincho" w:hAnsi="Arial" w:cs="Arial"/>
        </w:rPr>
        <w:t xml:space="preserve"> with raw read counts supplied as input. Genes with a low level of expression in all samples were filtered out using a counts per million (cpm) threshold of 1. The generalized linear model (GLM) likelihood test was used to determine differential expression between multiple groups of biological replicate samples. Genes or transcripts were considered as significantly differentially expressed if they had a p-value &lt; 10</w:t>
      </w:r>
      <w:r w:rsidRPr="00E57E10">
        <w:rPr>
          <w:rFonts w:ascii="Arial" w:eastAsia="MS Mincho" w:hAnsi="Arial" w:cs="Arial"/>
          <w:vertAlign w:val="superscript"/>
        </w:rPr>
        <w:t>-5</w:t>
      </w:r>
      <w:r w:rsidRPr="00E57E10">
        <w:rPr>
          <w:rFonts w:ascii="Arial" w:eastAsia="MS Mincho" w:hAnsi="Arial" w:cs="Arial"/>
        </w:rPr>
        <w:t xml:space="preserve"> after adjusting for multiple comparisons using the Benjamini and Hochberg procedure.</w:t>
      </w:r>
      <w:r w:rsidRPr="0090588C">
        <w:rPr>
          <w:rFonts w:ascii="Arial" w:eastAsia="MS Mincho" w:hAnsi="Arial" w:cs="Arial"/>
        </w:rPr>
        <w:t xml:space="preserve"> </w:t>
      </w:r>
      <w:r>
        <w:rPr>
          <w:rFonts w:ascii="Arial" w:eastAsia="MS Mincho" w:hAnsi="Arial" w:cs="Arial"/>
        </w:rPr>
        <w:t>Strand</w:t>
      </w:r>
      <w:r w:rsidRPr="00FB1ACA">
        <w:rPr>
          <w:rFonts w:ascii="Arial" w:eastAsia="MS Mincho" w:hAnsi="Arial" w:cs="Arial"/>
        </w:rPr>
        <w:t>-specific b</w:t>
      </w:r>
      <w:r w:rsidRPr="00FB1ACA">
        <w:rPr>
          <w:rFonts w:ascii="Arial" w:eastAsia="Calibri" w:hAnsi="Arial" w:cs="Arial"/>
        </w:rPr>
        <w:t xml:space="preserve">igWig coverage files were generated </w:t>
      </w:r>
      <w:r w:rsidRPr="00FB1ACA">
        <w:rPr>
          <w:rFonts w:ascii="Arial" w:eastAsia="MS Mincho" w:hAnsi="Arial" w:cs="Arial"/>
        </w:rPr>
        <w:t xml:space="preserve">using the Deeptools </w:t>
      </w:r>
      <w:r w:rsidR="00FB1ACA" w:rsidRPr="00FB1ACA">
        <w:rPr>
          <w:rFonts w:ascii="Arial" w:hAnsi="Arial" w:cs="Arial"/>
        </w:rPr>
        <w:t>(Ramírez et al. 2016)</w:t>
      </w:r>
      <w:r w:rsidRPr="00FB1ACA">
        <w:rPr>
          <w:rFonts w:ascii="Arial" w:eastAsia="MS Mincho" w:hAnsi="Arial" w:cs="Arial"/>
        </w:rPr>
        <w:fldChar w:fldCharType="begin"/>
      </w:r>
      <w:r w:rsidR="00FB1ACA" w:rsidRPr="00FB1ACA">
        <w:rPr>
          <w:rFonts w:ascii="Arial" w:eastAsia="MS Mincho" w:hAnsi="Arial" w:cs="Arial"/>
        </w:rPr>
        <w:instrText xml:space="preserve"> ADDIN ZOTERO_ITEM CSL_CITATION {"citationID":"JIdWN8r1","properties":{"formattedCitation":"(Ram\\uc0\\u237{}rez et al. 2016)","plainCitation":"","noteIndex":0},"citationItems":[{"id":3499,"uris":["http://zotero.org/users/1612991/items/RA4UH39T"],"uri":["http://zotero.org/users/1612991/items/RA4UH39T"],"itemData":{"id":3499,"type":"article-journal","abstract":"We present an update to our Galaxy-based web server for processing and visualizing deeply sequenced data. Its core tool set, deepTools, allows users to perform complete bioinformatic workflows ranging from quality controls and normalizations of aligned reads to integrative analyses, including clustering and visualization approaches. Since we first described our deepTools Galaxy server in 2014, we have implemented new solutions for many requests from the community and our users. Here, we introduce significant enhancements and new tools to further improve data visualization and interpretation. deepTools continue to be open to all users and freely available as a web service at deeptools.ie-freiburg.mpg.de. The new deepTools2 suite can be easily deployed within any Galaxy framework via the toolshed repository, and we also provide source code for command line usage under Linux and Mac OS X. A public and documented API for access to deepTools functionality is also available.","container-title":"Nucleic Acids Research","DOI":"10.1093/nar/gkw257","ISSN":"0305-1048","issue":"Web Server issue","journalAbbreviation":"Nucleic Acids Res","note":"PMID: 27079975\nPMCID: PMC4987876","page":"W160-W165","source":"PubMed Central","title":"deepTools2: a next generation web server for deep-sequencing data analysis","title-short":"deepTools2","volume":"44","author":[{"family":"Ramírez","given":"Fidel"},{"family":"Ryan","given":"Devon P"},{"family":"Grüning","given":"Björn"},{"family":"Bhardwaj","given":"Vivek"},{"family":"Kilpert","given":"Fabian"},{"family":"Richter","given":"Andreas S"},{"family":"Heyne","given":"Steffen"},{"family":"Dündar","given":"Friederike"},{"family":"Manke","given":"Thomas"}],"issued":{"date-parts":[["2016",7,8]]}}}],"schema":"https://github.com/citation-style-language/schema/raw/master/csl-citation.json"} </w:instrText>
      </w:r>
      <w:r w:rsidRPr="00FB1ACA">
        <w:rPr>
          <w:rFonts w:ascii="Arial" w:eastAsia="MS Mincho" w:hAnsi="Arial" w:cs="Arial"/>
        </w:rPr>
        <w:fldChar w:fldCharType="end"/>
      </w:r>
      <w:r w:rsidRPr="00FB1ACA">
        <w:rPr>
          <w:rFonts w:ascii="Arial" w:eastAsia="MS Mincho" w:hAnsi="Arial" w:cs="Arial"/>
        </w:rPr>
        <w:t xml:space="preserve"> function ‘bamCoverage’</w:t>
      </w:r>
      <w:r>
        <w:rPr>
          <w:rFonts w:ascii="Arial" w:eastAsia="MS Mincho" w:hAnsi="Arial" w:cs="Arial"/>
        </w:rPr>
        <w:t xml:space="preserve"> (v2.4.2)</w:t>
      </w:r>
      <w:r w:rsidRPr="00E57E10">
        <w:rPr>
          <w:rFonts w:ascii="Arial" w:eastAsia="MS Mincho" w:hAnsi="Arial" w:cs="Arial"/>
        </w:rPr>
        <w:t xml:space="preserve"> with the options </w:t>
      </w:r>
      <w:r>
        <w:rPr>
          <w:rFonts w:ascii="Arial" w:eastAsia="MS Mincho" w:hAnsi="Arial" w:cs="Arial"/>
          <w:i/>
        </w:rPr>
        <w:t>–-normalizeUsingRPKM, --filterRNAstrand</w:t>
      </w:r>
      <w:r w:rsidRPr="00E57E10">
        <w:rPr>
          <w:rFonts w:ascii="Arial" w:eastAsia="MS Mincho" w:hAnsi="Arial" w:cs="Arial"/>
        </w:rPr>
        <w:t xml:space="preserve"> and </w:t>
      </w:r>
      <w:r w:rsidRPr="00E57E10">
        <w:rPr>
          <w:rFonts w:ascii="Arial" w:eastAsia="MS Mincho" w:hAnsi="Arial" w:cs="Arial"/>
          <w:i/>
        </w:rPr>
        <w:t xml:space="preserve">–bs </w:t>
      </w:r>
      <w:r>
        <w:rPr>
          <w:rFonts w:ascii="Arial" w:eastAsia="MS Mincho" w:hAnsi="Arial" w:cs="Arial"/>
          <w:i/>
        </w:rPr>
        <w:t>1.</w:t>
      </w:r>
      <w:r w:rsidR="0085025B">
        <w:rPr>
          <w:rFonts w:ascii="Arial" w:eastAsia="MS Mincho" w:hAnsi="Arial" w:cs="Arial"/>
          <w:i/>
        </w:rPr>
        <w:t xml:space="preserve"> </w:t>
      </w:r>
      <w:r w:rsidR="0085025B">
        <w:rPr>
          <w:rFonts w:ascii="Arial" w:eastAsia="MS Mincho" w:hAnsi="Arial" w:cs="Arial"/>
        </w:rPr>
        <w:t>The coverage graphs that we displayed were generated after merging alignments from replicate samples.</w:t>
      </w:r>
    </w:p>
    <w:p w14:paraId="709C9916" w14:textId="0B23F4F9" w:rsidR="00FD7F6C" w:rsidRDefault="00FD7F6C" w:rsidP="00FD7F6C">
      <w:pPr>
        <w:spacing w:after="120" w:line="360" w:lineRule="auto"/>
        <w:jc w:val="both"/>
        <w:rPr>
          <w:rFonts w:ascii="Arial" w:eastAsia="MS Mincho" w:hAnsi="Arial" w:cs="Arial"/>
        </w:rPr>
      </w:pPr>
      <w:r>
        <w:rPr>
          <w:rFonts w:ascii="Arial" w:eastAsia="MS Mincho" w:hAnsi="Arial" w:cs="Arial"/>
        </w:rPr>
        <w:t xml:space="preserve">The enrichment analysis of genes with tissue specificity was performed using the DAVID functional annotation tool (version 6.8, </w:t>
      </w:r>
      <w:r>
        <w:rPr>
          <w:rFonts w:ascii="Arial" w:eastAsia="MS Mincho" w:hAnsi="Arial" w:cs="Arial"/>
        </w:rPr>
        <w:fldChar w:fldCharType="begin"/>
      </w:r>
      <w:r w:rsidR="00FB1ACA">
        <w:rPr>
          <w:rFonts w:ascii="Arial" w:eastAsia="MS Mincho" w:hAnsi="Arial" w:cs="Arial"/>
        </w:rPr>
        <w:instrText xml:space="preserve"> ADDIN ZOTERO_ITEM CSL_CITATION {"citationID":"ZXGOJbjh","properties":{"formattedCitation":"(Huang et al., 2009a, 2009b)","plainCitation":"(Huang et al., 2009a, 2009b)","dontUpdate":true,"noteIndex":0},"citationItems":[{"id":4883,"uris":["http://zotero.org/users/1612991/items/FVPX7IR4"],"uri":["http://zotero.org/users/1612991/items/FVPX7IR4"],"itemData":{"id":4883,"type":"article-journal","abstract":"Functional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interests.","container-title":"Nucleic Acids Research","DOI":"10.1093/nar/gkn923","ISSN":"1362-4962","issue":"1","journalAbbreviation":"Nucleic Acids Res.","language":"eng","note":"PMID: 19033363\nPMCID: PMC2615629","page":"1-13","source":"PubMed","title":"Bioinformatics enrichment tools: paths toward the comprehensive functional analysis of large gene lists","title-short":"Bioinformatics enrichment tools","volume":"37","author":[{"family":"Huang","given":"Da Wei"},{"family":"Sherman","given":"Brad T."},{"family":"Lempicki","given":"Richard A."}],"issued":{"date-parts":[["2009",1]]}}},{"id":4884,"uris":["http://zotero.org/users/1612991/items/CFUNBCMW"],"uri":["http://zotero.org/users/1612991/items/CFUNBCMW"],"itemData":{"id":4884,"type":"article-journal","abstract":"DAVID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studies.","container-title":"Nature Protocols","DOI":"10.1038/nprot.2008.211","ISSN":"1750-2799","issue":"1","journalAbbreviation":"Nat Protoc","language":"eng","note":"PMID: 19131956","page":"44-57","source":"PubMed","title":"Systematic and integrative analysis of large gene lists using DAVID bioinformatics resources","volume":"4","author":[{"family":"Huang","given":"Da Wei"},{"family":"Sherman","given":"Brad T."},{"family":"Lempicki","given":"Richard A."}],"issued":{"date-parts":[["2009"]]}}}],"schema":"https://github.com/citation-style-language/schema/raw/master/csl-citation.json"} </w:instrText>
      </w:r>
      <w:r>
        <w:rPr>
          <w:rFonts w:ascii="Arial" w:eastAsia="MS Mincho" w:hAnsi="Arial" w:cs="Arial"/>
        </w:rPr>
        <w:fldChar w:fldCharType="separate"/>
      </w:r>
      <w:r w:rsidRPr="0007138C">
        <w:rPr>
          <w:rFonts w:ascii="Arial" w:hAnsi="Arial" w:cs="Arial"/>
        </w:rPr>
        <w:t>Huang et al., 2009a, 2009b)</w:t>
      </w:r>
      <w:r>
        <w:rPr>
          <w:rFonts w:ascii="Arial" w:eastAsia="MS Mincho" w:hAnsi="Arial" w:cs="Arial"/>
        </w:rPr>
        <w:fldChar w:fldCharType="end"/>
      </w:r>
      <w:r>
        <w:rPr>
          <w:rFonts w:ascii="Arial" w:eastAsia="MS Mincho" w:hAnsi="Arial" w:cs="Arial"/>
        </w:rPr>
        <w:t>. A functional annotation chart based on the Uniprot UP_TISSUE annotation was reported using default options.</w:t>
      </w:r>
      <w:r w:rsidRPr="00E57E10" w:rsidDel="00711DF3">
        <w:rPr>
          <w:rFonts w:ascii="Arial" w:eastAsia="MS Mincho" w:hAnsi="Arial" w:cs="Arial"/>
        </w:rPr>
        <w:t xml:space="preserve"> </w:t>
      </w:r>
    </w:p>
    <w:p w14:paraId="42A9D5BB" w14:textId="77777777" w:rsidR="00FD7F6C" w:rsidRPr="00E57E10" w:rsidRDefault="00FD7F6C" w:rsidP="00FD7F6C">
      <w:pPr>
        <w:spacing w:after="120" w:line="360" w:lineRule="auto"/>
        <w:jc w:val="both"/>
        <w:rPr>
          <w:rFonts w:ascii="Arial" w:eastAsia="MS Mincho" w:hAnsi="Arial" w:cs="Arial"/>
        </w:rPr>
      </w:pPr>
    </w:p>
    <w:p w14:paraId="087940C7" w14:textId="77777777" w:rsidR="00FD7F6C" w:rsidRPr="00E57E10" w:rsidRDefault="00FD7F6C" w:rsidP="00FD7F6C">
      <w:pPr>
        <w:pStyle w:val="ThesisHeading3"/>
        <w:spacing w:after="120" w:line="360" w:lineRule="auto"/>
        <w:rPr>
          <w:rFonts w:ascii="Arial" w:hAnsi="Arial" w:cs="Arial"/>
          <w:sz w:val="22"/>
        </w:rPr>
      </w:pPr>
      <w:r w:rsidRPr="00E57E10">
        <w:rPr>
          <w:rFonts w:ascii="Arial" w:hAnsi="Arial" w:cs="Arial"/>
          <w:sz w:val="22"/>
        </w:rPr>
        <w:t>Quantification of reads mapping to repetitive genomic features and differential analysis.</w:t>
      </w:r>
    </w:p>
    <w:p w14:paraId="33949656" w14:textId="35504A5D" w:rsidR="00FD7F6C" w:rsidRPr="00E57E10" w:rsidRDefault="00FD7F6C" w:rsidP="00FD7F6C">
      <w:pPr>
        <w:spacing w:after="120" w:line="360" w:lineRule="auto"/>
        <w:jc w:val="both"/>
        <w:rPr>
          <w:rFonts w:ascii="Arial" w:eastAsia="MS Mincho" w:hAnsi="Arial" w:cs="Arial"/>
        </w:rPr>
      </w:pPr>
      <w:r w:rsidRPr="00E57E10">
        <w:rPr>
          <w:rFonts w:ascii="Arial" w:eastAsia="MS Mincho" w:hAnsi="Arial" w:cs="Arial"/>
        </w:rPr>
        <w:t>For individual ATAC-seq, ChIP-seq or RNA-seq sample, total read counts for every type of repetitive element were generated using a custom script</w:t>
      </w:r>
      <w:r>
        <w:rPr>
          <w:rFonts w:ascii="Arial" w:eastAsia="MS Mincho" w:hAnsi="Arial" w:cs="Arial"/>
        </w:rPr>
        <w:t>, as detailed below</w:t>
      </w:r>
      <w:r w:rsidRPr="00DC5373">
        <w:rPr>
          <w:rFonts w:ascii="Arial" w:eastAsia="MS Mincho" w:hAnsi="Arial" w:cs="Arial"/>
        </w:rPr>
        <w:t>.</w:t>
      </w:r>
      <w:r w:rsidRPr="00E57E10">
        <w:rPr>
          <w:rFonts w:ascii="Arial" w:eastAsia="MS Mincho" w:hAnsi="Arial" w:cs="Arial"/>
        </w:rPr>
        <w:t xml:space="preserve"> All bowtie2 alignments, including those ascribed to multi-mapping reads, were taken into account. The position and annotation of interspersed repeats and low complexity DNA sequences in the mm10 genome was obtained from UCSC (created using RepeatMasker, from the RepBase library of repetitive elements </w:t>
      </w:r>
      <w:r>
        <w:rPr>
          <w:rFonts w:ascii="Arial" w:eastAsia="MS Mincho" w:hAnsi="Arial" w:cs="Arial"/>
        </w:rPr>
        <w:fldChar w:fldCharType="begin"/>
      </w:r>
      <w:r w:rsidR="00FB1ACA">
        <w:rPr>
          <w:rFonts w:ascii="Arial" w:eastAsia="MS Mincho" w:hAnsi="Arial" w:cs="Arial"/>
        </w:rPr>
        <w:instrText xml:space="preserve"> ADDIN ZOTERO_ITEM CSL_CITATION {"citationID":"lNFNtJ5M","properties":{"formattedCitation":"(Jurka et al. 2005)","plainCitation":"(Jurka et al. 2005)","noteIndex":0},"citationItems":[{"id":1257,"uris":["http://zotero.org/users/1612991/items/SI33HVPB"],"uri":["http://zotero.org/users/1612991/items/SI33HVPB"],"itemData":{"id":1257,"type":"article-journal","abstract":"Repbase Update is a comprehensive database of repetitive elements from diverse eukaryotic organisms. Currently, it contains over 3600 annotated sequences representing different families and subfamilies of repeats, many of which are unreported anywhere else. Each sequence is accompanied by a short description and references to the original contributors. Repbase Update includes Repbase Reports, an electronic journal publishing newly discovered transposable elements, and the Transposon Pub, a web-based browser of selected chromosomal maps of transposable elements. Sequences from Repbase Update are used to screen and annotate repetitive elements using programs such as Censor and RepeatMasker. Repbase Update is available on the worldwide web at http://www.girinst.org/Repbase_Update.html.","container-title":"Cytogenetic and Genome Research","DOI":"10.1159/000084979","ISSN":"1424-859X","issue":"1-4","journalAbbreviation":"Cytogenet. Genome Res.","language":"eng","note":"PMID: 16093699","page":"462-467","source":"NCBI PubMed","title":"Repbase Update, a database of eukaryotic repetitive elements","volume":"110","author":[{"family":"Jurka","given":"J."},{"family":"Kapitonov","given":"V. V."},{"family":"Pavlicek","given":"A."},{"family":"Klonowski","given":"P."},{"family":"Kohany","given":"O."},{"family":"Walichiewicz","given":"J."}],"issued":{"date-parts":[["2005"]]}}}],"schema":"https://github.com/citation-style-language/schema/raw/master/csl-citation.json"} </w:instrText>
      </w:r>
      <w:r>
        <w:rPr>
          <w:rFonts w:ascii="Arial" w:eastAsia="MS Mincho" w:hAnsi="Arial" w:cs="Arial"/>
        </w:rPr>
        <w:fldChar w:fldCharType="separate"/>
      </w:r>
      <w:r w:rsidR="00FB1ACA">
        <w:rPr>
          <w:rFonts w:ascii="Arial" w:hAnsi="Arial" w:cs="Arial"/>
        </w:rPr>
        <w:t>(Jurka et al. 2005)</w:t>
      </w:r>
      <w:r>
        <w:rPr>
          <w:rFonts w:ascii="Arial" w:eastAsia="MS Mincho" w:hAnsi="Arial" w:cs="Arial"/>
        </w:rPr>
        <w:fldChar w:fldCharType="end"/>
      </w:r>
      <w:r w:rsidRPr="00E57E10">
        <w:rPr>
          <w:rFonts w:ascii="Arial" w:eastAsia="MS Mincho" w:hAnsi="Arial" w:cs="Arial"/>
        </w:rPr>
        <w:t>). The custom script makes use of the Samtools “view” command to count reads at genomic intervals, the Bedtools “nuc” command to determine the CpG content of genomic intervals and the ‘st’ tool (https://github.com/nferraz/st) to calculate CpG content and nucleotide substitution statistics across all copies of a repeat element type. The R package D</w:t>
      </w:r>
      <w:r>
        <w:rPr>
          <w:rFonts w:ascii="Arial" w:eastAsia="MS Mincho" w:hAnsi="Arial" w:cs="Arial"/>
        </w:rPr>
        <w:t>E</w:t>
      </w:r>
      <w:r w:rsidRPr="00E57E10">
        <w:rPr>
          <w:rFonts w:ascii="Arial" w:eastAsia="MS Mincho" w:hAnsi="Arial" w:cs="Arial"/>
        </w:rPr>
        <w:t>Seq2</w:t>
      </w:r>
      <w:r>
        <w:rPr>
          <w:rFonts w:ascii="Arial" w:eastAsia="MS Mincho" w:hAnsi="Arial" w:cs="Arial"/>
        </w:rPr>
        <w:t xml:space="preserve"> v1.20.0</w:t>
      </w:r>
      <w:r w:rsidRPr="00E57E10">
        <w:rPr>
          <w:rFonts w:ascii="Arial" w:eastAsia="MS Mincho" w:hAnsi="Arial" w:cs="Arial"/>
        </w:rPr>
        <w:t xml:space="preserve"> </w:t>
      </w:r>
      <w:r w:rsidRPr="00E57E10">
        <w:rPr>
          <w:rFonts w:ascii="Arial" w:eastAsia="MS Mincho" w:hAnsi="Arial" w:cs="Arial"/>
        </w:rPr>
        <w:fldChar w:fldCharType="begin"/>
      </w:r>
      <w:r w:rsidR="00FB1ACA">
        <w:rPr>
          <w:rFonts w:ascii="Arial" w:eastAsia="MS Mincho" w:hAnsi="Arial" w:cs="Arial"/>
        </w:rPr>
        <w:instrText xml:space="preserve"> ADDIN ZOTERO_ITEM CSL_CITATION {"citationID":"m0gzpWwE","properties":{"formattedCitation":"(Love et al. 2014, 20)","plainCitation":"(Love et al. 2014, 20)","noteIndex":0},"citationItems":[{"id":3520,"uris":["http://zotero.org/users/1612991/items/36RACN3U"],"uri":["http://zotero.org/users/1612991/items/36RACN3U"],"itemData":{"id":3520,"type":"article-journal","abstract":"In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                                  .","container-title":"Genome Biology","DOI":"10.1186/s13059-014-0550-8","ISSN":"1474-760X","journalAbbreviation":"Genome Biology","page":"550","source":"BioMed Central","title":"Moderated estimation of fold change and dispersion for RNA-seq data with DESeq2","volume":"15","author":[{"family":"Love","given":"Michael I."},{"family":"Huber","given":"Wolfgang"},{"family":"Anders","given":"Simon"}],"issued":{"date-parts":[["2014",12,5]]}},"locator":"20"}],"schema":"https://github.com/citation-style-language/schema/raw/master/csl-citation.json"} </w:instrText>
      </w:r>
      <w:r w:rsidRPr="00E57E10">
        <w:rPr>
          <w:rFonts w:ascii="Arial" w:eastAsia="MS Mincho" w:hAnsi="Arial" w:cs="Arial"/>
        </w:rPr>
        <w:fldChar w:fldCharType="separate"/>
      </w:r>
      <w:r w:rsidR="00FB1ACA">
        <w:rPr>
          <w:rFonts w:ascii="Arial" w:hAnsi="Arial" w:cs="Arial"/>
        </w:rPr>
        <w:t>(Love et al. 2014, 20)</w:t>
      </w:r>
      <w:r w:rsidRPr="00E57E10">
        <w:rPr>
          <w:rFonts w:ascii="Arial" w:eastAsia="MS Mincho" w:hAnsi="Arial" w:cs="Arial"/>
        </w:rPr>
        <w:fldChar w:fldCharType="end"/>
      </w:r>
      <w:r w:rsidRPr="00E57E10">
        <w:rPr>
          <w:rFonts w:ascii="Arial" w:eastAsia="MS Mincho" w:hAnsi="Arial" w:cs="Arial"/>
        </w:rPr>
        <w:t xml:space="preserve"> was used to identify repeat element types that show significant differences in coverage between conditions. A p-value threshold of &lt; 0.05 was used to identify significant differences after correction for multiple testing using the Benjamini &amp; Hochberg procedure.</w:t>
      </w:r>
    </w:p>
    <w:p w14:paraId="66582F77" w14:textId="77777777" w:rsidR="00FD7F6C" w:rsidRDefault="00FD7F6C" w:rsidP="00FD7F6C">
      <w:pPr>
        <w:spacing w:after="120" w:line="360" w:lineRule="auto"/>
        <w:jc w:val="both"/>
        <w:rPr>
          <w:rFonts w:ascii="Arial" w:eastAsia="MS Mincho" w:hAnsi="Arial" w:cs="Arial"/>
          <w:b/>
        </w:rPr>
      </w:pPr>
    </w:p>
    <w:p w14:paraId="6021DA58" w14:textId="071F0BA2" w:rsidR="00FD7F6C" w:rsidRPr="00E57E10" w:rsidRDefault="00F42E99" w:rsidP="00FD7F6C">
      <w:pPr>
        <w:spacing w:after="120" w:line="360" w:lineRule="auto"/>
        <w:jc w:val="both"/>
        <w:rPr>
          <w:rFonts w:ascii="Arial" w:eastAsia="MS Mincho" w:hAnsi="Arial" w:cs="Arial"/>
          <w:b/>
        </w:rPr>
      </w:pPr>
      <w:r>
        <w:rPr>
          <w:rFonts w:ascii="Arial" w:eastAsia="MS Mincho" w:hAnsi="Arial" w:cs="Arial"/>
          <w:b/>
        </w:rPr>
        <w:t>Common computational approaches</w:t>
      </w:r>
    </w:p>
    <w:p w14:paraId="0DC25450" w14:textId="5C1BED13" w:rsidR="00FD7F6C" w:rsidRPr="00E57E10" w:rsidRDefault="00FD7F6C" w:rsidP="00FD7F6C">
      <w:pPr>
        <w:spacing w:after="120" w:line="360" w:lineRule="auto"/>
        <w:jc w:val="both"/>
        <w:rPr>
          <w:rFonts w:ascii="Arial" w:eastAsia="MS Mincho" w:hAnsi="Arial" w:cs="Arial"/>
        </w:rPr>
      </w:pPr>
      <w:r w:rsidRPr="00E57E10">
        <w:rPr>
          <w:rFonts w:ascii="Arial" w:eastAsia="MS Mincho" w:hAnsi="Arial" w:cs="Arial"/>
        </w:rPr>
        <w:lastRenderedPageBreak/>
        <w:t xml:space="preserve">Metaplots used to display and summarise ATAC-seq, ChIP-seq or Native H3ac ChIP-seq signals were generated using </w:t>
      </w:r>
      <w:r w:rsidRPr="00FB1ACA">
        <w:rPr>
          <w:rFonts w:asciiTheme="minorBidi" w:eastAsia="MS Mincho" w:hAnsiTheme="minorBidi"/>
        </w:rPr>
        <w:t xml:space="preserve">Deeptools functions </w:t>
      </w:r>
      <w:r w:rsidR="00FB1ACA" w:rsidRPr="00FB1ACA">
        <w:rPr>
          <w:rFonts w:asciiTheme="minorBidi" w:hAnsiTheme="minorBidi"/>
        </w:rPr>
        <w:t>(Ramírez et al. 2016)</w:t>
      </w:r>
      <w:r w:rsidRPr="00FB1ACA">
        <w:rPr>
          <w:rFonts w:asciiTheme="minorBidi" w:eastAsia="MS Mincho" w:hAnsiTheme="minorBidi"/>
        </w:rPr>
        <w:fldChar w:fldCharType="begin"/>
      </w:r>
      <w:r w:rsidR="00FB1ACA" w:rsidRPr="00FB1ACA">
        <w:rPr>
          <w:rFonts w:asciiTheme="minorBidi" w:eastAsia="MS Mincho" w:hAnsiTheme="minorBidi"/>
        </w:rPr>
        <w:instrText xml:space="preserve"> ADDIN ZOTERO_ITEM CSL_CITATION {"citationID":"rXrzmLiA","properties":{"formattedCitation":"(Ram\\uc0\\u237{}rez et al. 2016)","plainCitation":"","noteIndex":0},"citationItems":[{"id":3499,"uris":["http://zotero.org/users/1612991/items/RA4UH39T"],"uri":["http://zotero.org/users/1612991/items/RA4UH39T"],"itemData":{"id":3499,"type":"article-journal","abstract":"We present an update to our Galaxy-based web server for processing and visualizing deeply sequenced data. Its core tool set, deepTools, allows users to perform complete bioinformatic workflows ranging from quality controls and normalizations of aligned reads to integrative analyses, including clustering and visualization approaches. Since we first described our deepTools Galaxy server in 2014, we have implemented new solutions for many requests from the community and our users. Here, we introduce significant enhancements and new tools to further improve data visualization and interpretation. deepTools continue to be open to all users and freely available as a web service at deeptools.ie-freiburg.mpg.de. The new deepTools2 suite can be easily deployed within any Galaxy framework via the toolshed repository, and we also provide source code for command line usage under Linux and Mac OS X. A public and documented API for access to deepTools functionality is also available.","container-title":"Nucleic Acids Research","DOI":"10.1093/nar/gkw257","ISSN":"0305-1048","issue":"Web Server issue","journalAbbreviation":"Nucleic Acids Res","note":"PMID: 27079975\nPMCID: PMC4987876","page":"W160-W165","source":"PubMed Central","title":"deepTools2: a next generation web server for deep-sequencing data analysis","title-short":"deepTools2","volume":"44","author":[{"family":"Ramírez","given":"Fidel"},{"family":"Ryan","given":"Devon P"},{"family":"Grüning","given":"Björn"},{"family":"Bhardwaj","given":"Vivek"},{"family":"Kilpert","given":"Fabian"},{"family":"Richter","given":"Andreas S"},{"family":"Heyne","given":"Steffen"},{"family":"Dündar","given":"Friederike"},{"family":"Manke","given":"Thomas"}],"issued":{"date-parts":[["2016",7,8]]}}}],"schema":"https://github.com/citation-style-language/schema/raw/master/csl-citation.json"} </w:instrText>
      </w:r>
      <w:r w:rsidRPr="00FB1ACA">
        <w:rPr>
          <w:rFonts w:asciiTheme="minorBidi" w:eastAsia="MS Mincho" w:hAnsiTheme="minorBidi"/>
        </w:rPr>
        <w:fldChar w:fldCharType="end"/>
      </w:r>
      <w:r w:rsidRPr="00FB1ACA">
        <w:rPr>
          <w:rFonts w:asciiTheme="minorBidi" w:eastAsia="MS Mincho" w:hAnsiTheme="minorBidi"/>
        </w:rPr>
        <w:t>. As input</w:t>
      </w:r>
      <w:r w:rsidRPr="00E57E10">
        <w:rPr>
          <w:rFonts w:ascii="Arial" w:eastAsia="MS Mincho" w:hAnsi="Arial" w:cs="Arial"/>
        </w:rPr>
        <w:t>, these tools were provided with genome coverage files (bigWigs) created after merging alignments from biological replicate samples.</w:t>
      </w:r>
    </w:p>
    <w:p w14:paraId="73293B94" w14:textId="76232CA2" w:rsidR="00FD7F6C" w:rsidRPr="00E57E10" w:rsidRDefault="00FD7F6C" w:rsidP="00FD7F6C">
      <w:pPr>
        <w:spacing w:after="120" w:line="360" w:lineRule="auto"/>
        <w:jc w:val="both"/>
        <w:rPr>
          <w:rFonts w:ascii="Arial" w:eastAsia="MS Mincho" w:hAnsi="Arial" w:cs="Arial"/>
        </w:rPr>
      </w:pPr>
      <w:r w:rsidRPr="00E57E10">
        <w:rPr>
          <w:rFonts w:ascii="Arial" w:eastAsia="MS Mincho" w:hAnsi="Arial" w:cs="Arial"/>
        </w:rPr>
        <w:t xml:space="preserve">The gene annotation files for mm10 or galGal4 used in this study were downloaded from UCSC. Genomic regions, for example ChIP-seq or ATAC-seq peaks, were annotated using the HOMER script annotatePeaks.pl </w:t>
      </w:r>
      <w:r>
        <w:rPr>
          <w:rFonts w:ascii="Arial" w:eastAsia="MS Mincho" w:hAnsi="Arial" w:cs="Arial"/>
        </w:rPr>
        <w:fldChar w:fldCharType="begin"/>
      </w:r>
      <w:r w:rsidR="00FB1ACA">
        <w:rPr>
          <w:rFonts w:ascii="Arial" w:eastAsia="MS Mincho" w:hAnsi="Arial" w:cs="Arial"/>
        </w:rPr>
        <w:instrText xml:space="preserve"> ADDIN ZOTERO_ITEM CSL_CITATION {"citationID":"0L9l30Ai","properties":{"formattedCitation":"(Heinz et al. 2010)","plainCitation":"(Heinz et al. 2010)","noteIndex":0},"citationItems":[{"id":3484,"uris":["http://zotero.org/users/1612991/items/3DR6BMN5"],"uri":["http://zotero.org/users/1612991/items/3DR6BMN5"],"itemData":{"id":3484,"type":"article-journal","abstract":"Genome-scale studies have revealed extensive, cell type-specific colocalization of transcription factors, but the mechanisms underlying this phenomenon remain poorly understood. Here, we demonstrate in macrophages and B cells that collaborative interactions of the common factor PU.1 with small sets of macrophage- or B cell lineage-determining transcription factors establish cell-specific binding sites that are associated with the majority of promoter-distal H3K4me1-marked genomic regions. PU.1 binding initiates nucleosome remodeling, followed by H3K4 monomethylation at large numbers of genomic regions associated with both broadly and specifically expressed genes. These locations serve as beacons for additional factors, exemplified by liver X receptors, which drive both cell-specific gene expression and signal-dependent responses. Together with analyses of transcription factor binding and H3K4me1 patterns in other cell types, these studies suggest that simple combinations of lineage-determining transcription factors can specify the genomic sites ultimately responsible for both cell identity and cell type-specific responses to diverse signaling inputs.","container-title":"Molecular Cell","DOI":"10.1016/j.molcel.2010.05.004","ISSN":"1097-4164","issue":"4","journalAbbreviation":"Mol. Cell","language":"eng","note":"PMID: 20513432\nPMCID: PMC2898526","page":"576-589","source":"PubMed","title":"Simple combinations of lineage-determining transcription factors prime cis-regulatory elements required for macrophage and B cell identities","volume":"38","author":[{"family":"Heinz","given":"Sven"},{"family":"Benner","given":"Christopher"},{"family":"Spann","given":"Nathanael"},{"family":"Bertolino","given":"Eric"},{"family":"Lin","given":"Yin C."},{"family":"Laslo","given":"Peter"},{"family":"Cheng","given":"Jason X."},{"family":"Murre","given":"Cornelis"},{"family":"Singh","given":"Harinder"},{"family":"Glass","given":"Christopher K."}],"issued":{"date-parts":[["2010",5,28]]}}}],"schema":"https://github.com/citation-style-language/schema/raw/master/csl-citation.json"} </w:instrText>
      </w:r>
      <w:r>
        <w:rPr>
          <w:rFonts w:ascii="Arial" w:eastAsia="MS Mincho" w:hAnsi="Arial" w:cs="Arial"/>
        </w:rPr>
        <w:fldChar w:fldCharType="separate"/>
      </w:r>
      <w:r w:rsidR="00FB1ACA">
        <w:rPr>
          <w:rFonts w:ascii="Arial" w:hAnsi="Arial" w:cs="Arial"/>
        </w:rPr>
        <w:t>(Heinz et al. 2010)</w:t>
      </w:r>
      <w:r>
        <w:rPr>
          <w:rFonts w:ascii="Arial" w:eastAsia="MS Mincho" w:hAnsi="Arial" w:cs="Arial"/>
        </w:rPr>
        <w:fldChar w:fldCharType="end"/>
      </w:r>
      <w:r w:rsidRPr="00E57E10">
        <w:rPr>
          <w:rFonts w:ascii="Arial" w:eastAsia="MS Mincho" w:hAnsi="Arial" w:cs="Arial"/>
        </w:rPr>
        <w:t>.</w:t>
      </w:r>
    </w:p>
    <w:p w14:paraId="0FDF97A7" w14:textId="77777777" w:rsidR="00FD7F6C" w:rsidRPr="00E57E10" w:rsidRDefault="00FD7F6C" w:rsidP="00FD7F6C">
      <w:pPr>
        <w:spacing w:after="120" w:line="360" w:lineRule="auto"/>
        <w:jc w:val="both"/>
        <w:rPr>
          <w:rFonts w:ascii="Arial" w:eastAsia="MS Mincho" w:hAnsi="Arial" w:cs="Arial"/>
        </w:rPr>
      </w:pPr>
      <w:r w:rsidRPr="00E57E10">
        <w:rPr>
          <w:rFonts w:ascii="Arial" w:eastAsia="MS Mincho" w:hAnsi="Arial" w:cs="Arial"/>
        </w:rPr>
        <w:t xml:space="preserve">The HOMER script findMotifsGenome.pl (v4.7, Heinz et al., 2010) was used to define </w:t>
      </w:r>
      <w:r w:rsidRPr="00E57E10">
        <w:rPr>
          <w:rFonts w:ascii="Arial" w:eastAsia="MS Mincho" w:hAnsi="Arial" w:cs="Arial"/>
          <w:i/>
        </w:rPr>
        <w:t xml:space="preserve">de novo </w:t>
      </w:r>
      <w:r w:rsidRPr="00E57E10">
        <w:rPr>
          <w:rFonts w:ascii="Arial" w:eastAsia="MS Mincho" w:hAnsi="Arial" w:cs="Arial"/>
        </w:rPr>
        <w:t xml:space="preserve">motifs that were enriched within particular sets of target genomic intervals. The same script was used to screen for the enrichment of previously known or custom motifs. The maximum log-odds score for a given </w:t>
      </w:r>
      <w:r>
        <w:rPr>
          <w:rFonts w:ascii="Arial" w:eastAsia="MS Mincho" w:hAnsi="Arial" w:cs="Arial"/>
        </w:rPr>
        <w:t>position weight matrix (</w:t>
      </w:r>
      <w:r w:rsidRPr="00E57E10">
        <w:rPr>
          <w:rFonts w:ascii="Arial" w:eastAsia="MS Mincho" w:hAnsi="Arial" w:cs="Arial"/>
        </w:rPr>
        <w:t>PWM</w:t>
      </w:r>
      <w:r>
        <w:rPr>
          <w:rFonts w:ascii="Arial" w:eastAsia="MS Mincho" w:hAnsi="Arial" w:cs="Arial"/>
        </w:rPr>
        <w:t>)</w:t>
      </w:r>
      <w:r w:rsidRPr="00E57E10">
        <w:rPr>
          <w:rFonts w:ascii="Arial" w:eastAsia="MS Mincho" w:hAnsi="Arial" w:cs="Arial"/>
        </w:rPr>
        <w:t xml:space="preserve"> motif within each interval in a .BED file was determined using the HOMER annotatePeaks.pl script with the </w:t>
      </w:r>
      <w:r w:rsidRPr="00E57E10">
        <w:rPr>
          <w:rFonts w:ascii="Arial" w:eastAsia="MS Mincho" w:hAnsi="Arial" w:cs="Arial"/>
          <w:i/>
        </w:rPr>
        <w:t>-mscore</w:t>
      </w:r>
      <w:r w:rsidRPr="00E57E10">
        <w:rPr>
          <w:rFonts w:ascii="Arial" w:eastAsia="MS Mincho" w:hAnsi="Arial" w:cs="Arial"/>
        </w:rPr>
        <w:t xml:space="preserve"> option.</w:t>
      </w:r>
    </w:p>
    <w:p w14:paraId="0FC990F3" w14:textId="144BA706" w:rsidR="00FD7F6C" w:rsidRDefault="00FD7F6C" w:rsidP="00FD7F6C">
      <w:pPr>
        <w:spacing w:after="120" w:line="360" w:lineRule="auto"/>
        <w:jc w:val="both"/>
        <w:rPr>
          <w:rFonts w:ascii="Arial" w:hAnsi="Arial" w:cs="Arial"/>
        </w:rPr>
      </w:pPr>
      <w:r w:rsidRPr="00E57E10">
        <w:rPr>
          <w:rFonts w:ascii="Arial" w:eastAsia="MS Mincho" w:hAnsi="Arial" w:cs="Arial"/>
        </w:rPr>
        <w:t xml:space="preserve">All boxplots were generated using the R package ggplot2. The median is indicated by a bar, </w:t>
      </w:r>
      <w:r w:rsidRPr="00E57E10">
        <w:rPr>
          <w:rFonts w:ascii="Arial" w:hAnsi="Arial" w:cs="Arial"/>
        </w:rPr>
        <w:t>the lower and upper hinges correspond to the first and third quartiles while the upper/lower whisker extend from the hinges to the largest value no further than 1.5x the inter-quartile range.</w:t>
      </w:r>
    </w:p>
    <w:p w14:paraId="35535537" w14:textId="58F8F61F" w:rsidR="00FB1ACA" w:rsidRDefault="00FB1ACA">
      <w:pPr>
        <w:rPr>
          <w:rFonts w:ascii="Arial" w:hAnsi="Arial" w:cs="Arial"/>
        </w:rPr>
      </w:pPr>
      <w:r>
        <w:rPr>
          <w:rFonts w:ascii="Arial" w:hAnsi="Arial" w:cs="Arial"/>
        </w:rPr>
        <w:br w:type="page"/>
      </w:r>
    </w:p>
    <w:p w14:paraId="3DCA0FB1" w14:textId="54319991" w:rsidR="00FB1ACA" w:rsidRPr="002812E4" w:rsidRDefault="00FB1ACA" w:rsidP="00FB1ACA">
      <w:pPr>
        <w:pStyle w:val="ListParagraph"/>
        <w:numPr>
          <w:ilvl w:val="0"/>
          <w:numId w:val="5"/>
        </w:numPr>
        <w:spacing w:after="120" w:line="360" w:lineRule="auto"/>
        <w:jc w:val="both"/>
        <w:rPr>
          <w:rFonts w:ascii="Arial" w:hAnsi="Arial" w:cs="Arial"/>
          <w:b/>
          <w:bCs/>
        </w:rPr>
      </w:pPr>
      <w:r w:rsidRPr="002812E4">
        <w:rPr>
          <w:rFonts w:ascii="Arial" w:hAnsi="Arial" w:cs="Arial"/>
          <w:b/>
          <w:bCs/>
        </w:rPr>
        <w:lastRenderedPageBreak/>
        <w:t xml:space="preserve">Supplementary </w:t>
      </w:r>
      <w:r>
        <w:rPr>
          <w:rFonts w:ascii="Arial" w:hAnsi="Arial" w:cs="Arial"/>
          <w:b/>
          <w:bCs/>
        </w:rPr>
        <w:t>references</w:t>
      </w:r>
    </w:p>
    <w:p w14:paraId="6206E69D" w14:textId="77777777" w:rsidR="00FB1ACA" w:rsidRDefault="00FB1ACA" w:rsidP="00FD7F6C">
      <w:pPr>
        <w:spacing w:after="120" w:line="360" w:lineRule="auto"/>
        <w:jc w:val="both"/>
        <w:rPr>
          <w:rFonts w:ascii="Arial" w:hAnsi="Arial" w:cs="Arial"/>
        </w:rPr>
      </w:pPr>
    </w:p>
    <w:p w14:paraId="1AD34E05"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Chen K, Xi Y, Pan X, Li Z, Kaestner K, Tyler J, Dent S, He X, Li W. 2013. DANPOS: dynamic analysis of nucleosome position and occupancy by sequencing. </w:t>
      </w:r>
      <w:r w:rsidRPr="00FB1ACA">
        <w:rPr>
          <w:rFonts w:ascii="Arial" w:hAnsi="Arial" w:cs="Arial"/>
          <w:i/>
          <w:iCs/>
        </w:rPr>
        <w:t>Genome Res</w:t>
      </w:r>
      <w:r w:rsidRPr="00FB1ACA">
        <w:rPr>
          <w:rFonts w:ascii="Arial" w:hAnsi="Arial" w:cs="Arial"/>
        </w:rPr>
        <w:t xml:space="preserve"> </w:t>
      </w:r>
      <w:r w:rsidRPr="00FB1ACA">
        <w:rPr>
          <w:rFonts w:ascii="Arial" w:hAnsi="Arial" w:cs="Arial"/>
          <w:b/>
          <w:bCs/>
        </w:rPr>
        <w:t>23</w:t>
      </w:r>
      <w:r w:rsidRPr="00FB1ACA">
        <w:rPr>
          <w:rFonts w:ascii="Arial" w:hAnsi="Arial" w:cs="Arial"/>
        </w:rPr>
        <w:t>: 341–351.</w:t>
      </w:r>
    </w:p>
    <w:p w14:paraId="3764CEFD"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Heinz S, Benner C, Spann N, Bertolino E, Lin YC, Laslo P, Cheng JX, Murre C, Singh H, Glass CK. 2010. Simple combinations of lineage-determining transcription factors prime cis-regulatory elements required for macrophage and B cell identities. </w:t>
      </w:r>
      <w:r w:rsidRPr="00FB1ACA">
        <w:rPr>
          <w:rFonts w:ascii="Arial" w:hAnsi="Arial" w:cs="Arial"/>
          <w:i/>
          <w:iCs/>
        </w:rPr>
        <w:t>Mol Cell</w:t>
      </w:r>
      <w:r w:rsidRPr="00FB1ACA">
        <w:rPr>
          <w:rFonts w:ascii="Arial" w:hAnsi="Arial" w:cs="Arial"/>
        </w:rPr>
        <w:t xml:space="preserve"> </w:t>
      </w:r>
      <w:r w:rsidRPr="00FB1ACA">
        <w:rPr>
          <w:rFonts w:ascii="Arial" w:hAnsi="Arial" w:cs="Arial"/>
          <w:b/>
          <w:bCs/>
        </w:rPr>
        <w:t>38</w:t>
      </w:r>
      <w:r w:rsidRPr="00FB1ACA">
        <w:rPr>
          <w:rFonts w:ascii="Arial" w:hAnsi="Arial" w:cs="Arial"/>
        </w:rPr>
        <w:t>: 576–589.</w:t>
      </w:r>
    </w:p>
    <w:p w14:paraId="31658A17"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Huang DW, Sherman BT, Lempicki RA. 2009a. Bioinformatics enrichment tools: paths toward the comprehensive functional analysis of large gene lists. </w:t>
      </w:r>
      <w:r w:rsidRPr="00FB1ACA">
        <w:rPr>
          <w:rFonts w:ascii="Arial" w:hAnsi="Arial" w:cs="Arial"/>
          <w:i/>
          <w:iCs/>
        </w:rPr>
        <w:t>Nucleic Acids Res</w:t>
      </w:r>
      <w:r w:rsidRPr="00FB1ACA">
        <w:rPr>
          <w:rFonts w:ascii="Arial" w:hAnsi="Arial" w:cs="Arial"/>
        </w:rPr>
        <w:t xml:space="preserve"> </w:t>
      </w:r>
      <w:r w:rsidRPr="00FB1ACA">
        <w:rPr>
          <w:rFonts w:ascii="Arial" w:hAnsi="Arial" w:cs="Arial"/>
          <w:b/>
          <w:bCs/>
        </w:rPr>
        <w:t>37</w:t>
      </w:r>
      <w:r w:rsidRPr="00FB1ACA">
        <w:rPr>
          <w:rFonts w:ascii="Arial" w:hAnsi="Arial" w:cs="Arial"/>
        </w:rPr>
        <w:t>: 1–13.</w:t>
      </w:r>
    </w:p>
    <w:p w14:paraId="1F6F6774"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Huang DW, Sherman BT, Lempicki RA. 2009b. Systematic and integrative analysis of large gene lists using DAVID bioinformatics resources. </w:t>
      </w:r>
      <w:r w:rsidRPr="00FB1ACA">
        <w:rPr>
          <w:rFonts w:ascii="Arial" w:hAnsi="Arial" w:cs="Arial"/>
          <w:i/>
          <w:iCs/>
        </w:rPr>
        <w:t>Nat Protoc</w:t>
      </w:r>
      <w:r w:rsidRPr="00FB1ACA">
        <w:rPr>
          <w:rFonts w:ascii="Arial" w:hAnsi="Arial" w:cs="Arial"/>
        </w:rPr>
        <w:t xml:space="preserve"> </w:t>
      </w:r>
      <w:r w:rsidRPr="00FB1ACA">
        <w:rPr>
          <w:rFonts w:ascii="Arial" w:hAnsi="Arial" w:cs="Arial"/>
          <w:b/>
          <w:bCs/>
        </w:rPr>
        <w:t>4</w:t>
      </w:r>
      <w:r w:rsidRPr="00FB1ACA">
        <w:rPr>
          <w:rFonts w:ascii="Arial" w:hAnsi="Arial" w:cs="Arial"/>
        </w:rPr>
        <w:t>: 44–57.</w:t>
      </w:r>
    </w:p>
    <w:p w14:paraId="0FE0917A"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Jurka J, Kapitonov VV, Pavlicek A, Klonowski P, Kohany O, Walichiewicz J. 2005. Repbase Update, a database of eukaryotic repetitive elements. </w:t>
      </w:r>
      <w:r w:rsidRPr="00FB1ACA">
        <w:rPr>
          <w:rFonts w:ascii="Arial" w:hAnsi="Arial" w:cs="Arial"/>
          <w:i/>
          <w:iCs/>
        </w:rPr>
        <w:t>Cytogenet Genome Res</w:t>
      </w:r>
      <w:r w:rsidRPr="00FB1ACA">
        <w:rPr>
          <w:rFonts w:ascii="Arial" w:hAnsi="Arial" w:cs="Arial"/>
        </w:rPr>
        <w:t xml:space="preserve"> </w:t>
      </w:r>
      <w:r w:rsidRPr="00FB1ACA">
        <w:rPr>
          <w:rFonts w:ascii="Arial" w:hAnsi="Arial" w:cs="Arial"/>
          <w:b/>
          <w:bCs/>
        </w:rPr>
        <w:t>110</w:t>
      </w:r>
      <w:r w:rsidRPr="00FB1ACA">
        <w:rPr>
          <w:rFonts w:ascii="Arial" w:hAnsi="Arial" w:cs="Arial"/>
        </w:rPr>
        <w:t>: 462–467.</w:t>
      </w:r>
    </w:p>
    <w:p w14:paraId="3539C1F9"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Liao Y, Smyth GK, Shi W. 2014. featureCounts: an efficient general purpose program for assigning sequence reads to genomic features. </w:t>
      </w:r>
      <w:r w:rsidRPr="00FB1ACA">
        <w:rPr>
          <w:rFonts w:ascii="Arial" w:hAnsi="Arial" w:cs="Arial"/>
          <w:i/>
          <w:iCs/>
        </w:rPr>
        <w:t>Bioinformatics</w:t>
      </w:r>
      <w:r w:rsidRPr="00FB1ACA">
        <w:rPr>
          <w:rFonts w:ascii="Arial" w:hAnsi="Arial" w:cs="Arial"/>
        </w:rPr>
        <w:t xml:space="preserve"> </w:t>
      </w:r>
      <w:r w:rsidRPr="00FB1ACA">
        <w:rPr>
          <w:rFonts w:ascii="Arial" w:hAnsi="Arial" w:cs="Arial"/>
          <w:b/>
          <w:bCs/>
        </w:rPr>
        <w:t>30</w:t>
      </w:r>
      <w:r w:rsidRPr="00FB1ACA">
        <w:rPr>
          <w:rFonts w:ascii="Arial" w:hAnsi="Arial" w:cs="Arial"/>
        </w:rPr>
        <w:t>: 923–930.</w:t>
      </w:r>
    </w:p>
    <w:p w14:paraId="03D34055"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Love MI, Huber W, Anders S. 2014. Moderated estimation of fold change and dispersion for RNA-seq data with DESeq2. </w:t>
      </w:r>
      <w:r w:rsidRPr="00FB1ACA">
        <w:rPr>
          <w:rFonts w:ascii="Arial" w:hAnsi="Arial" w:cs="Arial"/>
          <w:i/>
          <w:iCs/>
        </w:rPr>
        <w:t>Genome Biology</w:t>
      </w:r>
      <w:r w:rsidRPr="00FB1ACA">
        <w:rPr>
          <w:rFonts w:ascii="Arial" w:hAnsi="Arial" w:cs="Arial"/>
        </w:rPr>
        <w:t xml:space="preserve"> </w:t>
      </w:r>
      <w:r w:rsidRPr="00FB1ACA">
        <w:rPr>
          <w:rFonts w:ascii="Arial" w:hAnsi="Arial" w:cs="Arial"/>
          <w:b/>
          <w:bCs/>
        </w:rPr>
        <w:t>15</w:t>
      </w:r>
      <w:r w:rsidRPr="00FB1ACA">
        <w:rPr>
          <w:rFonts w:ascii="Arial" w:hAnsi="Arial" w:cs="Arial"/>
        </w:rPr>
        <w:t>: 550.</w:t>
      </w:r>
    </w:p>
    <w:p w14:paraId="5A57AC4F"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McCarthy DJ, Chen Y, Smyth GK. 2012. Differential expression analysis of multifactor RNA-Seq experiments with respect to biological variation. </w:t>
      </w:r>
      <w:r w:rsidRPr="00FB1ACA">
        <w:rPr>
          <w:rFonts w:ascii="Arial" w:hAnsi="Arial" w:cs="Arial"/>
          <w:i/>
          <w:iCs/>
        </w:rPr>
        <w:t>Nucleic Acids Res</w:t>
      </w:r>
      <w:r w:rsidRPr="00FB1ACA">
        <w:rPr>
          <w:rFonts w:ascii="Arial" w:hAnsi="Arial" w:cs="Arial"/>
        </w:rPr>
        <w:t xml:space="preserve"> </w:t>
      </w:r>
      <w:r w:rsidRPr="00FB1ACA">
        <w:rPr>
          <w:rFonts w:ascii="Arial" w:hAnsi="Arial" w:cs="Arial"/>
          <w:b/>
          <w:bCs/>
        </w:rPr>
        <w:t>40</w:t>
      </w:r>
      <w:r w:rsidRPr="00FB1ACA">
        <w:rPr>
          <w:rFonts w:ascii="Arial" w:hAnsi="Arial" w:cs="Arial"/>
        </w:rPr>
        <w:t>: 4288–4297.</w:t>
      </w:r>
    </w:p>
    <w:p w14:paraId="707A2BB6"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Picelli S, Björklund ÅK, Reinius B, Sagasser S, Winberg G, Sandberg R. 2014. Tn5 transposase and tagmentation procedures for massively-scaled sequencing projects. </w:t>
      </w:r>
      <w:r w:rsidRPr="00FB1ACA">
        <w:rPr>
          <w:rFonts w:ascii="Arial" w:hAnsi="Arial" w:cs="Arial"/>
          <w:i/>
          <w:iCs/>
        </w:rPr>
        <w:t>Genome Res</w:t>
      </w:r>
      <w:r w:rsidRPr="00FB1ACA">
        <w:rPr>
          <w:rFonts w:ascii="Arial" w:hAnsi="Arial" w:cs="Arial"/>
        </w:rPr>
        <w:t xml:space="preserve"> gr.177881.114.</w:t>
      </w:r>
    </w:p>
    <w:p w14:paraId="19EBDD3B"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Ramírez F, Ryan DP, Grüning B, Bhardwaj V, Kilpert F, Richter AS, Heyne S, Dündar F, Manke T. 2016. deepTools2: a next generation web server for deep-sequencing data analysis. </w:t>
      </w:r>
      <w:r w:rsidRPr="00FB1ACA">
        <w:rPr>
          <w:rFonts w:ascii="Arial" w:hAnsi="Arial" w:cs="Arial"/>
          <w:i/>
          <w:iCs/>
        </w:rPr>
        <w:t>Nucleic Acids Res</w:t>
      </w:r>
      <w:r w:rsidRPr="00FB1ACA">
        <w:rPr>
          <w:rFonts w:ascii="Arial" w:hAnsi="Arial" w:cs="Arial"/>
        </w:rPr>
        <w:t xml:space="preserve"> </w:t>
      </w:r>
      <w:r w:rsidRPr="00FB1ACA">
        <w:rPr>
          <w:rFonts w:ascii="Arial" w:hAnsi="Arial" w:cs="Arial"/>
          <w:b/>
          <w:bCs/>
        </w:rPr>
        <w:t>44</w:t>
      </w:r>
      <w:r w:rsidRPr="00FB1ACA">
        <w:rPr>
          <w:rFonts w:ascii="Arial" w:hAnsi="Arial" w:cs="Arial"/>
        </w:rPr>
        <w:t>: W160–W165.</w:t>
      </w:r>
    </w:p>
    <w:p w14:paraId="0892DA82"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Robinson MD, McCarthy DJ, Smyth GK. 2010. edgeR: a Bioconductor package for differential expression analysis of digital gene expression data. </w:t>
      </w:r>
      <w:r w:rsidRPr="00FB1ACA">
        <w:rPr>
          <w:rFonts w:ascii="Arial" w:hAnsi="Arial" w:cs="Arial"/>
          <w:i/>
          <w:iCs/>
        </w:rPr>
        <w:t>Bioinformatics</w:t>
      </w:r>
      <w:r w:rsidRPr="00FB1ACA">
        <w:rPr>
          <w:rFonts w:ascii="Arial" w:hAnsi="Arial" w:cs="Arial"/>
        </w:rPr>
        <w:t xml:space="preserve"> </w:t>
      </w:r>
      <w:r w:rsidRPr="00FB1ACA">
        <w:rPr>
          <w:rFonts w:ascii="Arial" w:hAnsi="Arial" w:cs="Arial"/>
          <w:b/>
          <w:bCs/>
        </w:rPr>
        <w:t>26</w:t>
      </w:r>
      <w:r w:rsidRPr="00FB1ACA">
        <w:rPr>
          <w:rFonts w:ascii="Arial" w:hAnsi="Arial" w:cs="Arial"/>
        </w:rPr>
        <w:t>: 139–140.</w:t>
      </w:r>
    </w:p>
    <w:p w14:paraId="04D557F1"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Rohland N, Reich D. 2012. Cost-effective, high-throughput DNA sequencing libraries for multiplexed target capture. </w:t>
      </w:r>
      <w:r w:rsidRPr="00FB1ACA">
        <w:rPr>
          <w:rFonts w:ascii="Arial" w:hAnsi="Arial" w:cs="Arial"/>
          <w:i/>
          <w:iCs/>
        </w:rPr>
        <w:t>Genome Res</w:t>
      </w:r>
      <w:r w:rsidRPr="00FB1ACA">
        <w:rPr>
          <w:rFonts w:ascii="Arial" w:hAnsi="Arial" w:cs="Arial"/>
        </w:rPr>
        <w:t xml:space="preserve"> </w:t>
      </w:r>
      <w:r w:rsidRPr="00FB1ACA">
        <w:rPr>
          <w:rFonts w:ascii="Arial" w:hAnsi="Arial" w:cs="Arial"/>
          <w:b/>
          <w:bCs/>
        </w:rPr>
        <w:t>22</w:t>
      </w:r>
      <w:r w:rsidRPr="00FB1ACA">
        <w:rPr>
          <w:rFonts w:ascii="Arial" w:hAnsi="Arial" w:cs="Arial"/>
        </w:rPr>
        <w:t>: 939–946.</w:t>
      </w:r>
    </w:p>
    <w:p w14:paraId="079B5A33"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Trapnell C, Pachter L, Salzberg SL. 2009. TopHat: discovering splice junctions with RNA-Seq. </w:t>
      </w:r>
      <w:r w:rsidRPr="00FB1ACA">
        <w:rPr>
          <w:rFonts w:ascii="Arial" w:hAnsi="Arial" w:cs="Arial"/>
          <w:i/>
          <w:iCs/>
        </w:rPr>
        <w:t>Bioinformatics</w:t>
      </w:r>
      <w:r w:rsidRPr="00FB1ACA">
        <w:rPr>
          <w:rFonts w:ascii="Arial" w:hAnsi="Arial" w:cs="Arial"/>
        </w:rPr>
        <w:t xml:space="preserve"> </w:t>
      </w:r>
      <w:r w:rsidRPr="00FB1ACA">
        <w:rPr>
          <w:rFonts w:ascii="Arial" w:hAnsi="Arial" w:cs="Arial"/>
          <w:b/>
          <w:bCs/>
        </w:rPr>
        <w:t>25</w:t>
      </w:r>
      <w:r w:rsidRPr="00FB1ACA">
        <w:rPr>
          <w:rFonts w:ascii="Arial" w:hAnsi="Arial" w:cs="Arial"/>
        </w:rPr>
        <w:t>: 1105–1111.</w:t>
      </w:r>
    </w:p>
    <w:p w14:paraId="6DDFF8FE" w14:textId="77777777" w:rsidR="00FB1ACA" w:rsidRPr="00FB1ACA" w:rsidRDefault="00FB1ACA">
      <w:pPr>
        <w:widowControl w:val="0"/>
        <w:autoSpaceDE w:val="0"/>
        <w:autoSpaceDN w:val="0"/>
        <w:adjustRightInd w:val="0"/>
        <w:rPr>
          <w:rFonts w:ascii="Arial" w:hAnsi="Arial" w:cs="Arial"/>
        </w:rPr>
      </w:pPr>
      <w:r w:rsidRPr="00FB1ACA">
        <w:rPr>
          <w:rFonts w:ascii="Arial" w:hAnsi="Arial" w:cs="Arial"/>
        </w:rPr>
        <w:t xml:space="preserve">Zhang Y, Liu T, Meyer CA, Eeckhoute J, Johnson DS, Bernstein BE, Nusbaum C, Myers RM, Brown M, Li W, et al. 2008. Model-based Analysis of ChIP-Seq (MACS). </w:t>
      </w:r>
      <w:r w:rsidRPr="00FB1ACA">
        <w:rPr>
          <w:rFonts w:ascii="Arial" w:hAnsi="Arial" w:cs="Arial"/>
          <w:i/>
          <w:iCs/>
        </w:rPr>
        <w:t>Genome Biol</w:t>
      </w:r>
      <w:r w:rsidRPr="00FB1ACA">
        <w:rPr>
          <w:rFonts w:ascii="Arial" w:hAnsi="Arial" w:cs="Arial"/>
        </w:rPr>
        <w:t xml:space="preserve"> </w:t>
      </w:r>
      <w:r w:rsidRPr="00FB1ACA">
        <w:rPr>
          <w:rFonts w:ascii="Arial" w:hAnsi="Arial" w:cs="Arial"/>
          <w:b/>
          <w:bCs/>
        </w:rPr>
        <w:t>9</w:t>
      </w:r>
      <w:r w:rsidRPr="00FB1ACA">
        <w:rPr>
          <w:rFonts w:ascii="Arial" w:hAnsi="Arial" w:cs="Arial"/>
        </w:rPr>
        <w:t>: R137.</w:t>
      </w:r>
    </w:p>
    <w:p w14:paraId="633DBEE6" w14:textId="7F61ACB8" w:rsidR="009D437F" w:rsidRDefault="000E000A" w:rsidP="00FB1ACA">
      <w:pPr>
        <w:pStyle w:val="Bibliography"/>
      </w:pPr>
      <w:r>
        <w:fldChar w:fldCharType="begin"/>
      </w:r>
      <w:r>
        <w:instrText xml:space="preserve"> ADDIN ZOTERO_BIBL {"uncited":[],"omitted":[],"custom":[]} CSL_BIBLIOGRAPHY </w:instrText>
      </w:r>
      <w:r>
        <w:fldChar w:fldCharType="end"/>
      </w:r>
    </w:p>
    <w:p w14:paraId="46130252" w14:textId="08E6C665" w:rsidR="00A80A7E" w:rsidRDefault="00A80A7E">
      <w:pPr>
        <w:rPr>
          <w:rFonts w:ascii="Arial" w:hAnsi="Arial" w:cs="Arial"/>
        </w:rPr>
      </w:pPr>
    </w:p>
    <w:sectPr w:rsidR="00A80A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8D6E3D"/>
    <w:multiLevelType w:val="hybridMultilevel"/>
    <w:tmpl w:val="5CC2D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793190"/>
    <w:multiLevelType w:val="hybridMultilevel"/>
    <w:tmpl w:val="5CC2D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EE747C"/>
    <w:multiLevelType w:val="hybridMultilevel"/>
    <w:tmpl w:val="5CC2D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A50D8E"/>
    <w:multiLevelType w:val="hybridMultilevel"/>
    <w:tmpl w:val="85BC0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9E5827"/>
    <w:multiLevelType w:val="hybridMultilevel"/>
    <w:tmpl w:val="5CC2D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EE0467"/>
    <w:multiLevelType w:val="hybridMultilevel"/>
    <w:tmpl w:val="5CC2D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34"/>
    <w:rsid w:val="00003863"/>
    <w:rsid w:val="00030EE4"/>
    <w:rsid w:val="00044219"/>
    <w:rsid w:val="00095334"/>
    <w:rsid w:val="000A5168"/>
    <w:rsid w:val="000C5723"/>
    <w:rsid w:val="000E000A"/>
    <w:rsid w:val="00151969"/>
    <w:rsid w:val="0015252D"/>
    <w:rsid w:val="00251A33"/>
    <w:rsid w:val="002812E4"/>
    <w:rsid w:val="002E701E"/>
    <w:rsid w:val="00322E2E"/>
    <w:rsid w:val="0034691C"/>
    <w:rsid w:val="0038492C"/>
    <w:rsid w:val="004B2298"/>
    <w:rsid w:val="005617DC"/>
    <w:rsid w:val="005C29DE"/>
    <w:rsid w:val="005C40CA"/>
    <w:rsid w:val="005F56CC"/>
    <w:rsid w:val="006467F4"/>
    <w:rsid w:val="00646EBE"/>
    <w:rsid w:val="006B0DB8"/>
    <w:rsid w:val="006E5EC7"/>
    <w:rsid w:val="00730C62"/>
    <w:rsid w:val="007368BC"/>
    <w:rsid w:val="00740B56"/>
    <w:rsid w:val="007625E0"/>
    <w:rsid w:val="00772DB0"/>
    <w:rsid w:val="007A5B95"/>
    <w:rsid w:val="007B5501"/>
    <w:rsid w:val="007B555B"/>
    <w:rsid w:val="007D1DFF"/>
    <w:rsid w:val="00832D97"/>
    <w:rsid w:val="0085025B"/>
    <w:rsid w:val="00864255"/>
    <w:rsid w:val="008825A6"/>
    <w:rsid w:val="00884020"/>
    <w:rsid w:val="008D3FA0"/>
    <w:rsid w:val="008E0036"/>
    <w:rsid w:val="00926273"/>
    <w:rsid w:val="00942BF9"/>
    <w:rsid w:val="0095475E"/>
    <w:rsid w:val="009624BA"/>
    <w:rsid w:val="009704CC"/>
    <w:rsid w:val="009C347A"/>
    <w:rsid w:val="009D437F"/>
    <w:rsid w:val="00A80A7E"/>
    <w:rsid w:val="00AD4021"/>
    <w:rsid w:val="00B2503D"/>
    <w:rsid w:val="00B4106C"/>
    <w:rsid w:val="00B54661"/>
    <w:rsid w:val="00B6776B"/>
    <w:rsid w:val="00B8363D"/>
    <w:rsid w:val="00BB5F47"/>
    <w:rsid w:val="00C06814"/>
    <w:rsid w:val="00C4338E"/>
    <w:rsid w:val="00CC063C"/>
    <w:rsid w:val="00D573EC"/>
    <w:rsid w:val="00D63A4D"/>
    <w:rsid w:val="00D74B57"/>
    <w:rsid w:val="00E17029"/>
    <w:rsid w:val="00E60C46"/>
    <w:rsid w:val="00F42E99"/>
    <w:rsid w:val="00FB1ACA"/>
    <w:rsid w:val="00FD61F5"/>
    <w:rsid w:val="00FD7F6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6A68D"/>
  <w15:chartTrackingRefBased/>
  <w15:docId w15:val="{C72FFE1E-4913-4F1E-9575-A1D581520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37F"/>
    <w:pPr>
      <w:ind w:left="720"/>
      <w:contextualSpacing/>
    </w:pPr>
  </w:style>
  <w:style w:type="paragraph" w:customStyle="1" w:styleId="ThesisHeading3">
    <w:name w:val="Thesis Heading 3"/>
    <w:basedOn w:val="Normal"/>
    <w:link w:val="ThesisHeading3Char"/>
    <w:qFormat/>
    <w:rsid w:val="00FD7F6C"/>
    <w:pPr>
      <w:spacing w:after="240" w:line="480" w:lineRule="auto"/>
      <w:jc w:val="both"/>
    </w:pPr>
    <w:rPr>
      <w:rFonts w:ascii="Calibri" w:eastAsia="MS Mincho" w:hAnsi="Calibri" w:cs="Times New Roman"/>
      <w:b/>
      <w:sz w:val="24"/>
    </w:rPr>
  </w:style>
  <w:style w:type="character" w:customStyle="1" w:styleId="ThesisHeading3Char">
    <w:name w:val="Thesis Heading 3 Char"/>
    <w:basedOn w:val="DefaultParagraphFont"/>
    <w:link w:val="ThesisHeading3"/>
    <w:rsid w:val="00FD7F6C"/>
    <w:rPr>
      <w:rFonts w:ascii="Calibri" w:eastAsia="MS Mincho" w:hAnsi="Calibri" w:cs="Times New Roman"/>
      <w:b/>
      <w:sz w:val="24"/>
    </w:rPr>
  </w:style>
  <w:style w:type="paragraph" w:styleId="BalloonText">
    <w:name w:val="Balloon Text"/>
    <w:basedOn w:val="Normal"/>
    <w:link w:val="BalloonTextChar"/>
    <w:uiPriority w:val="99"/>
    <w:semiHidden/>
    <w:unhideWhenUsed/>
    <w:rsid w:val="00A80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A7E"/>
    <w:rPr>
      <w:rFonts w:ascii="Segoe UI" w:hAnsi="Segoe UI" w:cs="Segoe UI"/>
      <w:sz w:val="18"/>
      <w:szCs w:val="18"/>
    </w:rPr>
  </w:style>
  <w:style w:type="character" w:styleId="CommentReference">
    <w:name w:val="annotation reference"/>
    <w:basedOn w:val="DefaultParagraphFont"/>
    <w:uiPriority w:val="99"/>
    <w:semiHidden/>
    <w:unhideWhenUsed/>
    <w:rsid w:val="00E17029"/>
    <w:rPr>
      <w:sz w:val="18"/>
      <w:szCs w:val="18"/>
    </w:rPr>
  </w:style>
  <w:style w:type="paragraph" w:styleId="CommentText">
    <w:name w:val="annotation text"/>
    <w:basedOn w:val="Normal"/>
    <w:link w:val="CommentTextChar"/>
    <w:uiPriority w:val="99"/>
    <w:semiHidden/>
    <w:unhideWhenUsed/>
    <w:rsid w:val="00E17029"/>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semiHidden/>
    <w:rsid w:val="00E17029"/>
    <w:rPr>
      <w:rFonts w:eastAsiaTheme="minorEastAsia"/>
      <w:sz w:val="24"/>
      <w:szCs w:val="24"/>
    </w:rPr>
  </w:style>
  <w:style w:type="paragraph" w:styleId="Bibliography">
    <w:name w:val="Bibliography"/>
    <w:basedOn w:val="Normal"/>
    <w:next w:val="Normal"/>
    <w:uiPriority w:val="37"/>
    <w:unhideWhenUsed/>
    <w:rsid w:val="00FB1ACA"/>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BE27DB9E29244B4F84600A0F001DE" ma:contentTypeVersion="12" ma:contentTypeDescription="Create a new document." ma:contentTypeScope="" ma:versionID="264d9dc01e2275c21051ca1445979e91">
  <xsd:schema xmlns:xsd="http://www.w3.org/2001/XMLSchema" xmlns:xs="http://www.w3.org/2001/XMLSchema" xmlns:p="http://schemas.microsoft.com/office/2006/metadata/properties" xmlns:ns3="cf0dfbcc-b360-4cf7-9bf5-370ba522dbe9" xmlns:ns4="83c9eb58-c16a-4eef-9abf-4aeec758fe01" targetNamespace="http://schemas.microsoft.com/office/2006/metadata/properties" ma:root="true" ma:fieldsID="7f46ec7611316b8daea19e5b6bd17bb9" ns3:_="" ns4:_="">
    <xsd:import namespace="cf0dfbcc-b360-4cf7-9bf5-370ba522dbe9"/>
    <xsd:import namespace="83c9eb58-c16a-4eef-9abf-4aeec758fe0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dfbcc-b360-4cf7-9bf5-370ba522d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c9eb58-c16a-4eef-9abf-4aeec758fe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27F4A4-A2DC-497C-B43E-D87CA4A56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dfbcc-b360-4cf7-9bf5-370ba522dbe9"/>
    <ds:schemaRef ds:uri="83c9eb58-c16a-4eef-9abf-4aeec758f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42A76-6318-4037-8307-4CBDA2975C13}">
  <ds:schemaRefs>
    <ds:schemaRef ds:uri="http://schemas.microsoft.com/sharepoint/v3/contenttype/forms"/>
  </ds:schemaRefs>
</ds:datastoreItem>
</file>

<file path=customXml/itemProps3.xml><?xml version="1.0" encoding="utf-8"?>
<ds:datastoreItem xmlns:ds="http://schemas.openxmlformats.org/officeDocument/2006/customXml" ds:itemID="{5BF00EF3-9EAA-479B-B29F-90E8D7A07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12035</Words>
  <Characters>68604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Skirmantas Kriaucionis</dc:creator>
  <cp:keywords/>
  <dc:description/>
  <cp:lastModifiedBy>Skirmantas Kriaucionis</cp:lastModifiedBy>
  <cp:revision>7</cp:revision>
  <dcterms:created xsi:type="dcterms:W3CDTF">2020-08-01T01:27:00Z</dcterms:created>
  <dcterms:modified xsi:type="dcterms:W3CDTF">2020-09-17T08:47:00Z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0x0101008FCBE27DB9E29244B4F84600A0F001DE</vt:lpwstr>
  </property>
  <property fmtid="{D5CDD505-2E9C-101B-9397-08002B2CF9AE}" pid="3" name="ZOTERO_PREF_1">
    <vt:lpwstr>&lt;data data-version="3" zotero-version="5.0.89"&gt;&lt;session id="h32ESSPV"/&gt;&lt;style id="http://www.zotero.org/styles/genome-research" hasBibliography="1" bibliographyStyleHasBeenSet="1"/&gt;&lt;prefs&gt;&lt;pref name="fieldType" value="Field"/&gt;&lt;/prefs&gt;&lt;/data&gt;</vt:lpwstr>
  </property>
</Properties>
</file>