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F965C" w14:textId="77777777" w:rsidR="009E09CE" w:rsidRDefault="009E09CE" w:rsidP="009E09CE">
      <w:pPr>
        <w:spacing w:line="360" w:lineRule="auto"/>
        <w:rPr>
          <w:rFonts w:eastAsia="Arial" w:cs="Arial"/>
          <w:color w:val="000000"/>
          <w:sz w:val="22"/>
          <w:szCs w:val="22"/>
        </w:rPr>
      </w:pPr>
      <w:r>
        <w:rPr>
          <w:rFonts w:eastAsia="Arial" w:cs="Arial"/>
          <w:b/>
          <w:color w:val="000000"/>
          <w:sz w:val="22"/>
          <w:szCs w:val="22"/>
        </w:rPr>
        <w:t xml:space="preserve">Supplementary Table 2. </w:t>
      </w:r>
      <w:r>
        <w:rPr>
          <w:rFonts w:eastAsia="Arial" w:cs="Arial"/>
          <w:color w:val="000000"/>
          <w:sz w:val="22"/>
          <w:szCs w:val="22"/>
        </w:rPr>
        <w:t xml:space="preserve">Sensitivity and specificity of </w:t>
      </w:r>
      <w:bookmarkStart w:id="0" w:name="_GoBack"/>
      <w:proofErr w:type="spellStart"/>
      <w:r w:rsidRPr="00DA6D10">
        <w:rPr>
          <w:rFonts w:eastAsia="Arial" w:cs="Arial"/>
          <w:color w:val="000000"/>
          <w:sz w:val="22"/>
          <w:szCs w:val="22"/>
        </w:rPr>
        <w:t>Famdenovo</w:t>
      </w:r>
      <w:bookmarkEnd w:id="0"/>
      <w:proofErr w:type="spellEnd"/>
      <w:r>
        <w:rPr>
          <w:rFonts w:eastAsia="Arial" w:cs="Arial"/>
          <w:color w:val="000000"/>
          <w:sz w:val="22"/>
          <w:szCs w:val="22"/>
        </w:rPr>
        <w:t xml:space="preserve"> under different cutoffs for classifying DNM</w:t>
      </w:r>
      <w:r>
        <w:rPr>
          <w:rFonts w:eastAsia="Arial" w:cs="Arial"/>
          <w:i/>
          <w:color w:val="000000"/>
          <w:sz w:val="22"/>
          <w:szCs w:val="22"/>
        </w:rPr>
        <w:t xml:space="preserve"> </w:t>
      </w:r>
      <w:r>
        <w:rPr>
          <w:rFonts w:eastAsia="Arial" w:cs="Arial"/>
          <w:color w:val="000000"/>
          <w:sz w:val="22"/>
          <w:szCs w:val="22"/>
        </w:rPr>
        <w:t xml:space="preserve">status of </w:t>
      </w:r>
      <w:r>
        <w:rPr>
          <w:rFonts w:eastAsia="Arial" w:cs="Arial"/>
          <w:i/>
          <w:color w:val="000000"/>
          <w:sz w:val="22"/>
          <w:szCs w:val="22"/>
        </w:rPr>
        <w:t>TP53</w:t>
      </w:r>
      <w:r>
        <w:rPr>
          <w:rFonts w:eastAsia="Arial" w:cs="Arial"/>
          <w:color w:val="000000"/>
          <w:sz w:val="22"/>
          <w:szCs w:val="22"/>
        </w:rPr>
        <w:t xml:space="preserve"> mutations. The dataset used for evaluating sensitivity and specificity is the same as in </w:t>
      </w:r>
      <w:r w:rsidRPr="00427CF7">
        <w:rPr>
          <w:rFonts w:eastAsia="Arial" w:cs="Arial"/>
          <w:b/>
          <w:color w:val="000000"/>
          <w:sz w:val="22"/>
          <w:szCs w:val="22"/>
        </w:rPr>
        <w:t>Figure 1</w:t>
      </w:r>
      <w:r>
        <w:rPr>
          <w:rFonts w:eastAsia="Arial" w:cs="Arial"/>
          <w:color w:val="000000"/>
          <w:sz w:val="22"/>
          <w:szCs w:val="22"/>
        </w:rPr>
        <w:t xml:space="preserve">, which contains 186 families. There are 42 of these families that have an individual who carries a </w:t>
      </w:r>
      <w:r>
        <w:rPr>
          <w:rFonts w:eastAsia="Arial" w:cs="Arial"/>
          <w:i/>
          <w:color w:val="000000"/>
          <w:sz w:val="22"/>
          <w:szCs w:val="22"/>
        </w:rPr>
        <w:t>de novo</w:t>
      </w:r>
      <w:r>
        <w:rPr>
          <w:rFonts w:eastAsia="Arial" w:cs="Arial"/>
          <w:color w:val="000000"/>
          <w:sz w:val="22"/>
          <w:szCs w:val="22"/>
        </w:rPr>
        <w:t xml:space="preserve"> </w:t>
      </w:r>
      <w:r>
        <w:rPr>
          <w:rFonts w:eastAsia="Arial" w:cs="Arial"/>
          <w:i/>
          <w:color w:val="000000"/>
          <w:sz w:val="22"/>
          <w:szCs w:val="22"/>
        </w:rPr>
        <w:t>TP53</w:t>
      </w:r>
      <w:r>
        <w:rPr>
          <w:rFonts w:eastAsia="Arial" w:cs="Arial"/>
          <w:color w:val="000000"/>
          <w:sz w:val="22"/>
          <w:szCs w:val="22"/>
        </w:rPr>
        <w:t xml:space="preserve"> mutation. The first column is the cutoff chosen to classify the DNM status as 1 if the probability is greater than the cutoff, and 0 otherwise. The second column is the number of predicted positives using the corresponding cutoff. The third column is the number of true positives out of those that are predicted. The fourth and fifth columns are the corresponding sensitivity and specificity, respectively.</w:t>
      </w:r>
    </w:p>
    <w:tbl>
      <w:tblPr>
        <w:tblW w:w="6896" w:type="dxa"/>
        <w:tblBorders>
          <w:top w:val="single" w:sz="4" w:space="0" w:color="000000"/>
          <w:bottom w:val="single" w:sz="4" w:space="0" w:color="000000"/>
        </w:tblBorders>
        <w:tblLayout w:type="fixed"/>
        <w:tblLook w:val="0400" w:firstRow="0" w:lastRow="0" w:firstColumn="0" w:lastColumn="0" w:noHBand="0" w:noVBand="1"/>
      </w:tblPr>
      <w:tblGrid>
        <w:gridCol w:w="1350"/>
        <w:gridCol w:w="1329"/>
        <w:gridCol w:w="1409"/>
        <w:gridCol w:w="1407"/>
        <w:gridCol w:w="1401"/>
      </w:tblGrid>
      <w:tr w:rsidR="009E09CE" w14:paraId="4C4A8352" w14:textId="77777777" w:rsidTr="00532DED">
        <w:trPr>
          <w:trHeight w:val="300"/>
        </w:trPr>
        <w:tc>
          <w:tcPr>
            <w:tcW w:w="1350" w:type="dxa"/>
            <w:tcBorders>
              <w:top w:val="single" w:sz="4" w:space="0" w:color="000000"/>
              <w:bottom w:val="single" w:sz="4" w:space="0" w:color="000000"/>
            </w:tcBorders>
            <w:vAlign w:val="center"/>
          </w:tcPr>
          <w:p w14:paraId="05780C36" w14:textId="77777777" w:rsidR="009E09CE" w:rsidRPr="00146118" w:rsidRDefault="009E09CE" w:rsidP="00532DED">
            <w:pPr>
              <w:widowControl/>
              <w:spacing w:line="360" w:lineRule="auto"/>
              <w:jc w:val="left"/>
              <w:rPr>
                <w:rFonts w:eastAsia="Arial" w:cs="Arial"/>
                <w:b/>
                <w:color w:val="000000"/>
                <w:sz w:val="22"/>
                <w:szCs w:val="22"/>
              </w:rPr>
            </w:pPr>
            <w:r w:rsidRPr="00146118">
              <w:rPr>
                <w:rFonts w:eastAsia="Arial" w:cs="Arial"/>
                <w:b/>
                <w:color w:val="000000"/>
                <w:sz w:val="22"/>
                <w:szCs w:val="22"/>
              </w:rPr>
              <w:t>Prediction cutoff</w:t>
            </w:r>
          </w:p>
        </w:tc>
        <w:tc>
          <w:tcPr>
            <w:tcW w:w="1329" w:type="dxa"/>
            <w:tcBorders>
              <w:top w:val="single" w:sz="4" w:space="0" w:color="000000"/>
              <w:bottom w:val="single" w:sz="4" w:space="0" w:color="000000"/>
            </w:tcBorders>
          </w:tcPr>
          <w:p w14:paraId="69791D5A" w14:textId="77777777" w:rsidR="009E09CE" w:rsidRPr="00146118" w:rsidRDefault="009E09CE" w:rsidP="00532DED">
            <w:pPr>
              <w:widowControl/>
              <w:spacing w:line="360" w:lineRule="auto"/>
              <w:jc w:val="center"/>
              <w:rPr>
                <w:rFonts w:eastAsia="Arial" w:cs="Arial"/>
                <w:b/>
                <w:color w:val="000000"/>
                <w:sz w:val="22"/>
                <w:szCs w:val="22"/>
              </w:rPr>
            </w:pPr>
            <w:r w:rsidRPr="00146118">
              <w:rPr>
                <w:rFonts w:eastAsia="Arial" w:cs="Arial"/>
                <w:b/>
                <w:color w:val="000000"/>
                <w:sz w:val="22"/>
                <w:szCs w:val="22"/>
              </w:rPr>
              <w:t>Called positives, no.</w:t>
            </w:r>
          </w:p>
        </w:tc>
        <w:tc>
          <w:tcPr>
            <w:tcW w:w="1409" w:type="dxa"/>
            <w:tcBorders>
              <w:top w:val="single" w:sz="4" w:space="0" w:color="000000"/>
              <w:bottom w:val="single" w:sz="4" w:space="0" w:color="000000"/>
            </w:tcBorders>
            <w:shd w:val="clear" w:color="auto" w:fill="auto"/>
            <w:vAlign w:val="center"/>
          </w:tcPr>
          <w:p w14:paraId="6667E633" w14:textId="77777777" w:rsidR="009E09CE" w:rsidRPr="00146118" w:rsidRDefault="009E09CE" w:rsidP="00532DED">
            <w:pPr>
              <w:widowControl/>
              <w:spacing w:line="360" w:lineRule="auto"/>
              <w:jc w:val="center"/>
              <w:rPr>
                <w:rFonts w:eastAsia="Arial" w:cs="Arial"/>
                <w:b/>
                <w:color w:val="000000"/>
                <w:sz w:val="22"/>
                <w:szCs w:val="22"/>
              </w:rPr>
            </w:pPr>
            <w:r w:rsidRPr="00146118">
              <w:rPr>
                <w:rFonts w:eastAsia="Arial" w:cs="Arial"/>
                <w:b/>
                <w:color w:val="000000"/>
                <w:sz w:val="22"/>
                <w:szCs w:val="22"/>
              </w:rPr>
              <w:t xml:space="preserve">Called true positives, no. </w:t>
            </w:r>
          </w:p>
        </w:tc>
        <w:tc>
          <w:tcPr>
            <w:tcW w:w="1407" w:type="dxa"/>
            <w:tcBorders>
              <w:top w:val="single" w:sz="4" w:space="0" w:color="000000"/>
              <w:bottom w:val="single" w:sz="4" w:space="0" w:color="000000"/>
            </w:tcBorders>
            <w:shd w:val="clear" w:color="auto" w:fill="auto"/>
            <w:vAlign w:val="center"/>
          </w:tcPr>
          <w:p w14:paraId="3AF730EF" w14:textId="77777777" w:rsidR="009E09CE" w:rsidRPr="00146118" w:rsidRDefault="009E09CE" w:rsidP="00532DED">
            <w:pPr>
              <w:widowControl/>
              <w:spacing w:line="360" w:lineRule="auto"/>
              <w:jc w:val="center"/>
              <w:rPr>
                <w:rFonts w:eastAsia="Arial" w:cs="Arial"/>
                <w:b/>
                <w:color w:val="000000"/>
                <w:sz w:val="22"/>
                <w:szCs w:val="22"/>
              </w:rPr>
            </w:pPr>
            <w:r w:rsidRPr="00146118">
              <w:rPr>
                <w:rFonts w:eastAsia="Arial" w:cs="Arial"/>
                <w:b/>
                <w:color w:val="000000"/>
                <w:sz w:val="22"/>
                <w:szCs w:val="22"/>
              </w:rPr>
              <w:t>Sensitivity</w:t>
            </w:r>
          </w:p>
        </w:tc>
        <w:tc>
          <w:tcPr>
            <w:tcW w:w="1401" w:type="dxa"/>
            <w:tcBorders>
              <w:top w:val="single" w:sz="4" w:space="0" w:color="000000"/>
              <w:bottom w:val="single" w:sz="4" w:space="0" w:color="000000"/>
            </w:tcBorders>
            <w:shd w:val="clear" w:color="auto" w:fill="auto"/>
            <w:vAlign w:val="center"/>
          </w:tcPr>
          <w:p w14:paraId="381D04B6" w14:textId="77777777" w:rsidR="009E09CE" w:rsidRPr="00146118" w:rsidRDefault="009E09CE" w:rsidP="00532DED">
            <w:pPr>
              <w:widowControl/>
              <w:spacing w:line="360" w:lineRule="auto"/>
              <w:jc w:val="center"/>
              <w:rPr>
                <w:rFonts w:eastAsia="Arial" w:cs="Arial"/>
                <w:b/>
                <w:color w:val="000000"/>
                <w:sz w:val="22"/>
                <w:szCs w:val="22"/>
              </w:rPr>
            </w:pPr>
            <w:r w:rsidRPr="00146118">
              <w:rPr>
                <w:rFonts w:eastAsia="Arial" w:cs="Arial"/>
                <w:b/>
                <w:color w:val="000000"/>
                <w:sz w:val="22"/>
                <w:szCs w:val="22"/>
              </w:rPr>
              <w:t>Specificity</w:t>
            </w:r>
          </w:p>
        </w:tc>
      </w:tr>
      <w:tr w:rsidR="009E09CE" w14:paraId="159CE8E3" w14:textId="77777777" w:rsidTr="00532DED">
        <w:trPr>
          <w:trHeight w:val="280"/>
        </w:trPr>
        <w:tc>
          <w:tcPr>
            <w:tcW w:w="1350" w:type="dxa"/>
            <w:tcBorders>
              <w:top w:val="single" w:sz="4" w:space="0" w:color="000000"/>
            </w:tcBorders>
            <w:vAlign w:val="center"/>
          </w:tcPr>
          <w:p w14:paraId="619CCC62" w14:textId="77777777" w:rsidR="009E09CE" w:rsidRDefault="009E09CE" w:rsidP="00532DED">
            <w:pPr>
              <w:widowControl/>
              <w:spacing w:line="360" w:lineRule="auto"/>
              <w:jc w:val="left"/>
              <w:rPr>
                <w:rFonts w:eastAsia="Arial" w:cs="Arial"/>
                <w:color w:val="000000"/>
                <w:sz w:val="22"/>
                <w:szCs w:val="22"/>
              </w:rPr>
            </w:pPr>
            <w:r>
              <w:rPr>
                <w:rFonts w:eastAsia="Arial" w:cs="Arial"/>
                <w:color w:val="000000"/>
                <w:sz w:val="22"/>
                <w:szCs w:val="22"/>
              </w:rPr>
              <w:t>0.3</w:t>
            </w:r>
          </w:p>
        </w:tc>
        <w:tc>
          <w:tcPr>
            <w:tcW w:w="1329" w:type="dxa"/>
            <w:tcBorders>
              <w:top w:val="single" w:sz="4" w:space="0" w:color="000000"/>
            </w:tcBorders>
          </w:tcPr>
          <w:p w14:paraId="5759C582" w14:textId="77777777" w:rsidR="009E09CE" w:rsidRDefault="009E09CE" w:rsidP="00532DED">
            <w:pPr>
              <w:widowControl/>
              <w:spacing w:line="360" w:lineRule="auto"/>
              <w:jc w:val="center"/>
              <w:rPr>
                <w:rFonts w:eastAsia="Arial" w:cs="Arial"/>
                <w:color w:val="000000"/>
                <w:sz w:val="22"/>
                <w:szCs w:val="22"/>
              </w:rPr>
            </w:pPr>
            <w:r>
              <w:rPr>
                <w:rFonts w:eastAsia="Arial" w:cs="Arial"/>
                <w:color w:val="000000"/>
                <w:sz w:val="22"/>
                <w:szCs w:val="22"/>
              </w:rPr>
              <w:t>37</w:t>
            </w:r>
          </w:p>
        </w:tc>
        <w:tc>
          <w:tcPr>
            <w:tcW w:w="1409" w:type="dxa"/>
            <w:tcBorders>
              <w:top w:val="single" w:sz="4" w:space="0" w:color="000000"/>
            </w:tcBorders>
            <w:shd w:val="clear" w:color="auto" w:fill="auto"/>
            <w:vAlign w:val="center"/>
          </w:tcPr>
          <w:p w14:paraId="29FAFA5F" w14:textId="77777777" w:rsidR="009E09CE" w:rsidRDefault="009E09CE" w:rsidP="00532DED">
            <w:pPr>
              <w:widowControl/>
              <w:spacing w:line="360" w:lineRule="auto"/>
              <w:jc w:val="center"/>
              <w:rPr>
                <w:rFonts w:eastAsia="Arial" w:cs="Arial"/>
                <w:color w:val="000000"/>
                <w:sz w:val="22"/>
                <w:szCs w:val="22"/>
              </w:rPr>
            </w:pPr>
            <w:r>
              <w:rPr>
                <w:rFonts w:eastAsia="Arial" w:cs="Arial"/>
                <w:color w:val="000000"/>
                <w:sz w:val="22"/>
                <w:szCs w:val="22"/>
              </w:rPr>
              <w:t>30</w:t>
            </w:r>
          </w:p>
        </w:tc>
        <w:tc>
          <w:tcPr>
            <w:tcW w:w="1407" w:type="dxa"/>
            <w:tcBorders>
              <w:top w:val="single" w:sz="4" w:space="0" w:color="000000"/>
            </w:tcBorders>
            <w:shd w:val="clear" w:color="auto" w:fill="auto"/>
            <w:vAlign w:val="center"/>
          </w:tcPr>
          <w:p w14:paraId="1C63E8CE" w14:textId="77777777" w:rsidR="009E09CE" w:rsidRDefault="009E09CE" w:rsidP="00532DED">
            <w:pPr>
              <w:widowControl/>
              <w:spacing w:line="360" w:lineRule="auto"/>
              <w:jc w:val="center"/>
              <w:rPr>
                <w:rFonts w:eastAsia="Arial" w:cs="Arial"/>
                <w:color w:val="000000"/>
                <w:sz w:val="22"/>
                <w:szCs w:val="22"/>
              </w:rPr>
            </w:pPr>
            <w:r>
              <w:rPr>
                <w:rFonts w:eastAsia="Arial" w:cs="Arial"/>
                <w:color w:val="000000"/>
                <w:sz w:val="22"/>
                <w:szCs w:val="22"/>
              </w:rPr>
              <w:t>0.71</w:t>
            </w:r>
          </w:p>
        </w:tc>
        <w:tc>
          <w:tcPr>
            <w:tcW w:w="1401" w:type="dxa"/>
            <w:tcBorders>
              <w:top w:val="single" w:sz="4" w:space="0" w:color="000000"/>
            </w:tcBorders>
            <w:shd w:val="clear" w:color="auto" w:fill="auto"/>
            <w:vAlign w:val="center"/>
          </w:tcPr>
          <w:p w14:paraId="3FE6D597" w14:textId="77777777" w:rsidR="009E09CE" w:rsidRDefault="009E09CE" w:rsidP="00532DED">
            <w:pPr>
              <w:widowControl/>
              <w:spacing w:line="360" w:lineRule="auto"/>
              <w:jc w:val="center"/>
              <w:rPr>
                <w:rFonts w:eastAsia="Arial" w:cs="Arial"/>
                <w:color w:val="000000"/>
                <w:sz w:val="22"/>
                <w:szCs w:val="22"/>
              </w:rPr>
            </w:pPr>
            <w:r>
              <w:rPr>
                <w:rFonts w:eastAsia="Arial" w:cs="Arial"/>
                <w:color w:val="000000"/>
                <w:sz w:val="22"/>
                <w:szCs w:val="22"/>
              </w:rPr>
              <w:t>0.95</w:t>
            </w:r>
          </w:p>
        </w:tc>
      </w:tr>
      <w:tr w:rsidR="009E09CE" w14:paraId="546617C2" w14:textId="77777777" w:rsidTr="00532DED">
        <w:trPr>
          <w:trHeight w:val="280"/>
        </w:trPr>
        <w:tc>
          <w:tcPr>
            <w:tcW w:w="1350" w:type="dxa"/>
            <w:vAlign w:val="center"/>
          </w:tcPr>
          <w:p w14:paraId="3F9EF693" w14:textId="77777777" w:rsidR="009E09CE" w:rsidRDefault="009E09CE" w:rsidP="00532DED">
            <w:pPr>
              <w:widowControl/>
              <w:spacing w:line="360" w:lineRule="auto"/>
              <w:jc w:val="left"/>
              <w:rPr>
                <w:rFonts w:eastAsia="Arial" w:cs="Arial"/>
                <w:color w:val="000000"/>
                <w:sz w:val="22"/>
                <w:szCs w:val="22"/>
              </w:rPr>
            </w:pPr>
            <w:r>
              <w:rPr>
                <w:rFonts w:eastAsia="Arial" w:cs="Arial"/>
                <w:color w:val="000000"/>
                <w:sz w:val="22"/>
                <w:szCs w:val="22"/>
              </w:rPr>
              <w:t>0.2</w:t>
            </w:r>
          </w:p>
        </w:tc>
        <w:tc>
          <w:tcPr>
            <w:tcW w:w="1329" w:type="dxa"/>
          </w:tcPr>
          <w:p w14:paraId="50664263" w14:textId="77777777" w:rsidR="009E09CE" w:rsidRDefault="009E09CE" w:rsidP="00532DED">
            <w:pPr>
              <w:widowControl/>
              <w:spacing w:line="360" w:lineRule="auto"/>
              <w:jc w:val="center"/>
              <w:rPr>
                <w:rFonts w:eastAsia="Arial" w:cs="Arial"/>
                <w:color w:val="000000"/>
                <w:sz w:val="22"/>
                <w:szCs w:val="22"/>
              </w:rPr>
            </w:pPr>
            <w:r>
              <w:rPr>
                <w:rFonts w:eastAsia="Arial" w:cs="Arial"/>
                <w:color w:val="000000"/>
                <w:sz w:val="22"/>
                <w:szCs w:val="22"/>
              </w:rPr>
              <w:t>42</w:t>
            </w:r>
          </w:p>
        </w:tc>
        <w:tc>
          <w:tcPr>
            <w:tcW w:w="1409" w:type="dxa"/>
            <w:shd w:val="clear" w:color="auto" w:fill="auto"/>
            <w:vAlign w:val="center"/>
          </w:tcPr>
          <w:p w14:paraId="7E0DB9C3" w14:textId="77777777" w:rsidR="009E09CE" w:rsidRDefault="009E09CE" w:rsidP="00532DED">
            <w:pPr>
              <w:widowControl/>
              <w:spacing w:line="360" w:lineRule="auto"/>
              <w:jc w:val="center"/>
              <w:rPr>
                <w:rFonts w:eastAsia="Arial" w:cs="Arial"/>
                <w:color w:val="000000"/>
                <w:sz w:val="22"/>
                <w:szCs w:val="22"/>
              </w:rPr>
            </w:pPr>
            <w:r>
              <w:rPr>
                <w:rFonts w:eastAsia="Arial" w:cs="Arial"/>
                <w:color w:val="000000"/>
                <w:sz w:val="22"/>
                <w:szCs w:val="22"/>
              </w:rPr>
              <w:t>32</w:t>
            </w:r>
          </w:p>
        </w:tc>
        <w:tc>
          <w:tcPr>
            <w:tcW w:w="1407" w:type="dxa"/>
            <w:shd w:val="clear" w:color="auto" w:fill="auto"/>
            <w:vAlign w:val="center"/>
          </w:tcPr>
          <w:p w14:paraId="6F9C59F5" w14:textId="77777777" w:rsidR="009E09CE" w:rsidRDefault="009E09CE" w:rsidP="00532DED">
            <w:pPr>
              <w:widowControl/>
              <w:spacing w:line="360" w:lineRule="auto"/>
              <w:jc w:val="center"/>
              <w:rPr>
                <w:rFonts w:eastAsia="Arial" w:cs="Arial"/>
                <w:color w:val="000000"/>
                <w:sz w:val="22"/>
                <w:szCs w:val="22"/>
              </w:rPr>
            </w:pPr>
            <w:r>
              <w:rPr>
                <w:rFonts w:eastAsia="Arial" w:cs="Arial"/>
                <w:color w:val="000000"/>
                <w:sz w:val="22"/>
                <w:szCs w:val="22"/>
              </w:rPr>
              <w:t>0.76</w:t>
            </w:r>
          </w:p>
        </w:tc>
        <w:tc>
          <w:tcPr>
            <w:tcW w:w="1401" w:type="dxa"/>
            <w:shd w:val="clear" w:color="auto" w:fill="auto"/>
            <w:vAlign w:val="center"/>
          </w:tcPr>
          <w:p w14:paraId="5C341067" w14:textId="77777777" w:rsidR="009E09CE" w:rsidRDefault="009E09CE" w:rsidP="00532DED">
            <w:pPr>
              <w:widowControl/>
              <w:spacing w:line="360" w:lineRule="auto"/>
              <w:jc w:val="center"/>
              <w:rPr>
                <w:rFonts w:eastAsia="Arial" w:cs="Arial"/>
                <w:color w:val="000000"/>
                <w:sz w:val="22"/>
                <w:szCs w:val="22"/>
              </w:rPr>
            </w:pPr>
            <w:r>
              <w:rPr>
                <w:rFonts w:eastAsia="Arial" w:cs="Arial"/>
                <w:color w:val="000000"/>
                <w:sz w:val="22"/>
                <w:szCs w:val="22"/>
              </w:rPr>
              <w:t>0.93</w:t>
            </w:r>
          </w:p>
        </w:tc>
      </w:tr>
      <w:tr w:rsidR="009E09CE" w14:paraId="698ED6B1" w14:textId="77777777" w:rsidTr="00532DED">
        <w:trPr>
          <w:trHeight w:val="280"/>
        </w:trPr>
        <w:tc>
          <w:tcPr>
            <w:tcW w:w="1350" w:type="dxa"/>
            <w:vAlign w:val="center"/>
          </w:tcPr>
          <w:p w14:paraId="6BAA4D3C" w14:textId="77777777" w:rsidR="009E09CE" w:rsidRDefault="009E09CE" w:rsidP="00532DED">
            <w:pPr>
              <w:widowControl/>
              <w:spacing w:line="360" w:lineRule="auto"/>
              <w:jc w:val="left"/>
              <w:rPr>
                <w:rFonts w:eastAsia="Arial" w:cs="Arial"/>
                <w:color w:val="000000"/>
                <w:sz w:val="22"/>
                <w:szCs w:val="22"/>
              </w:rPr>
            </w:pPr>
            <w:r>
              <w:rPr>
                <w:rFonts w:eastAsia="Arial" w:cs="Arial"/>
                <w:color w:val="000000"/>
                <w:sz w:val="22"/>
                <w:szCs w:val="22"/>
              </w:rPr>
              <w:t>0.1</w:t>
            </w:r>
          </w:p>
        </w:tc>
        <w:tc>
          <w:tcPr>
            <w:tcW w:w="1329" w:type="dxa"/>
          </w:tcPr>
          <w:p w14:paraId="7F61D5E1" w14:textId="77777777" w:rsidR="009E09CE" w:rsidRDefault="009E09CE" w:rsidP="00532DED">
            <w:pPr>
              <w:widowControl/>
              <w:spacing w:line="360" w:lineRule="auto"/>
              <w:jc w:val="center"/>
              <w:rPr>
                <w:rFonts w:eastAsia="Arial" w:cs="Arial"/>
                <w:color w:val="000000"/>
                <w:sz w:val="22"/>
                <w:szCs w:val="22"/>
              </w:rPr>
            </w:pPr>
            <w:r>
              <w:rPr>
                <w:rFonts w:eastAsia="Arial" w:cs="Arial"/>
                <w:color w:val="000000"/>
                <w:sz w:val="22"/>
                <w:szCs w:val="22"/>
              </w:rPr>
              <w:t>45</w:t>
            </w:r>
          </w:p>
        </w:tc>
        <w:tc>
          <w:tcPr>
            <w:tcW w:w="1409" w:type="dxa"/>
            <w:shd w:val="clear" w:color="auto" w:fill="auto"/>
            <w:vAlign w:val="center"/>
          </w:tcPr>
          <w:p w14:paraId="675705E8" w14:textId="77777777" w:rsidR="009E09CE" w:rsidRDefault="009E09CE" w:rsidP="00532DED">
            <w:pPr>
              <w:widowControl/>
              <w:spacing w:line="360" w:lineRule="auto"/>
              <w:jc w:val="center"/>
              <w:rPr>
                <w:rFonts w:eastAsia="Arial" w:cs="Arial"/>
                <w:color w:val="000000"/>
                <w:sz w:val="22"/>
                <w:szCs w:val="22"/>
              </w:rPr>
            </w:pPr>
            <w:r>
              <w:rPr>
                <w:rFonts w:eastAsia="Arial" w:cs="Arial"/>
                <w:color w:val="000000"/>
                <w:sz w:val="22"/>
                <w:szCs w:val="22"/>
              </w:rPr>
              <w:t>33</w:t>
            </w:r>
          </w:p>
        </w:tc>
        <w:tc>
          <w:tcPr>
            <w:tcW w:w="1407" w:type="dxa"/>
            <w:shd w:val="clear" w:color="auto" w:fill="auto"/>
            <w:vAlign w:val="center"/>
          </w:tcPr>
          <w:p w14:paraId="108A8826" w14:textId="77777777" w:rsidR="009E09CE" w:rsidRDefault="009E09CE" w:rsidP="00532DED">
            <w:pPr>
              <w:widowControl/>
              <w:spacing w:line="360" w:lineRule="auto"/>
              <w:jc w:val="center"/>
              <w:rPr>
                <w:rFonts w:eastAsia="Arial" w:cs="Arial"/>
                <w:color w:val="000000"/>
                <w:sz w:val="22"/>
                <w:szCs w:val="22"/>
              </w:rPr>
            </w:pPr>
            <w:r>
              <w:rPr>
                <w:rFonts w:eastAsia="Arial" w:cs="Arial"/>
                <w:color w:val="000000"/>
                <w:sz w:val="22"/>
                <w:szCs w:val="22"/>
              </w:rPr>
              <w:t>0.79</w:t>
            </w:r>
          </w:p>
        </w:tc>
        <w:tc>
          <w:tcPr>
            <w:tcW w:w="1401" w:type="dxa"/>
            <w:shd w:val="clear" w:color="auto" w:fill="auto"/>
            <w:vAlign w:val="center"/>
          </w:tcPr>
          <w:p w14:paraId="2D95DEBD" w14:textId="77777777" w:rsidR="009E09CE" w:rsidRDefault="009E09CE" w:rsidP="00532DED">
            <w:pPr>
              <w:widowControl/>
              <w:spacing w:line="360" w:lineRule="auto"/>
              <w:jc w:val="center"/>
              <w:rPr>
                <w:rFonts w:eastAsia="Arial" w:cs="Arial"/>
                <w:color w:val="000000"/>
                <w:sz w:val="22"/>
                <w:szCs w:val="22"/>
              </w:rPr>
            </w:pPr>
            <w:r>
              <w:rPr>
                <w:rFonts w:eastAsia="Arial" w:cs="Arial"/>
                <w:color w:val="000000"/>
                <w:sz w:val="22"/>
                <w:szCs w:val="22"/>
              </w:rPr>
              <w:t>0.92</w:t>
            </w:r>
          </w:p>
        </w:tc>
      </w:tr>
      <w:tr w:rsidR="009E09CE" w14:paraId="4ED79F65" w14:textId="77777777" w:rsidTr="00532DED">
        <w:trPr>
          <w:trHeight w:val="280"/>
        </w:trPr>
        <w:tc>
          <w:tcPr>
            <w:tcW w:w="1350" w:type="dxa"/>
            <w:vAlign w:val="center"/>
          </w:tcPr>
          <w:p w14:paraId="27CF42EE" w14:textId="77777777" w:rsidR="009E09CE" w:rsidRDefault="009E09CE" w:rsidP="00532DED">
            <w:pPr>
              <w:widowControl/>
              <w:spacing w:line="360" w:lineRule="auto"/>
              <w:jc w:val="left"/>
              <w:rPr>
                <w:rFonts w:eastAsia="Arial" w:cs="Arial"/>
                <w:color w:val="000000"/>
                <w:sz w:val="22"/>
                <w:szCs w:val="22"/>
              </w:rPr>
            </w:pPr>
            <w:r>
              <w:rPr>
                <w:rFonts w:eastAsia="Arial" w:cs="Arial"/>
                <w:color w:val="000000"/>
                <w:sz w:val="22"/>
                <w:szCs w:val="22"/>
              </w:rPr>
              <w:t>0.05</w:t>
            </w:r>
          </w:p>
        </w:tc>
        <w:tc>
          <w:tcPr>
            <w:tcW w:w="1329" w:type="dxa"/>
          </w:tcPr>
          <w:p w14:paraId="55477D40" w14:textId="77777777" w:rsidR="009E09CE" w:rsidRDefault="009E09CE" w:rsidP="00532DED">
            <w:pPr>
              <w:widowControl/>
              <w:spacing w:line="360" w:lineRule="auto"/>
              <w:jc w:val="center"/>
              <w:rPr>
                <w:rFonts w:eastAsia="Arial" w:cs="Arial"/>
                <w:color w:val="000000"/>
                <w:sz w:val="22"/>
                <w:szCs w:val="22"/>
              </w:rPr>
            </w:pPr>
            <w:r>
              <w:rPr>
                <w:rFonts w:eastAsia="Arial" w:cs="Arial"/>
                <w:color w:val="000000"/>
                <w:sz w:val="22"/>
                <w:szCs w:val="22"/>
              </w:rPr>
              <w:t>55</w:t>
            </w:r>
          </w:p>
        </w:tc>
        <w:tc>
          <w:tcPr>
            <w:tcW w:w="1409" w:type="dxa"/>
            <w:shd w:val="clear" w:color="auto" w:fill="auto"/>
            <w:vAlign w:val="center"/>
          </w:tcPr>
          <w:p w14:paraId="329CE375" w14:textId="77777777" w:rsidR="009E09CE" w:rsidRDefault="009E09CE" w:rsidP="00532DED">
            <w:pPr>
              <w:widowControl/>
              <w:spacing w:line="360" w:lineRule="auto"/>
              <w:jc w:val="center"/>
              <w:rPr>
                <w:rFonts w:eastAsia="Arial" w:cs="Arial"/>
                <w:color w:val="000000"/>
                <w:sz w:val="22"/>
                <w:szCs w:val="22"/>
              </w:rPr>
            </w:pPr>
            <w:r>
              <w:rPr>
                <w:rFonts w:eastAsia="Arial" w:cs="Arial"/>
                <w:color w:val="000000"/>
                <w:sz w:val="22"/>
                <w:szCs w:val="22"/>
              </w:rPr>
              <w:t>37</w:t>
            </w:r>
          </w:p>
        </w:tc>
        <w:tc>
          <w:tcPr>
            <w:tcW w:w="1407" w:type="dxa"/>
            <w:shd w:val="clear" w:color="auto" w:fill="auto"/>
            <w:vAlign w:val="center"/>
          </w:tcPr>
          <w:p w14:paraId="47CEC5DD" w14:textId="77777777" w:rsidR="009E09CE" w:rsidRDefault="009E09CE" w:rsidP="00532DED">
            <w:pPr>
              <w:widowControl/>
              <w:spacing w:line="360" w:lineRule="auto"/>
              <w:jc w:val="center"/>
              <w:rPr>
                <w:rFonts w:eastAsia="Arial" w:cs="Arial"/>
                <w:color w:val="000000"/>
                <w:sz w:val="22"/>
                <w:szCs w:val="22"/>
              </w:rPr>
            </w:pPr>
            <w:r>
              <w:rPr>
                <w:rFonts w:eastAsia="Arial" w:cs="Arial"/>
                <w:color w:val="000000"/>
                <w:sz w:val="22"/>
                <w:szCs w:val="22"/>
              </w:rPr>
              <w:t>0.88</w:t>
            </w:r>
          </w:p>
        </w:tc>
        <w:tc>
          <w:tcPr>
            <w:tcW w:w="1401" w:type="dxa"/>
            <w:shd w:val="clear" w:color="auto" w:fill="auto"/>
            <w:vAlign w:val="center"/>
          </w:tcPr>
          <w:p w14:paraId="62897843" w14:textId="77777777" w:rsidR="009E09CE" w:rsidRDefault="009E09CE" w:rsidP="00532DED">
            <w:pPr>
              <w:widowControl/>
              <w:spacing w:line="360" w:lineRule="auto"/>
              <w:jc w:val="center"/>
              <w:rPr>
                <w:rFonts w:eastAsia="Arial" w:cs="Arial"/>
                <w:color w:val="000000"/>
                <w:sz w:val="22"/>
                <w:szCs w:val="22"/>
              </w:rPr>
            </w:pPr>
            <w:r>
              <w:rPr>
                <w:rFonts w:eastAsia="Arial" w:cs="Arial"/>
                <w:color w:val="000000"/>
                <w:sz w:val="22"/>
                <w:szCs w:val="22"/>
              </w:rPr>
              <w:t>0.88</w:t>
            </w:r>
          </w:p>
        </w:tc>
      </w:tr>
    </w:tbl>
    <w:p w14:paraId="4D72143F" w14:textId="77777777" w:rsidR="005B1214" w:rsidRDefault="00DA6D10"/>
    <w:sectPr w:rsidR="005B1214" w:rsidSect="001F1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CE"/>
    <w:rsid w:val="001B4893"/>
    <w:rsid w:val="001F1E82"/>
    <w:rsid w:val="009E09CE"/>
    <w:rsid w:val="00DA6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4EF431B"/>
  <w15:chartTrackingRefBased/>
  <w15:docId w15:val="{B9748117-8702-6849-BC3D-7FD3634D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9CE"/>
    <w:pPr>
      <w:widowControl w:val="0"/>
      <w:jc w:val="both"/>
    </w:pPr>
    <w:rPr>
      <w:rFonts w:ascii="Arial" w:eastAsia="DengXian" w:hAnsi="Arial" w:cs="DengXian"/>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Recio,Carlos</dc:creator>
  <cp:keywords/>
  <dc:description/>
  <cp:lastModifiedBy>Wenyi Wang</cp:lastModifiedBy>
  <cp:revision>2</cp:revision>
  <dcterms:created xsi:type="dcterms:W3CDTF">2020-05-20T19:56:00Z</dcterms:created>
  <dcterms:modified xsi:type="dcterms:W3CDTF">2020-05-26T17:55:00Z</dcterms:modified>
</cp:coreProperties>
</file>