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A30D9" w14:textId="670B7EBF" w:rsidR="00BB196F" w:rsidRDefault="00BB196F" w:rsidP="00BB196F">
      <w:pPr>
        <w:widowControl/>
        <w:spacing w:line="360" w:lineRule="auto"/>
        <w:jc w:val="left"/>
        <w:rPr>
          <w:rFonts w:eastAsia="Arial" w:cs="Arial"/>
          <w:sz w:val="22"/>
          <w:szCs w:val="22"/>
        </w:rPr>
      </w:pPr>
      <w:r>
        <w:rPr>
          <w:rFonts w:eastAsia="Arial" w:cs="Arial"/>
          <w:b/>
          <w:sz w:val="22"/>
          <w:szCs w:val="22"/>
        </w:rPr>
        <w:t>Supplementary Table 1</w:t>
      </w:r>
      <w:r w:rsidR="00EC6148">
        <w:rPr>
          <w:rFonts w:eastAsia="Arial" w:cs="Arial"/>
          <w:b/>
          <w:sz w:val="22"/>
          <w:szCs w:val="22"/>
        </w:rPr>
        <w:t>2</w:t>
      </w:r>
      <w:bookmarkStart w:id="0" w:name="_GoBack"/>
      <w:bookmarkEnd w:id="0"/>
      <w:r>
        <w:rPr>
          <w:rFonts w:eastAsia="Arial" w:cs="Arial"/>
          <w:b/>
          <w:sz w:val="22"/>
          <w:szCs w:val="22"/>
        </w:rPr>
        <w:t xml:space="preserve">. </w:t>
      </w:r>
      <w:r>
        <w:rPr>
          <w:rFonts w:eastAsia="Arial" w:cs="Arial"/>
          <w:sz w:val="22"/>
          <w:szCs w:val="22"/>
        </w:rPr>
        <w:t>Ascertainment criteria of the four cohorts in our study.</w:t>
      </w:r>
    </w:p>
    <w:tbl>
      <w:tblPr>
        <w:tblW w:w="817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6610"/>
      </w:tblGrid>
      <w:tr w:rsidR="00BB196F" w14:paraId="30459AE2" w14:textId="77777777" w:rsidTr="00532DED">
        <w:trPr>
          <w:trHeight w:val="560"/>
        </w:trPr>
        <w:tc>
          <w:tcPr>
            <w:tcW w:w="1560" w:type="dxa"/>
            <w:shd w:val="clear" w:color="auto" w:fill="auto"/>
          </w:tcPr>
          <w:p w14:paraId="6F00CB5F" w14:textId="77777777" w:rsidR="00BB196F" w:rsidRDefault="00BB196F" w:rsidP="00532DED">
            <w:pPr>
              <w:spacing w:line="360" w:lineRule="auto"/>
              <w:rPr>
                <w:rFonts w:eastAsia="Arial" w:cs="Arial"/>
                <w:b/>
                <w:sz w:val="22"/>
                <w:szCs w:val="22"/>
              </w:rPr>
            </w:pPr>
            <w:r>
              <w:rPr>
                <w:rFonts w:eastAsia="Arial" w:cs="Arial"/>
                <w:b/>
                <w:sz w:val="22"/>
                <w:szCs w:val="22"/>
              </w:rPr>
              <w:t>Cohort</w:t>
            </w:r>
          </w:p>
        </w:tc>
        <w:tc>
          <w:tcPr>
            <w:tcW w:w="6610" w:type="dxa"/>
            <w:shd w:val="clear" w:color="auto" w:fill="auto"/>
          </w:tcPr>
          <w:p w14:paraId="0C86F3DA" w14:textId="77777777" w:rsidR="00BB196F" w:rsidRDefault="00BB196F" w:rsidP="00532DED">
            <w:pPr>
              <w:spacing w:line="360" w:lineRule="auto"/>
              <w:jc w:val="center"/>
              <w:rPr>
                <w:rFonts w:eastAsia="Arial" w:cs="Arial"/>
                <w:b/>
                <w:sz w:val="22"/>
                <w:szCs w:val="22"/>
              </w:rPr>
            </w:pPr>
            <w:r>
              <w:rPr>
                <w:rFonts w:eastAsia="Arial" w:cs="Arial"/>
                <w:b/>
                <w:sz w:val="22"/>
                <w:szCs w:val="22"/>
              </w:rPr>
              <w:t>Ascertainment criteria</w:t>
            </w:r>
          </w:p>
        </w:tc>
      </w:tr>
      <w:tr w:rsidR="00BB196F" w14:paraId="7FE27EDA" w14:textId="77777777" w:rsidTr="00532DED">
        <w:trPr>
          <w:trHeight w:val="540"/>
        </w:trPr>
        <w:tc>
          <w:tcPr>
            <w:tcW w:w="1560" w:type="dxa"/>
            <w:shd w:val="clear" w:color="auto" w:fill="auto"/>
          </w:tcPr>
          <w:p w14:paraId="79539BC7" w14:textId="77777777" w:rsidR="00BB196F" w:rsidRDefault="00BB196F" w:rsidP="00532DED">
            <w:pPr>
              <w:spacing w:line="360" w:lineRule="auto"/>
              <w:rPr>
                <w:rFonts w:eastAsia="Arial" w:cs="Arial"/>
                <w:sz w:val="22"/>
                <w:szCs w:val="22"/>
              </w:rPr>
            </w:pPr>
            <w:r>
              <w:rPr>
                <w:rFonts w:eastAsia="Arial" w:cs="Arial"/>
                <w:sz w:val="22"/>
                <w:szCs w:val="22"/>
              </w:rPr>
              <w:t>CHOP</w:t>
            </w:r>
          </w:p>
        </w:tc>
        <w:tc>
          <w:tcPr>
            <w:tcW w:w="6610" w:type="dxa"/>
            <w:shd w:val="clear" w:color="auto" w:fill="auto"/>
          </w:tcPr>
          <w:p w14:paraId="178C0CAB" w14:textId="77777777" w:rsidR="00BB196F" w:rsidRDefault="00BB196F" w:rsidP="00532DED">
            <w:pPr>
              <w:spacing w:line="360" w:lineRule="auto"/>
              <w:jc w:val="left"/>
              <w:rPr>
                <w:rFonts w:eastAsia="Arial" w:cs="Arial"/>
                <w:sz w:val="22"/>
                <w:szCs w:val="22"/>
              </w:rPr>
            </w:pPr>
            <w:r>
              <w:rPr>
                <w:rFonts w:eastAsia="Arial" w:cs="Arial"/>
                <w:sz w:val="22"/>
                <w:szCs w:val="22"/>
              </w:rPr>
              <w:t>Pediatric oncology patients were evaluated in the Cancer Predisposition Program based on a primary tumor type concordant with the LFS tumor spectrum (i.e., adrenocortical carcinoma, choroid plexus carcinoma, early onset RMS, multiple primary cancers, etc.) and/or a suggestive family history.</w:t>
            </w:r>
          </w:p>
          <w:p w14:paraId="72CEBAD5" w14:textId="77777777" w:rsidR="00BB196F" w:rsidRDefault="00BB196F" w:rsidP="00532DED">
            <w:pPr>
              <w:spacing w:line="360" w:lineRule="auto"/>
              <w:jc w:val="left"/>
              <w:rPr>
                <w:rFonts w:eastAsia="Arial" w:cs="Arial"/>
                <w:sz w:val="22"/>
                <w:szCs w:val="22"/>
              </w:rPr>
            </w:pPr>
          </w:p>
        </w:tc>
      </w:tr>
      <w:tr w:rsidR="00BB196F" w14:paraId="7CD87F81" w14:textId="77777777" w:rsidTr="00532DED">
        <w:trPr>
          <w:trHeight w:val="540"/>
        </w:trPr>
        <w:tc>
          <w:tcPr>
            <w:tcW w:w="1560" w:type="dxa"/>
            <w:shd w:val="clear" w:color="auto" w:fill="auto"/>
          </w:tcPr>
          <w:p w14:paraId="2F296C9B" w14:textId="77777777" w:rsidR="00BB196F" w:rsidRDefault="00BB196F" w:rsidP="00532DED">
            <w:pPr>
              <w:spacing w:line="360" w:lineRule="auto"/>
              <w:rPr>
                <w:rFonts w:eastAsia="Arial" w:cs="Arial"/>
                <w:sz w:val="22"/>
                <w:szCs w:val="22"/>
              </w:rPr>
            </w:pPr>
            <w:r>
              <w:rPr>
                <w:rFonts w:eastAsia="Arial" w:cs="Arial"/>
                <w:sz w:val="22"/>
                <w:szCs w:val="22"/>
              </w:rPr>
              <w:t>DFCI</w:t>
            </w:r>
          </w:p>
        </w:tc>
        <w:tc>
          <w:tcPr>
            <w:tcW w:w="6610" w:type="dxa"/>
            <w:shd w:val="clear" w:color="auto" w:fill="auto"/>
          </w:tcPr>
          <w:p w14:paraId="63383014" w14:textId="77777777" w:rsidR="00BB196F" w:rsidRDefault="00BB196F" w:rsidP="00532DED">
            <w:pPr>
              <w:spacing w:line="360" w:lineRule="auto"/>
              <w:jc w:val="left"/>
              <w:rPr>
                <w:rFonts w:eastAsia="Arial" w:cs="Arial"/>
                <w:sz w:val="22"/>
                <w:szCs w:val="22"/>
              </w:rPr>
            </w:pPr>
            <w:r>
              <w:rPr>
                <w:rFonts w:eastAsia="Arial" w:cs="Arial"/>
                <w:sz w:val="22"/>
                <w:szCs w:val="22"/>
              </w:rPr>
              <w:t xml:space="preserve">Comprised of patients identified in the course of clinical genetics practice. The early years of the cohort were the result of single gene testing of individuals with features suggestive of LFS. Since 2012, the cohort has included individuals with </w:t>
            </w:r>
            <w:r>
              <w:rPr>
                <w:rFonts w:eastAsia="Arial" w:cs="Arial"/>
                <w:i/>
                <w:sz w:val="22"/>
                <w:szCs w:val="22"/>
              </w:rPr>
              <w:t>TP53</w:t>
            </w:r>
            <w:r>
              <w:rPr>
                <w:rFonts w:eastAsia="Arial" w:cs="Arial"/>
                <w:sz w:val="22"/>
                <w:szCs w:val="22"/>
              </w:rPr>
              <w:t xml:space="preserve"> mutations identified on multigene panel testing, and individuals referred for clinical consultation of enrollment in a whole-body MRI surveillance protocol.</w:t>
            </w:r>
          </w:p>
          <w:p w14:paraId="7D994AD3" w14:textId="77777777" w:rsidR="00BB196F" w:rsidRDefault="00BB196F" w:rsidP="00532DED">
            <w:pPr>
              <w:spacing w:line="360" w:lineRule="auto"/>
              <w:jc w:val="left"/>
              <w:rPr>
                <w:rFonts w:eastAsia="Arial" w:cs="Arial"/>
                <w:sz w:val="22"/>
                <w:szCs w:val="22"/>
              </w:rPr>
            </w:pPr>
          </w:p>
        </w:tc>
      </w:tr>
      <w:tr w:rsidR="00BB196F" w14:paraId="341133F1" w14:textId="77777777" w:rsidTr="00532DED">
        <w:trPr>
          <w:trHeight w:val="540"/>
        </w:trPr>
        <w:tc>
          <w:tcPr>
            <w:tcW w:w="1560" w:type="dxa"/>
            <w:shd w:val="clear" w:color="auto" w:fill="auto"/>
          </w:tcPr>
          <w:p w14:paraId="18A065A3" w14:textId="77777777" w:rsidR="00BB196F" w:rsidRDefault="00BB196F" w:rsidP="00532DED">
            <w:pPr>
              <w:spacing w:line="360" w:lineRule="auto"/>
              <w:rPr>
                <w:rFonts w:eastAsia="Arial" w:cs="Arial"/>
                <w:sz w:val="22"/>
                <w:szCs w:val="22"/>
              </w:rPr>
            </w:pPr>
            <w:r>
              <w:rPr>
                <w:rFonts w:eastAsia="Arial" w:cs="Arial"/>
                <w:sz w:val="22"/>
                <w:szCs w:val="22"/>
              </w:rPr>
              <w:t>MDA</w:t>
            </w:r>
          </w:p>
        </w:tc>
        <w:tc>
          <w:tcPr>
            <w:tcW w:w="6610" w:type="dxa"/>
            <w:shd w:val="clear" w:color="auto" w:fill="auto"/>
          </w:tcPr>
          <w:p w14:paraId="5C67D5BC" w14:textId="77777777" w:rsidR="00BB196F" w:rsidRDefault="00BB196F" w:rsidP="00532DED">
            <w:pPr>
              <w:spacing w:line="360" w:lineRule="auto"/>
              <w:jc w:val="left"/>
              <w:rPr>
                <w:rFonts w:eastAsia="Arial" w:cs="Arial"/>
                <w:sz w:val="22"/>
                <w:szCs w:val="22"/>
              </w:rPr>
            </w:pPr>
            <w:r>
              <w:rPr>
                <w:rFonts w:eastAsia="Arial" w:cs="Arial"/>
                <w:sz w:val="22"/>
                <w:szCs w:val="22"/>
              </w:rPr>
              <w:t>Prospective LFS families primarily ascertained through clinical criteria were used as part of the MD Anderson cohort.</w:t>
            </w:r>
          </w:p>
          <w:p w14:paraId="167F7DFE" w14:textId="77777777" w:rsidR="00BB196F" w:rsidRDefault="00BB196F" w:rsidP="00532DED">
            <w:pPr>
              <w:spacing w:line="360" w:lineRule="auto"/>
              <w:jc w:val="left"/>
              <w:rPr>
                <w:rFonts w:eastAsia="Arial" w:cs="Arial"/>
                <w:sz w:val="22"/>
                <w:szCs w:val="22"/>
              </w:rPr>
            </w:pPr>
          </w:p>
        </w:tc>
      </w:tr>
      <w:tr w:rsidR="00BB196F" w14:paraId="7FABDADE" w14:textId="77777777" w:rsidTr="00532DED">
        <w:trPr>
          <w:trHeight w:val="540"/>
        </w:trPr>
        <w:tc>
          <w:tcPr>
            <w:tcW w:w="1560" w:type="dxa"/>
            <w:shd w:val="clear" w:color="auto" w:fill="auto"/>
          </w:tcPr>
          <w:p w14:paraId="13028702" w14:textId="77777777" w:rsidR="00BB196F" w:rsidRDefault="00BB196F" w:rsidP="00532DED">
            <w:pPr>
              <w:spacing w:line="360" w:lineRule="auto"/>
              <w:rPr>
                <w:rFonts w:eastAsia="Arial" w:cs="Arial"/>
                <w:sz w:val="22"/>
                <w:szCs w:val="22"/>
              </w:rPr>
            </w:pPr>
            <w:r>
              <w:rPr>
                <w:rFonts w:eastAsia="Arial" w:cs="Arial"/>
                <w:sz w:val="22"/>
                <w:szCs w:val="22"/>
              </w:rPr>
              <w:t>NCI</w:t>
            </w:r>
          </w:p>
        </w:tc>
        <w:tc>
          <w:tcPr>
            <w:tcW w:w="6610" w:type="dxa"/>
            <w:shd w:val="clear" w:color="auto" w:fill="auto"/>
          </w:tcPr>
          <w:p w14:paraId="63022520" w14:textId="77777777" w:rsidR="00BB196F" w:rsidRDefault="00BB196F" w:rsidP="00532DED">
            <w:pPr>
              <w:spacing w:line="360" w:lineRule="auto"/>
              <w:jc w:val="left"/>
              <w:rPr>
                <w:rFonts w:eastAsia="Arial" w:cs="Arial"/>
                <w:sz w:val="22"/>
                <w:szCs w:val="22"/>
              </w:rPr>
            </w:pPr>
            <w:r>
              <w:rPr>
                <w:rFonts w:eastAsia="Arial" w:cs="Arial"/>
                <w:sz w:val="22"/>
                <w:szCs w:val="22"/>
              </w:rPr>
              <w:t>A prospective cohort. Classic LFS or modified criteria, having a pathogenic germline TP53 mutation or a first- or second-degree relative with a mutation, or a personal history of choroid plexus carcinoma, adrenocortical carcinoma, or at least three primary cancers.</w:t>
            </w:r>
          </w:p>
          <w:p w14:paraId="64572ED0" w14:textId="77777777" w:rsidR="00BB196F" w:rsidRDefault="00BB196F" w:rsidP="00532DED">
            <w:pPr>
              <w:spacing w:line="360" w:lineRule="auto"/>
              <w:jc w:val="left"/>
              <w:rPr>
                <w:rFonts w:eastAsia="Arial" w:cs="Arial"/>
                <w:sz w:val="22"/>
                <w:szCs w:val="22"/>
              </w:rPr>
            </w:pPr>
          </w:p>
        </w:tc>
      </w:tr>
    </w:tbl>
    <w:p w14:paraId="6F2277E1" w14:textId="77777777" w:rsidR="005B1214" w:rsidRDefault="00EC6148"/>
    <w:sectPr w:rsidR="005B1214" w:rsidSect="001F1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6F"/>
    <w:rsid w:val="001B4893"/>
    <w:rsid w:val="001F1E82"/>
    <w:rsid w:val="00BB196F"/>
    <w:rsid w:val="00EC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71EDFD"/>
  <w15:chartTrackingRefBased/>
  <w15:docId w15:val="{EBAEC1BE-4913-1A4D-B5AC-A8EACB6E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96F"/>
    <w:pPr>
      <w:widowControl w:val="0"/>
      <w:jc w:val="both"/>
    </w:pPr>
    <w:rPr>
      <w:rFonts w:ascii="Arial" w:eastAsia="DengXian" w:hAnsi="Arial" w:cs="DengXian"/>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Recio,Carlos</dc:creator>
  <cp:keywords/>
  <dc:description/>
  <cp:lastModifiedBy>Vera Recio,Carlos</cp:lastModifiedBy>
  <cp:revision>2</cp:revision>
  <dcterms:created xsi:type="dcterms:W3CDTF">2020-05-20T19:52:00Z</dcterms:created>
  <dcterms:modified xsi:type="dcterms:W3CDTF">2020-05-22T20:24:00Z</dcterms:modified>
</cp:coreProperties>
</file>