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D46BE" w14:textId="77777777" w:rsidR="00251CA8" w:rsidRDefault="00E95C67">
      <w:pPr>
        <w:rPr>
          <w:b/>
        </w:rPr>
      </w:pPr>
      <w:r>
        <w:rPr>
          <w:b/>
        </w:rPr>
        <w:t>RNA-Bloom enables reference-free and reference-guided sequence assembly for single-cell transcriptomes</w:t>
      </w:r>
    </w:p>
    <w:p w14:paraId="4AFFB0E7" w14:textId="77777777" w:rsidR="00251CA8" w:rsidRDefault="00251CA8">
      <w:pPr>
        <w:rPr>
          <w:b/>
        </w:rPr>
      </w:pPr>
    </w:p>
    <w:p w14:paraId="4E326B81" w14:textId="77777777" w:rsidR="00251CA8" w:rsidRDefault="00E95C67">
      <w:pPr>
        <w:rPr>
          <w:vertAlign w:val="superscript"/>
        </w:rPr>
      </w:pPr>
      <w:r>
        <w:t>Ka Ming Nip</w:t>
      </w:r>
      <w:r>
        <w:rPr>
          <w:vertAlign w:val="superscript"/>
        </w:rPr>
        <w:t>1</w:t>
      </w:r>
      <w:r>
        <w:t xml:space="preserve">, </w:t>
      </w:r>
      <w:proofErr w:type="spellStart"/>
      <w:r>
        <w:t>Readman</w:t>
      </w:r>
      <w:proofErr w:type="spellEnd"/>
      <w:r>
        <w:t xml:space="preserve"> Chiu</w:t>
      </w:r>
      <w:r>
        <w:rPr>
          <w:vertAlign w:val="superscript"/>
        </w:rPr>
        <w:t>1</w:t>
      </w:r>
      <w:r>
        <w:t>, Chen Yang</w:t>
      </w:r>
      <w:r>
        <w:rPr>
          <w:vertAlign w:val="superscript"/>
        </w:rPr>
        <w:t>1</w:t>
      </w:r>
      <w:r>
        <w:t>, Justin Chu</w:t>
      </w:r>
      <w:r>
        <w:rPr>
          <w:vertAlign w:val="superscript"/>
        </w:rPr>
        <w:t>1</w:t>
      </w:r>
      <w:r>
        <w:t>, Hamid Mohamadi</w:t>
      </w:r>
      <w:r>
        <w:rPr>
          <w:vertAlign w:val="superscript"/>
        </w:rPr>
        <w:t>1</w:t>
      </w:r>
      <w:r>
        <w:t>, René L. Warren</w:t>
      </w:r>
      <w:r>
        <w:rPr>
          <w:vertAlign w:val="superscript"/>
        </w:rPr>
        <w:t>1</w:t>
      </w:r>
      <w:r>
        <w:t xml:space="preserve">, and </w:t>
      </w:r>
      <w:proofErr w:type="spellStart"/>
      <w:r>
        <w:t>Inanc</w:t>
      </w:r>
      <w:proofErr w:type="spellEnd"/>
      <w:r>
        <w:t xml:space="preserve"> Birol</w:t>
      </w:r>
      <w:r>
        <w:rPr>
          <w:vertAlign w:val="superscript"/>
        </w:rPr>
        <w:t>1,2</w:t>
      </w:r>
    </w:p>
    <w:p w14:paraId="7F5308AE" w14:textId="77777777" w:rsidR="00251CA8" w:rsidRDefault="00E95C67">
      <w:r>
        <w:t xml:space="preserve"> </w:t>
      </w:r>
    </w:p>
    <w:p w14:paraId="2F80ECBB" w14:textId="77777777" w:rsidR="00251CA8" w:rsidRDefault="00E95C67">
      <w:r>
        <w:rPr>
          <w:vertAlign w:val="superscript"/>
        </w:rPr>
        <w:t>1</w:t>
      </w:r>
      <w:r>
        <w:t xml:space="preserve"> Canada’s Michael Smith Genome Sciences Centre, BC Cancer, Vancouver, BC, Canada</w:t>
      </w:r>
    </w:p>
    <w:p w14:paraId="00067C9B" w14:textId="77777777" w:rsidR="00251CA8" w:rsidRDefault="00E95C67">
      <w:pPr>
        <w:rPr>
          <w:b/>
        </w:rPr>
      </w:pPr>
      <w:r>
        <w:rPr>
          <w:vertAlign w:val="superscript"/>
        </w:rPr>
        <w:t>2</w:t>
      </w:r>
      <w:r>
        <w:t xml:space="preserve"> Department of Medical Genetics, University of British Columbia, Vancouver, BC, Canada</w:t>
      </w:r>
    </w:p>
    <w:p w14:paraId="13E70267" w14:textId="77777777" w:rsidR="00251CA8" w:rsidRDefault="00251CA8"/>
    <w:p w14:paraId="2053F6D3" w14:textId="77777777" w:rsidR="00251CA8" w:rsidRDefault="00251CA8"/>
    <w:p w14:paraId="5030AFC6" w14:textId="77777777" w:rsidR="00251CA8" w:rsidRDefault="00E95C67">
      <w:pPr>
        <w:rPr>
          <w:b/>
        </w:rPr>
      </w:pPr>
      <w:r>
        <w:rPr>
          <w:b/>
        </w:rPr>
        <w:t xml:space="preserve">SUPPLEMENTAL </w:t>
      </w:r>
      <w:r>
        <w:rPr>
          <w:b/>
        </w:rPr>
        <w:t>MATERIAL</w:t>
      </w:r>
    </w:p>
    <w:p w14:paraId="76D40C41" w14:textId="77777777" w:rsidR="00251CA8" w:rsidRDefault="00251CA8">
      <w:pPr>
        <w:rPr>
          <w:b/>
        </w:rPr>
      </w:pPr>
    </w:p>
    <w:sdt>
      <w:sdtPr>
        <w:id w:val="-2142643430"/>
        <w:docPartObj>
          <w:docPartGallery w:val="Table of Contents"/>
          <w:docPartUnique/>
        </w:docPartObj>
      </w:sdtPr>
      <w:sdtEndPr/>
      <w:sdtContent>
        <w:p w14:paraId="3FE704D6" w14:textId="77777777" w:rsidR="00251CA8" w:rsidRDefault="00E95C67">
          <w:pPr>
            <w:tabs>
              <w:tab w:val="right" w:pos="9360"/>
            </w:tabs>
            <w:spacing w:before="80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yjfmil2zsiv2">
            <w:r>
              <w:rPr>
                <w:b/>
                <w:color w:val="000000"/>
              </w:rPr>
              <w:t>Supplemental</w:t>
            </w:r>
            <w:r>
              <w:rPr>
                <w:b/>
                <w:color w:val="000000"/>
              </w:rPr>
              <w:t xml:space="preserve"> Figure S1. Pooling of reads from multiple cells.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_yjfmil2zsiv2 \h </w:instrText>
          </w:r>
          <w:r>
            <w:fldChar w:fldCharType="separate"/>
          </w:r>
          <w:r>
            <w:rPr>
              <w:b/>
              <w:color w:val="000000"/>
            </w:rPr>
            <w:t>2</w:t>
          </w:r>
          <w:r>
            <w:fldChar w:fldCharType="end"/>
          </w:r>
        </w:p>
        <w:p w14:paraId="1CB15CE3" w14:textId="77777777" w:rsidR="00251CA8" w:rsidRDefault="00E95C67">
          <w:pPr>
            <w:tabs>
              <w:tab w:val="right" w:pos="9360"/>
            </w:tabs>
            <w:spacing w:before="200"/>
            <w:rPr>
              <w:b/>
              <w:color w:val="000000"/>
            </w:rPr>
          </w:pPr>
          <w:hyperlink w:anchor="_fw11cpn4mz4">
            <w:r>
              <w:rPr>
                <w:b/>
                <w:color w:val="000000"/>
              </w:rPr>
              <w:t>Supplemental Figure S2. Assembly quality on mouse simulated bulk RNA-seq dat</w:t>
            </w:r>
            <w:r>
              <w:rPr>
                <w:b/>
                <w:color w:val="000000"/>
              </w:rPr>
              <w:t>a.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_fw11cpn4mz4 \h </w:instrText>
          </w:r>
          <w:r>
            <w:fldChar w:fldCharType="separate"/>
          </w:r>
          <w:r>
            <w:rPr>
              <w:b/>
              <w:color w:val="000000"/>
            </w:rPr>
            <w:t>3</w:t>
          </w:r>
          <w:r>
            <w:fldChar w:fldCharType="end"/>
          </w:r>
        </w:p>
        <w:p w14:paraId="5B452D75" w14:textId="77777777" w:rsidR="00251CA8" w:rsidRDefault="00E95C67">
          <w:pPr>
            <w:tabs>
              <w:tab w:val="right" w:pos="9360"/>
            </w:tabs>
            <w:spacing w:before="200"/>
            <w:rPr>
              <w:b/>
              <w:color w:val="000000"/>
            </w:rPr>
          </w:pPr>
          <w:hyperlink w:anchor="_vjpuxrmm2gey">
            <w:r>
              <w:rPr>
                <w:b/>
                <w:color w:val="000000"/>
              </w:rPr>
              <w:t>Supplemental Figure S3. Assembly quality on mouse simulated and real bulk RNA-seq data.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_vjpuxrmm2gey \h </w:instrText>
          </w:r>
          <w:r>
            <w:fldChar w:fldCharType="separate"/>
          </w:r>
          <w:r>
            <w:rPr>
              <w:b/>
              <w:color w:val="000000"/>
            </w:rPr>
            <w:t>4</w:t>
          </w:r>
          <w:r>
            <w:fldChar w:fldCharType="end"/>
          </w:r>
        </w:p>
        <w:p w14:paraId="07EDB5CD" w14:textId="77777777" w:rsidR="00251CA8" w:rsidRDefault="00E95C67">
          <w:pPr>
            <w:tabs>
              <w:tab w:val="right" w:pos="9360"/>
            </w:tabs>
            <w:spacing w:before="200"/>
            <w:rPr>
              <w:b/>
              <w:color w:val="000000"/>
            </w:rPr>
          </w:pPr>
          <w:hyperlink w:anchor="_me9zqtdgdkzf">
            <w:r>
              <w:rPr>
                <w:b/>
                <w:color w:val="000000"/>
              </w:rPr>
              <w:t>Supplemental Figure S4. Assembly qual</w:t>
            </w:r>
            <w:r>
              <w:rPr>
                <w:b/>
                <w:color w:val="000000"/>
              </w:rPr>
              <w:t>ity on simulated data for 384 mouse microglia cells.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_me9zqtdgdkzf \h </w:instrText>
          </w:r>
          <w:r>
            <w:fldChar w:fldCharType="separate"/>
          </w:r>
          <w:r>
            <w:rPr>
              <w:b/>
              <w:color w:val="000000"/>
            </w:rPr>
            <w:t>5</w:t>
          </w:r>
          <w:r>
            <w:fldChar w:fldCharType="end"/>
          </w:r>
        </w:p>
        <w:p w14:paraId="45643A36" w14:textId="77777777" w:rsidR="00251CA8" w:rsidRDefault="00E95C67">
          <w:pPr>
            <w:tabs>
              <w:tab w:val="right" w:pos="9360"/>
            </w:tabs>
            <w:spacing w:before="200"/>
            <w:rPr>
              <w:b/>
              <w:color w:val="000000"/>
            </w:rPr>
          </w:pPr>
          <w:hyperlink w:anchor="_5f7830dsr7xi">
            <w:r>
              <w:rPr>
                <w:b/>
                <w:color w:val="000000"/>
              </w:rPr>
              <w:t>Supplemental Figure S5. Assembly quality on real data for 260 mouse emb</w:t>
            </w:r>
            <w:r>
              <w:rPr>
                <w:b/>
                <w:color w:val="000000"/>
              </w:rPr>
              <w:t>ryonic stem cells.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_5f7830dsr7xi \h </w:instrText>
          </w:r>
          <w:r>
            <w:fldChar w:fldCharType="separate"/>
          </w:r>
          <w:r>
            <w:rPr>
              <w:b/>
              <w:color w:val="000000"/>
            </w:rPr>
            <w:t>6</w:t>
          </w:r>
          <w:r>
            <w:fldChar w:fldCharType="end"/>
          </w:r>
        </w:p>
        <w:p w14:paraId="311A010F" w14:textId="77777777" w:rsidR="00251CA8" w:rsidRDefault="00E95C67">
          <w:pPr>
            <w:tabs>
              <w:tab w:val="right" w:pos="9360"/>
            </w:tabs>
            <w:spacing w:before="200"/>
            <w:rPr>
              <w:b/>
              <w:color w:val="000000"/>
            </w:rPr>
          </w:pPr>
          <w:hyperlink w:anchor="_zelcdsvfg6ke">
            <w:r>
              <w:rPr>
                <w:b/>
                <w:color w:val="000000"/>
              </w:rPr>
              <w:t xml:space="preserve">Supplemental Figure S6. Splice variants of the </w:t>
            </w:r>
          </w:hyperlink>
          <w:hyperlink w:anchor="_zelcdsvfg6ke">
            <w:r>
              <w:rPr>
                <w:b/>
                <w:i/>
                <w:color w:val="000000"/>
              </w:rPr>
              <w:t>TREM2</w:t>
            </w:r>
          </w:hyperlink>
          <w:hyperlink w:anchor="_zelcdsvfg6ke">
            <w:r>
              <w:rPr>
                <w:b/>
                <w:color w:val="000000"/>
              </w:rPr>
              <w:t xml:space="preserve"> gene in mouse reference genome GRCm38.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_zelcdsvfg6ke \h </w:instrText>
          </w:r>
          <w:r>
            <w:fldChar w:fldCharType="separate"/>
          </w:r>
          <w:r>
            <w:rPr>
              <w:b/>
              <w:color w:val="000000"/>
            </w:rPr>
            <w:t>7</w:t>
          </w:r>
          <w:r>
            <w:fldChar w:fldCharType="end"/>
          </w:r>
        </w:p>
        <w:p w14:paraId="4DA77550" w14:textId="77777777" w:rsidR="00251CA8" w:rsidRDefault="00E95C67">
          <w:pPr>
            <w:tabs>
              <w:tab w:val="right" w:pos="9360"/>
            </w:tabs>
            <w:spacing w:before="200"/>
            <w:rPr>
              <w:b/>
              <w:color w:val="000000"/>
            </w:rPr>
          </w:pPr>
          <w:hyperlink w:anchor="_jff7izguldb0">
            <w:r>
              <w:rPr>
                <w:b/>
                <w:color w:val="000000"/>
              </w:rPr>
              <w:t xml:space="preserve">Supplemental Figure S7. Paired </w:t>
            </w:r>
          </w:hyperlink>
          <w:hyperlink w:anchor="_jff7izguldb0">
            <w:r>
              <w:rPr>
                <w:b/>
                <w:i/>
                <w:color w:val="000000"/>
              </w:rPr>
              <w:t>k</w:t>
            </w:r>
          </w:hyperlink>
          <w:hyperlink w:anchor="_jff7izguldb0">
            <w:r>
              <w:rPr>
                <w:b/>
                <w:color w:val="000000"/>
              </w:rPr>
              <w:t>-mers along reads and reconstructed fragments.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_jff7izguldb0 \h </w:instrText>
          </w:r>
          <w:r>
            <w:fldChar w:fldCharType="separate"/>
          </w:r>
          <w:r>
            <w:rPr>
              <w:b/>
              <w:color w:val="000000"/>
            </w:rPr>
            <w:t>7</w:t>
          </w:r>
          <w:r>
            <w:fldChar w:fldCharType="end"/>
          </w:r>
        </w:p>
        <w:p w14:paraId="2C4C683D" w14:textId="77777777" w:rsidR="00251CA8" w:rsidRDefault="00E95C67">
          <w:pPr>
            <w:tabs>
              <w:tab w:val="right" w:pos="9360"/>
            </w:tabs>
            <w:spacing w:before="200"/>
            <w:rPr>
              <w:b/>
              <w:color w:val="000000"/>
            </w:rPr>
          </w:pPr>
          <w:hyperlink w:anchor="_pvwx5otyxbw6">
            <w:r>
              <w:rPr>
                <w:b/>
                <w:color w:val="000000"/>
              </w:rPr>
              <w:t>Supplemental Figure S8. Error correction in paired-end reads.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_pvwx5otyxbw6 \h </w:instrText>
          </w:r>
          <w:r>
            <w:fldChar w:fldCharType="separate"/>
          </w:r>
          <w:r>
            <w:rPr>
              <w:b/>
              <w:color w:val="000000"/>
            </w:rPr>
            <w:t>8</w:t>
          </w:r>
          <w:r>
            <w:fldChar w:fldCharType="end"/>
          </w:r>
        </w:p>
        <w:p w14:paraId="0A47AE66" w14:textId="77777777" w:rsidR="00251CA8" w:rsidRDefault="00E95C67">
          <w:pPr>
            <w:tabs>
              <w:tab w:val="right" w:pos="9360"/>
            </w:tabs>
            <w:spacing w:before="200"/>
            <w:rPr>
              <w:b/>
              <w:color w:val="000000"/>
            </w:rPr>
          </w:pPr>
          <w:hyperlink w:anchor="_lietv7g2g0ws">
            <w:r>
              <w:rPr>
                <w:b/>
                <w:color w:val="000000"/>
              </w:rPr>
              <w:t xml:space="preserve">Supplemental Figure S9. </w:t>
            </w:r>
          </w:hyperlink>
          <w:hyperlink w:anchor="_lietv7g2g0ws">
            <w:r>
              <w:rPr>
                <w:b/>
                <w:i/>
                <w:color w:val="000000"/>
              </w:rPr>
              <w:t>K</w:t>
            </w:r>
          </w:hyperlink>
          <w:hyperlink w:anchor="_lietv7g2g0ws">
            <w:r>
              <w:rPr>
                <w:b/>
                <w:color w:val="000000"/>
              </w:rPr>
              <w:t>-mer pairs spanning candidate extensions.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_lietv7g2g0ws \h </w:instrText>
          </w:r>
          <w:r>
            <w:fldChar w:fldCharType="separate"/>
          </w:r>
          <w:r>
            <w:rPr>
              <w:b/>
              <w:color w:val="000000"/>
            </w:rPr>
            <w:t>9</w:t>
          </w:r>
          <w:r>
            <w:fldChar w:fldCharType="end"/>
          </w:r>
        </w:p>
        <w:p w14:paraId="7AFA4868" w14:textId="77777777" w:rsidR="00251CA8" w:rsidRDefault="00E95C67">
          <w:pPr>
            <w:tabs>
              <w:tab w:val="right" w:pos="9360"/>
            </w:tabs>
            <w:spacing w:before="200" w:after="80"/>
            <w:rPr>
              <w:b/>
              <w:color w:val="000000"/>
            </w:rPr>
          </w:pPr>
          <w:hyperlink w:anchor="_4r9i80jadxyi">
            <w:r>
              <w:rPr>
                <w:b/>
                <w:color w:val="000000"/>
              </w:rPr>
              <w:t>Supplemental Figure S10. Stratification of reconstructed fragments and unconnected reads.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_4r9i80jadxyi \h </w:instrText>
          </w:r>
          <w:r>
            <w:fldChar w:fldCharType="separate"/>
          </w:r>
          <w:r>
            <w:rPr>
              <w:b/>
              <w:color w:val="000000"/>
            </w:rPr>
            <w:t>9</w:t>
          </w:r>
          <w:r>
            <w:fldChar w:fldCharType="end"/>
          </w:r>
          <w:r>
            <w:fldChar w:fldCharType="end"/>
          </w:r>
        </w:p>
      </w:sdtContent>
    </w:sdt>
    <w:p w14:paraId="6EB8B750" w14:textId="77777777" w:rsidR="00251CA8" w:rsidRDefault="00251CA8">
      <w:pPr>
        <w:rPr>
          <w:b/>
        </w:rPr>
      </w:pPr>
    </w:p>
    <w:p w14:paraId="3F5D69E1" w14:textId="77777777" w:rsidR="00251CA8" w:rsidRDefault="00251CA8">
      <w:pPr>
        <w:rPr>
          <w:b/>
        </w:rPr>
      </w:pPr>
    </w:p>
    <w:p w14:paraId="7DB3B347" w14:textId="77777777" w:rsidR="00251CA8" w:rsidRDefault="00251CA8">
      <w:pPr>
        <w:jc w:val="center"/>
        <w:rPr>
          <w:b/>
        </w:rPr>
      </w:pPr>
    </w:p>
    <w:p w14:paraId="71F1A320" w14:textId="77777777" w:rsidR="00251CA8" w:rsidRDefault="00E95C67">
      <w:pPr>
        <w:jc w:val="center"/>
        <w:rPr>
          <w:b/>
        </w:rPr>
      </w:pPr>
      <w:r>
        <w:br w:type="page"/>
      </w:r>
    </w:p>
    <w:p w14:paraId="5E0BF809" w14:textId="77777777" w:rsidR="00251CA8" w:rsidRDefault="00E95C6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114300" distB="114300" distL="114300" distR="114300" wp14:anchorId="46D9B8F9" wp14:editId="2999F064">
            <wp:extent cx="4783455" cy="2246077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22460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376364" w14:textId="77777777" w:rsidR="00251CA8" w:rsidRDefault="00E95C67">
      <w:pPr>
        <w:pStyle w:val="Heading3"/>
      </w:pPr>
      <w:bookmarkStart w:id="0" w:name="_yjfmil2zsiv2" w:colFirst="0" w:colLast="0"/>
      <w:bookmarkEnd w:id="0"/>
      <w:r>
        <w:t xml:space="preserve">Supplemental Figure S1. </w:t>
      </w:r>
      <w:r>
        <w:rPr>
          <w:b w:val="0"/>
        </w:rPr>
        <w:t>Pooling of reads from multiple cells.</w:t>
      </w:r>
    </w:p>
    <w:p w14:paraId="43EC98F1" w14:textId="77777777" w:rsidR="00251CA8" w:rsidRDefault="00E95C67">
      <w:r>
        <w:t>Transcript sequence reconstruction can be improved by pooling reads to fill in sequencing gaps and distinguish between noise and signal.</w:t>
      </w:r>
    </w:p>
    <w:p w14:paraId="66B4366E" w14:textId="77777777" w:rsidR="00251CA8" w:rsidRDefault="00251CA8"/>
    <w:p w14:paraId="2A9914D8" w14:textId="77777777" w:rsidR="00251CA8" w:rsidRDefault="00E95C6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114300" distB="114300" distL="114300" distR="114300" wp14:anchorId="11A7EE31" wp14:editId="72699AAD">
            <wp:extent cx="5000625" cy="7442582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4425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C1781C" w14:textId="77777777" w:rsidR="00251CA8" w:rsidRDefault="00E95C67">
      <w:pPr>
        <w:pStyle w:val="Heading3"/>
      </w:pPr>
      <w:bookmarkStart w:id="1" w:name="_fw11cpn4mz4" w:colFirst="0" w:colLast="0"/>
      <w:bookmarkEnd w:id="1"/>
      <w:r>
        <w:t xml:space="preserve">Supplemental Figure S2. </w:t>
      </w:r>
      <w:r>
        <w:rPr>
          <w:b w:val="0"/>
        </w:rPr>
        <w:t>Assembly quality on mouse simu</w:t>
      </w:r>
      <w:r>
        <w:rPr>
          <w:b w:val="0"/>
        </w:rPr>
        <w:t xml:space="preserve">lated bulk RNA-seq data. </w:t>
      </w:r>
    </w:p>
    <w:p w14:paraId="1229BB9E" w14:textId="77777777" w:rsidR="00251CA8" w:rsidRDefault="00E95C67">
      <w:r>
        <w:t>(</w:t>
      </w:r>
      <w:r>
        <w:rPr>
          <w:i/>
        </w:rPr>
        <w:t>A</w:t>
      </w:r>
      <w:r>
        <w:t>) True positive rate calculated based on isoforms reconstructed to at least 50% of annotated length; denoted as “TPR50”. (</w:t>
      </w:r>
      <w:r>
        <w:rPr>
          <w:i/>
        </w:rPr>
        <w:t>B</w:t>
      </w:r>
      <w:r>
        <w:t>) True positive rate at four transcript expression strata. Isoforms in strata 1, 2, 3, and 4 have non-zer</w:t>
      </w:r>
      <w:r>
        <w:t xml:space="preserve">o values of transcripts per million (TPM) in the lowest </w:t>
      </w:r>
      <w:r>
        <w:lastRenderedPageBreak/>
        <w:t>quartile, second-lowest quartile, second-highest quartile, and the highest quartile, respectively. (</w:t>
      </w:r>
      <w:r>
        <w:rPr>
          <w:i/>
        </w:rPr>
        <w:t>C</w:t>
      </w:r>
      <w:r>
        <w:t>) False discovery rate calculated based on I50; denoted as “FDR50”. (</w:t>
      </w:r>
      <w:r>
        <w:rPr>
          <w:i/>
        </w:rPr>
        <w:t>D</w:t>
      </w:r>
      <w:r>
        <w:t xml:space="preserve">) </w:t>
      </w:r>
      <w:proofErr w:type="spellStart"/>
      <w:r>
        <w:t>Misassembly</w:t>
      </w:r>
      <w:proofErr w:type="spellEnd"/>
      <w:r>
        <w:t xml:space="preserve"> rate calculated</w:t>
      </w:r>
      <w:r>
        <w:t xml:space="preserve"> based on I50; denoted as “MR50”.</w:t>
      </w:r>
    </w:p>
    <w:p w14:paraId="660F5006" w14:textId="77777777" w:rsidR="00251CA8" w:rsidRDefault="00251CA8"/>
    <w:p w14:paraId="747DD5C9" w14:textId="77777777" w:rsidR="00251CA8" w:rsidRDefault="00251CA8"/>
    <w:p w14:paraId="1A7F7788" w14:textId="77777777" w:rsidR="00251CA8" w:rsidRDefault="00E95C67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585FC69F" wp14:editId="6D53B1A1">
            <wp:extent cx="4824413" cy="3595115"/>
            <wp:effectExtent l="0" t="0" r="0" b="0"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4413" cy="359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196B75" w14:textId="77777777" w:rsidR="00251CA8" w:rsidRDefault="00E95C67">
      <w:pPr>
        <w:pStyle w:val="Heading3"/>
      </w:pPr>
      <w:bookmarkStart w:id="2" w:name="_vjpuxrmm2gey" w:colFirst="0" w:colLast="0"/>
      <w:bookmarkEnd w:id="2"/>
      <w:r>
        <w:t xml:space="preserve">Supplemental Figure S3. </w:t>
      </w:r>
      <w:r>
        <w:rPr>
          <w:b w:val="0"/>
        </w:rPr>
        <w:t>Assembly quality on mouse simulated and real bulk RNA-seq data.</w:t>
      </w:r>
    </w:p>
    <w:p w14:paraId="153C332F" w14:textId="77777777" w:rsidR="00251CA8" w:rsidRDefault="00E95C67">
      <w:r>
        <w:t>Assembly sensitivity was measured as the number of isoforms reconstructed to at least 50% annotated isoform length (denoted as “I5</w:t>
      </w:r>
      <w:r>
        <w:t xml:space="preserve">0”) in each dataset normalized by the total number of isoforms in reference annotation. </w:t>
      </w:r>
      <w:proofErr w:type="spellStart"/>
      <w:r>
        <w:t>Misassembly</w:t>
      </w:r>
      <w:proofErr w:type="spellEnd"/>
      <w:r>
        <w:t xml:space="preserve"> rate was calculated based on I50; denoted as “MR50”.</w:t>
      </w:r>
    </w:p>
    <w:p w14:paraId="41845715" w14:textId="77777777" w:rsidR="00251CA8" w:rsidRDefault="00251CA8"/>
    <w:p w14:paraId="0D0DA5A3" w14:textId="77777777" w:rsidR="00251CA8" w:rsidRDefault="00251CA8"/>
    <w:p w14:paraId="5F980BFF" w14:textId="77777777" w:rsidR="00251CA8" w:rsidRDefault="00E95C6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114300" distB="114300" distL="114300" distR="114300" wp14:anchorId="3ED24E99" wp14:editId="251E06A5">
            <wp:extent cx="5748338" cy="7526269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8338" cy="75262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110ECD" w14:textId="77777777" w:rsidR="00251CA8" w:rsidRDefault="00E95C67">
      <w:pPr>
        <w:pStyle w:val="Heading3"/>
      </w:pPr>
      <w:bookmarkStart w:id="3" w:name="_me9zqtdgdkzf" w:colFirst="0" w:colLast="0"/>
      <w:bookmarkEnd w:id="3"/>
      <w:r>
        <w:t xml:space="preserve">Supplemental Figure S4. </w:t>
      </w:r>
      <w:r>
        <w:rPr>
          <w:b w:val="0"/>
        </w:rPr>
        <w:t>Assembly quality on simulated data for 384 mouse microglia cells.</w:t>
      </w:r>
    </w:p>
    <w:p w14:paraId="1471AE29" w14:textId="77777777" w:rsidR="00251CA8" w:rsidRDefault="00E95C67">
      <w:r>
        <w:t>(</w:t>
      </w:r>
      <w:r>
        <w:rPr>
          <w:i/>
        </w:rPr>
        <w:t>A</w:t>
      </w:r>
      <w:r>
        <w:t xml:space="preserve">) True </w:t>
      </w:r>
      <w:r>
        <w:t>positive rate calculated based on isoforms reconstructed to at least 50% of annotated length; denoted as “TPR50”. (</w:t>
      </w:r>
      <w:r>
        <w:rPr>
          <w:i/>
        </w:rPr>
        <w:t>B</w:t>
      </w:r>
      <w:r>
        <w:t>) True positive rate at different transcript expression stratum. (</w:t>
      </w:r>
      <w:r>
        <w:rPr>
          <w:i/>
        </w:rPr>
        <w:t>C</w:t>
      </w:r>
      <w:r>
        <w:t xml:space="preserve">) </w:t>
      </w:r>
      <w:r>
        <w:lastRenderedPageBreak/>
        <w:t>False discovery rate calculated based on isoforms reconstructed to at l</w:t>
      </w:r>
      <w:r>
        <w:t>east 50% of annotated length; denoted as “FDR50”. (</w:t>
      </w:r>
      <w:r>
        <w:rPr>
          <w:i/>
        </w:rPr>
        <w:t>D</w:t>
      </w:r>
      <w:r>
        <w:t xml:space="preserve">) </w:t>
      </w:r>
      <w:proofErr w:type="spellStart"/>
      <w:r>
        <w:t>Misassembly</w:t>
      </w:r>
      <w:proofErr w:type="spellEnd"/>
      <w:r>
        <w:t xml:space="preserve"> rate calculated based on isoforms reconstructed to at least 50% of annotated length; denoted as “MR50”. The comparison bars on top between RB(pool) and RB(</w:t>
      </w:r>
      <w:proofErr w:type="spellStart"/>
      <w:r>
        <w:t>ref,pool</w:t>
      </w:r>
      <w:proofErr w:type="spellEnd"/>
      <w:r>
        <w:t>) and the next best perform</w:t>
      </w:r>
      <w:r>
        <w:t>er in each class indicate statistical significance of the difference between distributions at p&lt;0.001 (“***”) or no significance (“NS.”) using the Wilcoxon test.</w:t>
      </w:r>
    </w:p>
    <w:p w14:paraId="68330CA5" w14:textId="77777777" w:rsidR="00251CA8" w:rsidRDefault="00251CA8"/>
    <w:p w14:paraId="09790729" w14:textId="77777777" w:rsidR="00251CA8" w:rsidRDefault="00251CA8"/>
    <w:p w14:paraId="031474FC" w14:textId="77777777" w:rsidR="00251CA8" w:rsidRDefault="00E95C67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0BF1B13A" wp14:editId="5228A3E9">
            <wp:extent cx="5043488" cy="5653732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3488" cy="56537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D886CB" w14:textId="77777777" w:rsidR="00251CA8" w:rsidRDefault="00E95C67">
      <w:pPr>
        <w:pStyle w:val="Heading3"/>
      </w:pPr>
      <w:bookmarkStart w:id="4" w:name="_5f7830dsr7xi" w:colFirst="0" w:colLast="0"/>
      <w:bookmarkEnd w:id="4"/>
      <w:r>
        <w:t xml:space="preserve">Supplemental Figure S5. </w:t>
      </w:r>
      <w:r>
        <w:rPr>
          <w:b w:val="0"/>
        </w:rPr>
        <w:t>Assembly quality on real data for 260 mouse embryonic stem cells.</w:t>
      </w:r>
    </w:p>
    <w:p w14:paraId="07B7E9C7" w14:textId="77777777" w:rsidR="00251CA8" w:rsidRDefault="00E95C67">
      <w:r>
        <w:t>The comparison bars indicate statistical significance of the difference between distributions at p&lt;0.001 (“***”).</w:t>
      </w:r>
    </w:p>
    <w:p w14:paraId="35901B1C" w14:textId="77777777" w:rsidR="00251CA8" w:rsidRDefault="00251CA8"/>
    <w:p w14:paraId="746CD444" w14:textId="77777777" w:rsidR="00251CA8" w:rsidRDefault="00251CA8"/>
    <w:p w14:paraId="0E181F68" w14:textId="77777777" w:rsidR="00251CA8" w:rsidRDefault="00E95C67">
      <w:pPr>
        <w:rPr>
          <w:b/>
        </w:rPr>
      </w:pPr>
      <w:r>
        <w:rPr>
          <w:b/>
          <w:noProof/>
        </w:rPr>
        <w:lastRenderedPageBreak/>
        <w:drawing>
          <wp:inline distT="114300" distB="114300" distL="114300" distR="114300" wp14:anchorId="7C24F111" wp14:editId="304107B2">
            <wp:extent cx="5943600" cy="2692400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797F12" w14:textId="77777777" w:rsidR="00251CA8" w:rsidRDefault="00E95C67">
      <w:pPr>
        <w:pStyle w:val="Heading3"/>
      </w:pPr>
      <w:bookmarkStart w:id="5" w:name="_zelcdsvfg6ke" w:colFirst="0" w:colLast="0"/>
      <w:bookmarkEnd w:id="5"/>
      <w:r>
        <w:t xml:space="preserve">Supplemental Figure S6. </w:t>
      </w:r>
      <w:r>
        <w:rPr>
          <w:b w:val="0"/>
        </w:rPr>
        <w:t xml:space="preserve">Splice variants of the </w:t>
      </w:r>
      <w:r>
        <w:rPr>
          <w:b w:val="0"/>
          <w:i/>
        </w:rPr>
        <w:t>TREM2</w:t>
      </w:r>
      <w:r>
        <w:rPr>
          <w:b w:val="0"/>
        </w:rPr>
        <w:t xml:space="preserve"> gene in mouse reference genome GRCm38.</w:t>
      </w:r>
    </w:p>
    <w:p w14:paraId="260CA869" w14:textId="77777777" w:rsidR="00251CA8" w:rsidRDefault="00E95C67">
      <w:r>
        <w:t xml:space="preserve">Screenshot was taken from </w:t>
      </w:r>
      <w:proofErr w:type="spellStart"/>
      <w:r>
        <w:t>Ensembl</w:t>
      </w:r>
      <w:proofErr w:type="spellEnd"/>
      <w:r>
        <w:t xml:space="preserve"> Genome Brows</w:t>
      </w:r>
      <w:r>
        <w:t>er (release 99).</w:t>
      </w:r>
    </w:p>
    <w:p w14:paraId="4EA599F0" w14:textId="77777777" w:rsidR="00251CA8" w:rsidRDefault="00251CA8"/>
    <w:p w14:paraId="420F6534" w14:textId="77777777" w:rsidR="00251CA8" w:rsidRDefault="00251CA8"/>
    <w:p w14:paraId="63AA4DA3" w14:textId="77777777" w:rsidR="00251CA8" w:rsidRDefault="00E95C67">
      <w:pPr>
        <w:jc w:val="center"/>
        <w:rPr>
          <w:b/>
        </w:rPr>
      </w:pPr>
      <w:r>
        <w:rPr>
          <w:noProof/>
        </w:rPr>
        <w:drawing>
          <wp:inline distT="114300" distB="114300" distL="114300" distR="114300" wp14:anchorId="49D10E81" wp14:editId="742658B5">
            <wp:extent cx="5130577" cy="1862138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0577" cy="1862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714693" w14:textId="77777777" w:rsidR="00251CA8" w:rsidRDefault="00E95C67">
      <w:pPr>
        <w:pStyle w:val="Heading3"/>
      </w:pPr>
      <w:bookmarkStart w:id="6" w:name="_jff7izguldb0" w:colFirst="0" w:colLast="0"/>
      <w:bookmarkEnd w:id="6"/>
      <w:r>
        <w:t xml:space="preserve">Supplemental Figure S7. </w:t>
      </w:r>
      <w:r>
        <w:rPr>
          <w:b w:val="0"/>
        </w:rPr>
        <w:t xml:space="preserve">Paired </w:t>
      </w:r>
      <w:r>
        <w:rPr>
          <w:b w:val="0"/>
          <w:i/>
        </w:rPr>
        <w:t>k</w:t>
      </w:r>
      <w:r>
        <w:rPr>
          <w:b w:val="0"/>
        </w:rPr>
        <w:t>-</w:t>
      </w:r>
      <w:proofErr w:type="spellStart"/>
      <w:r>
        <w:rPr>
          <w:b w:val="0"/>
        </w:rPr>
        <w:t>mers</w:t>
      </w:r>
      <w:proofErr w:type="spellEnd"/>
      <w:r>
        <w:rPr>
          <w:b w:val="0"/>
        </w:rPr>
        <w:t xml:space="preserve"> along reads and reconstructed fragments.</w:t>
      </w:r>
    </w:p>
    <w:p w14:paraId="6FAD3F81" w14:textId="77777777" w:rsidR="00251CA8" w:rsidRDefault="00E95C67">
      <w:r>
        <w:t xml:space="preserve">Paired </w:t>
      </w:r>
      <w:r>
        <w:rPr>
          <w:i/>
        </w:rPr>
        <w:t>k</w:t>
      </w:r>
      <w:r>
        <w:t>-</w:t>
      </w:r>
      <w:proofErr w:type="spellStart"/>
      <w:r>
        <w:t>mers</w:t>
      </w:r>
      <w:proofErr w:type="spellEnd"/>
      <w:r>
        <w:t xml:space="preserve"> are sparse representations of the sequences that they were derived from. This is analogous to a read pair being a sparse representation of its underlying fragment. The distance between read paired </w:t>
      </w:r>
      <w:r>
        <w:rPr>
          <w:i/>
        </w:rPr>
        <w:t>k</w:t>
      </w:r>
      <w:r>
        <w:t>-</w:t>
      </w:r>
      <w:proofErr w:type="spellStart"/>
      <w:r>
        <w:t>mers</w:t>
      </w:r>
      <w:proofErr w:type="spellEnd"/>
      <w:r>
        <w:t xml:space="preserve"> (</w:t>
      </w:r>
      <w:proofErr w:type="spellStart"/>
      <w:r>
        <w:t>ie</w:t>
      </w:r>
      <w:proofErr w:type="spellEnd"/>
      <w:r>
        <w:t xml:space="preserve">. </w:t>
      </w:r>
      <w:r>
        <w:rPr>
          <w:i/>
        </w:rPr>
        <w:t>d</w:t>
      </w:r>
      <w:r>
        <w:t>) is set based on the read length and it</w:t>
      </w:r>
      <w:r>
        <w:t xml:space="preserve"> is the same for all cells. The distance between fragment paired </w:t>
      </w:r>
      <w:r>
        <w:rPr>
          <w:i/>
        </w:rPr>
        <w:t>k</w:t>
      </w:r>
      <w:r>
        <w:t>-</w:t>
      </w:r>
      <w:proofErr w:type="spellStart"/>
      <w:r>
        <w:t>mers</w:t>
      </w:r>
      <w:proofErr w:type="spellEnd"/>
      <w:r>
        <w:t xml:space="preserve"> (</w:t>
      </w:r>
      <w:proofErr w:type="spellStart"/>
      <w:r>
        <w:t>ie</w:t>
      </w:r>
      <w:proofErr w:type="spellEnd"/>
      <w:r>
        <w:t xml:space="preserve">. </w:t>
      </w:r>
      <w:r>
        <w:rPr>
          <w:i/>
        </w:rPr>
        <w:t>D</w:t>
      </w:r>
      <w:r>
        <w:t>) is set based on the first quartile fragment length for each cell.</w:t>
      </w:r>
    </w:p>
    <w:p w14:paraId="646A2A5A" w14:textId="77777777" w:rsidR="00251CA8" w:rsidRDefault="00251CA8"/>
    <w:p w14:paraId="57E7AD83" w14:textId="77777777" w:rsidR="00251CA8" w:rsidRDefault="00251CA8"/>
    <w:p w14:paraId="6DF86D3A" w14:textId="77777777" w:rsidR="00251CA8" w:rsidRDefault="00E95C67">
      <w:pPr>
        <w:jc w:val="center"/>
        <w:rPr>
          <w:b/>
        </w:rPr>
      </w:pPr>
      <w:r>
        <w:rPr>
          <w:noProof/>
        </w:rPr>
        <w:lastRenderedPageBreak/>
        <w:drawing>
          <wp:inline distT="114300" distB="114300" distL="114300" distR="114300" wp14:anchorId="7E25FC87" wp14:editId="1255D316">
            <wp:extent cx="4921568" cy="3524305"/>
            <wp:effectExtent l="0" t="0" r="0" b="0"/>
            <wp:docPr id="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1568" cy="3524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8346D3" w14:textId="77777777" w:rsidR="00251CA8" w:rsidRDefault="00E95C67">
      <w:pPr>
        <w:pStyle w:val="Heading3"/>
      </w:pPr>
      <w:bookmarkStart w:id="7" w:name="_pvwx5otyxbw6" w:colFirst="0" w:colLast="0"/>
      <w:bookmarkEnd w:id="7"/>
      <w:r>
        <w:t xml:space="preserve">Supplemental Figure S8. </w:t>
      </w:r>
      <w:r>
        <w:rPr>
          <w:b w:val="0"/>
        </w:rPr>
        <w:t xml:space="preserve">Error correction in </w:t>
      </w:r>
      <w:proofErr w:type="gramStart"/>
      <w:r>
        <w:rPr>
          <w:b w:val="0"/>
        </w:rPr>
        <w:t>paired-end</w:t>
      </w:r>
      <w:proofErr w:type="gramEnd"/>
      <w:r>
        <w:rPr>
          <w:b w:val="0"/>
        </w:rPr>
        <w:t xml:space="preserve"> reads.</w:t>
      </w:r>
    </w:p>
    <w:p w14:paraId="3D40F720" w14:textId="77777777" w:rsidR="00251CA8" w:rsidRPr="00E95C67" w:rsidRDefault="00E95C67">
      <w:r w:rsidRPr="00E95C67">
        <w:t>(a) Errors in paired-end reads are corrected</w:t>
      </w:r>
      <w:r w:rsidRPr="00E95C67">
        <w:t xml:space="preserve"> based on </w:t>
      </w:r>
      <w:r w:rsidRPr="00E95C67">
        <w:rPr>
          <w:i/>
        </w:rPr>
        <w:t>k</w:t>
      </w:r>
      <w:r w:rsidRPr="00E95C67">
        <w:t>-</w:t>
      </w:r>
      <w:proofErr w:type="spellStart"/>
      <w:r w:rsidRPr="00E95C67">
        <w:t>mer</w:t>
      </w:r>
      <w:proofErr w:type="spellEnd"/>
      <w:r w:rsidRPr="00E95C67">
        <w:t xml:space="preserve"> counts. (b) A local </w:t>
      </w:r>
      <w:r w:rsidRPr="00E95C67">
        <w:rPr>
          <w:i/>
        </w:rPr>
        <w:t>k</w:t>
      </w:r>
      <w:r w:rsidRPr="00E95C67">
        <w:t>-</w:t>
      </w:r>
      <w:proofErr w:type="spellStart"/>
      <w:r w:rsidRPr="00E95C67">
        <w:t>mer</w:t>
      </w:r>
      <w:proofErr w:type="spellEnd"/>
      <w:r w:rsidRPr="00E95C67">
        <w:t xml:space="preserve"> count threshold is determined for each read individually. This is done by sorting the </w:t>
      </w:r>
      <w:r w:rsidRPr="00E95C67">
        <w:rPr>
          <w:i/>
        </w:rPr>
        <w:t>k</w:t>
      </w:r>
      <w:r w:rsidRPr="00E95C67">
        <w:rPr>
          <w:rFonts w:eastAsia="Gungsuh"/>
        </w:rPr>
        <w:t>-</w:t>
      </w:r>
      <w:proofErr w:type="spellStart"/>
      <w:r w:rsidRPr="00E95C67">
        <w:rPr>
          <w:rFonts w:eastAsia="Gungsuh"/>
        </w:rPr>
        <w:t>mer</w:t>
      </w:r>
      <w:proofErr w:type="spellEnd"/>
      <w:r w:rsidRPr="00E95C67">
        <w:rPr>
          <w:rFonts w:eastAsia="Gungsuh"/>
        </w:rPr>
        <w:t xml:space="preserve"> counts in descending order and then looking for the first sharp decrease (</w:t>
      </w:r>
      <w:proofErr w:type="spellStart"/>
      <w:r w:rsidRPr="00E95C67">
        <w:rPr>
          <w:rFonts w:eastAsia="Gungsuh"/>
        </w:rPr>
        <w:t>ie</w:t>
      </w:r>
      <w:proofErr w:type="spellEnd"/>
      <w:r w:rsidRPr="00E95C67">
        <w:rPr>
          <w:rFonts w:eastAsia="Gungsuh"/>
        </w:rPr>
        <w:t xml:space="preserve">. ≥ 50%), where the </w:t>
      </w:r>
      <w:r w:rsidRPr="00E95C67">
        <w:rPr>
          <w:i/>
        </w:rPr>
        <w:t>k</w:t>
      </w:r>
      <w:r w:rsidRPr="00E95C67">
        <w:t>-</w:t>
      </w:r>
      <w:proofErr w:type="spellStart"/>
      <w:r w:rsidRPr="00E95C67">
        <w:t>mer</w:t>
      </w:r>
      <w:proofErr w:type="spellEnd"/>
      <w:r w:rsidRPr="00E95C67">
        <w:t xml:space="preserve"> count at the sharp d</w:t>
      </w:r>
      <w:r w:rsidRPr="00E95C67">
        <w:t xml:space="preserve">ecrease is set as the local </w:t>
      </w:r>
      <w:r w:rsidRPr="00E95C67">
        <w:rPr>
          <w:i/>
        </w:rPr>
        <w:t>k</w:t>
      </w:r>
      <w:r w:rsidRPr="00E95C67">
        <w:t>-</w:t>
      </w:r>
      <w:proofErr w:type="spellStart"/>
      <w:r w:rsidRPr="00E95C67">
        <w:t>mer</w:t>
      </w:r>
      <w:proofErr w:type="spellEnd"/>
      <w:r w:rsidRPr="00E95C67">
        <w:t xml:space="preserve"> count threshold. If there is no sharp decrease in </w:t>
      </w:r>
      <w:r w:rsidRPr="00E95C67">
        <w:rPr>
          <w:i/>
        </w:rPr>
        <w:t>k</w:t>
      </w:r>
      <w:r w:rsidRPr="00E95C67">
        <w:t>-</w:t>
      </w:r>
      <w:proofErr w:type="spellStart"/>
      <w:r w:rsidRPr="00E95C67">
        <w:t>mer</w:t>
      </w:r>
      <w:proofErr w:type="spellEnd"/>
      <w:r w:rsidRPr="00E95C67">
        <w:t xml:space="preserve"> counts, then the read would not be corrected. If both reads have their own local threshold, then the lower threshold is set for both reads to account for low-expresse</w:t>
      </w:r>
      <w:r w:rsidRPr="00E95C67">
        <w:t xml:space="preserve">d alternative isoforms. (c) </w:t>
      </w:r>
      <w:r w:rsidRPr="00E95C67">
        <w:rPr>
          <w:i/>
        </w:rPr>
        <w:t>K</w:t>
      </w:r>
      <w:r w:rsidRPr="00E95C67">
        <w:t>-</w:t>
      </w:r>
      <w:proofErr w:type="spellStart"/>
      <w:r w:rsidRPr="00E95C67">
        <w:t>mers</w:t>
      </w:r>
      <w:proofErr w:type="spellEnd"/>
      <w:r w:rsidRPr="00E95C67">
        <w:t xml:space="preserve"> with counts lower than the threshold are marked (</w:t>
      </w:r>
      <w:proofErr w:type="spellStart"/>
      <w:r w:rsidRPr="00E95C67">
        <w:t>ie</w:t>
      </w:r>
      <w:proofErr w:type="spellEnd"/>
      <w:r w:rsidRPr="00E95C67">
        <w:t>. red nodes) for replacement with an alternative branch (</w:t>
      </w:r>
      <w:proofErr w:type="spellStart"/>
      <w:r w:rsidRPr="00E95C67">
        <w:t>ie</w:t>
      </w:r>
      <w:proofErr w:type="spellEnd"/>
      <w:r w:rsidRPr="00E95C67">
        <w:t xml:space="preserve">. blue nodes) in the DBG that has a higher median </w:t>
      </w:r>
      <w:r w:rsidRPr="00E95C67">
        <w:rPr>
          <w:i/>
        </w:rPr>
        <w:t>k</w:t>
      </w:r>
      <w:r w:rsidRPr="00E95C67">
        <w:rPr>
          <w:rFonts w:eastAsia="Gungsuh"/>
        </w:rPr>
        <w:t>-</w:t>
      </w:r>
      <w:proofErr w:type="spellStart"/>
      <w:r w:rsidRPr="00E95C67">
        <w:rPr>
          <w:rFonts w:eastAsia="Gungsuh"/>
        </w:rPr>
        <w:t>mer</w:t>
      </w:r>
      <w:proofErr w:type="spellEnd"/>
      <w:r w:rsidRPr="00E95C67">
        <w:rPr>
          <w:rFonts w:eastAsia="Gungsuh"/>
        </w:rPr>
        <w:t xml:space="preserve"> count, similar length, and high sequence identity (</w:t>
      </w:r>
      <w:proofErr w:type="spellStart"/>
      <w:r w:rsidRPr="00E95C67">
        <w:rPr>
          <w:rFonts w:eastAsia="Gungsuh"/>
        </w:rPr>
        <w:t>ie</w:t>
      </w:r>
      <w:proofErr w:type="spellEnd"/>
      <w:r w:rsidRPr="00E95C67">
        <w:rPr>
          <w:rFonts w:eastAsia="Gungsuh"/>
        </w:rPr>
        <w:t xml:space="preserve">. </w:t>
      </w:r>
      <w:r w:rsidRPr="00E95C67">
        <w:rPr>
          <w:rFonts w:eastAsia="Gungsuh"/>
        </w:rPr>
        <w:t>≥ 90%).</w:t>
      </w:r>
    </w:p>
    <w:p w14:paraId="005564D0" w14:textId="77777777" w:rsidR="00251CA8" w:rsidRDefault="00251CA8"/>
    <w:p w14:paraId="67093F66" w14:textId="77777777" w:rsidR="00251CA8" w:rsidRDefault="00251CA8"/>
    <w:p w14:paraId="68D222F7" w14:textId="77777777" w:rsidR="00251CA8" w:rsidRDefault="00E95C67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018FB934" wp14:editId="01C0BAF0">
            <wp:extent cx="4897755" cy="1907299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7755" cy="1907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945012" w14:textId="77777777" w:rsidR="00251CA8" w:rsidRDefault="00E95C67">
      <w:pPr>
        <w:pStyle w:val="Heading3"/>
      </w:pPr>
      <w:bookmarkStart w:id="8" w:name="_lietv7g2g0ws" w:colFirst="0" w:colLast="0"/>
      <w:bookmarkEnd w:id="8"/>
      <w:r>
        <w:t xml:space="preserve">Supplemental Figure S9. </w:t>
      </w:r>
      <w:r>
        <w:rPr>
          <w:b w:val="0"/>
          <w:i/>
        </w:rPr>
        <w:t>K</w:t>
      </w:r>
      <w:r>
        <w:rPr>
          <w:b w:val="0"/>
        </w:rPr>
        <w:t>-</w:t>
      </w:r>
      <w:proofErr w:type="spellStart"/>
      <w:r>
        <w:rPr>
          <w:b w:val="0"/>
        </w:rPr>
        <w:t>mer</w:t>
      </w:r>
      <w:proofErr w:type="spellEnd"/>
      <w:r>
        <w:rPr>
          <w:b w:val="0"/>
        </w:rPr>
        <w:t xml:space="preserve"> pairs spanning candidate extensions.</w:t>
      </w:r>
    </w:p>
    <w:p w14:paraId="34D0A36C" w14:textId="77777777" w:rsidR="00251CA8" w:rsidRDefault="00E95C67">
      <w:r>
        <w:t xml:space="preserve">When the current extension has reached a fork in the de Bruijn graph, </w:t>
      </w:r>
      <w:r>
        <w:rPr>
          <w:i/>
        </w:rPr>
        <w:t>k</w:t>
      </w:r>
      <w:r>
        <w:t>-</w:t>
      </w:r>
      <w:proofErr w:type="spellStart"/>
      <w:r>
        <w:t>mer</w:t>
      </w:r>
      <w:proofErr w:type="spellEnd"/>
      <w:r>
        <w:t xml:space="preserve"> pairs from reads and fragments are used to identify the best candidate extension from the branching p</w:t>
      </w:r>
      <w:r>
        <w:t xml:space="preserve">oint. In this </w:t>
      </w:r>
      <w:r>
        <w:lastRenderedPageBreak/>
        <w:t xml:space="preserve">example, read paired </w:t>
      </w:r>
      <w:r>
        <w:rPr>
          <w:i/>
        </w:rPr>
        <w:t>k</w:t>
      </w:r>
      <w:r>
        <w:t>-</w:t>
      </w:r>
      <w:proofErr w:type="spellStart"/>
      <w:r>
        <w:t>mers</w:t>
      </w:r>
      <w:proofErr w:type="spellEnd"/>
      <w:r>
        <w:t xml:space="preserve"> have a distance (</w:t>
      </w:r>
      <w:r>
        <w:rPr>
          <w:i/>
        </w:rPr>
        <w:t>d</w:t>
      </w:r>
      <w:r>
        <w:t xml:space="preserve">) of 5 and fragment paired </w:t>
      </w:r>
      <w:r>
        <w:rPr>
          <w:i/>
        </w:rPr>
        <w:t>k</w:t>
      </w:r>
      <w:r>
        <w:t>-</w:t>
      </w:r>
      <w:proofErr w:type="spellStart"/>
      <w:r>
        <w:t>mers</w:t>
      </w:r>
      <w:proofErr w:type="spellEnd"/>
      <w:r>
        <w:t xml:space="preserve"> have a distance (</w:t>
      </w:r>
      <w:r>
        <w:rPr>
          <w:i/>
        </w:rPr>
        <w:t>D</w:t>
      </w:r>
      <w:r>
        <w:t xml:space="preserve">) of 13. The blue top branch is a better candidate extension compared to the red bottom branch because it has 2 supporting read </w:t>
      </w:r>
      <w:r>
        <w:rPr>
          <w:i/>
        </w:rPr>
        <w:t>k</w:t>
      </w:r>
      <w:r>
        <w:t>-</w:t>
      </w:r>
      <w:proofErr w:type="spellStart"/>
      <w:r>
        <w:t>mer</w:t>
      </w:r>
      <w:proofErr w:type="spellEnd"/>
      <w:r>
        <w:t xml:space="preserve"> pairs and </w:t>
      </w:r>
      <w:r>
        <w:t xml:space="preserve">2 supporting fragment </w:t>
      </w:r>
      <w:r>
        <w:rPr>
          <w:i/>
        </w:rPr>
        <w:t>k</w:t>
      </w:r>
      <w:r>
        <w:t>-</w:t>
      </w:r>
      <w:proofErr w:type="spellStart"/>
      <w:r>
        <w:t>mer</w:t>
      </w:r>
      <w:proofErr w:type="spellEnd"/>
      <w:r>
        <w:t xml:space="preserve"> pairs.</w:t>
      </w:r>
    </w:p>
    <w:p w14:paraId="431A3AC1" w14:textId="77777777" w:rsidR="00251CA8" w:rsidRDefault="00251CA8"/>
    <w:p w14:paraId="604CD3C1" w14:textId="77777777" w:rsidR="00251CA8" w:rsidRDefault="00251CA8"/>
    <w:p w14:paraId="7E64848D" w14:textId="77777777" w:rsidR="00251CA8" w:rsidRDefault="00E95C67">
      <w:pPr>
        <w:spacing w:before="200"/>
        <w:jc w:val="center"/>
      </w:pPr>
      <w:r>
        <w:rPr>
          <w:noProof/>
        </w:rPr>
        <w:drawing>
          <wp:inline distT="114300" distB="114300" distL="114300" distR="114300" wp14:anchorId="59D041C2" wp14:editId="25779A23">
            <wp:extent cx="4798695" cy="2241496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8695" cy="2241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3E1592" w14:textId="77777777" w:rsidR="00251CA8" w:rsidRDefault="00E95C67">
      <w:pPr>
        <w:pStyle w:val="Heading3"/>
      </w:pPr>
      <w:bookmarkStart w:id="9" w:name="_4r9i80jadxyi" w:colFirst="0" w:colLast="0"/>
      <w:bookmarkEnd w:id="9"/>
      <w:r>
        <w:t xml:space="preserve">Supplemental Figure S10. </w:t>
      </w:r>
      <w:r>
        <w:rPr>
          <w:b w:val="0"/>
        </w:rPr>
        <w:t>Stratification of reconstructed fragments and unconnected reads.</w:t>
      </w:r>
    </w:p>
    <w:p w14:paraId="75CE8815" w14:textId="77777777" w:rsidR="00251CA8" w:rsidRDefault="00E95C67">
      <w:r>
        <w:t xml:space="preserve">Reconstructed fragments are stratified according to its length and minimum </w:t>
      </w:r>
      <w:r>
        <w:rPr>
          <w:i/>
        </w:rPr>
        <w:t>k</w:t>
      </w:r>
      <w:r>
        <w:t>-</w:t>
      </w:r>
      <w:proofErr w:type="spellStart"/>
      <w:r>
        <w:t>mer</w:t>
      </w:r>
      <w:proofErr w:type="spellEnd"/>
      <w:r>
        <w:t xml:space="preserve"> count. Since the fragment paired </w:t>
      </w:r>
      <w:r>
        <w:rPr>
          <w:i/>
        </w:rPr>
        <w:t>k</w:t>
      </w:r>
      <w:r>
        <w:t>-</w:t>
      </w:r>
      <w:proofErr w:type="spellStart"/>
      <w:r>
        <w:t>mers</w:t>
      </w:r>
      <w:proofErr w:type="spellEnd"/>
      <w:r>
        <w:t xml:space="preserve"> distance is set based on the first quartile fragment length, “long” fragments have at least one fragment </w:t>
      </w:r>
      <w:r>
        <w:rPr>
          <w:i/>
        </w:rPr>
        <w:t>k</w:t>
      </w:r>
      <w:r>
        <w:t>-</w:t>
      </w:r>
      <w:proofErr w:type="spellStart"/>
      <w:r>
        <w:t>mer</w:t>
      </w:r>
      <w:proofErr w:type="spellEnd"/>
      <w:r>
        <w:t xml:space="preserve"> pair while “short” fragments do not. Unconnected reads are stratified according to their minimum </w:t>
      </w:r>
      <w:r>
        <w:rPr>
          <w:i/>
        </w:rPr>
        <w:t>k</w:t>
      </w:r>
      <w:r>
        <w:t>-</w:t>
      </w:r>
      <w:proofErr w:type="spellStart"/>
      <w:r>
        <w:t>mer</w:t>
      </w:r>
      <w:proofErr w:type="spellEnd"/>
      <w:r>
        <w:t xml:space="preserve"> count only. The stratum IDs (roman n</w:t>
      </w:r>
      <w:r>
        <w:t xml:space="preserve">umerals in the table) denotes the order in which the fragments are retrieved for extension into transcript sequences. Sequences with singleton </w:t>
      </w:r>
      <w:r>
        <w:rPr>
          <w:i/>
        </w:rPr>
        <w:t>k</w:t>
      </w:r>
      <w:r>
        <w:t>-</w:t>
      </w:r>
      <w:proofErr w:type="spellStart"/>
      <w:r>
        <w:t>mers</w:t>
      </w:r>
      <w:proofErr w:type="spellEnd"/>
      <w:r>
        <w:t xml:space="preserve"> (</w:t>
      </w:r>
      <w:proofErr w:type="spellStart"/>
      <w:r>
        <w:t>ie</w:t>
      </w:r>
      <w:proofErr w:type="spellEnd"/>
      <w:r>
        <w:t xml:space="preserve">. </w:t>
      </w:r>
      <w:r>
        <w:rPr>
          <w:i/>
        </w:rPr>
        <w:t>c</w:t>
      </w:r>
      <w:r>
        <w:t xml:space="preserve"> = 1) are extended last because they often have sequencing artifacts.</w:t>
      </w:r>
    </w:p>
    <w:p w14:paraId="0F478C30" w14:textId="77777777" w:rsidR="00251CA8" w:rsidRDefault="00251CA8"/>
    <w:sectPr w:rsidR="00251C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A8"/>
    <w:rsid w:val="00251CA8"/>
    <w:rsid w:val="00E9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FE90"/>
  <w15:docId w15:val="{C8385908-161E-427E-A321-0AB7E979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kamingnip</cp:lastModifiedBy>
  <cp:revision>2</cp:revision>
  <dcterms:created xsi:type="dcterms:W3CDTF">2020-06-22T07:31:00Z</dcterms:created>
  <dcterms:modified xsi:type="dcterms:W3CDTF">2020-06-22T07:33:00Z</dcterms:modified>
</cp:coreProperties>
</file>