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2735B" w14:textId="77777777" w:rsidR="00530C7F" w:rsidRPr="006467AA" w:rsidRDefault="00530C7F" w:rsidP="00530C7F">
      <w:pPr>
        <w:jc w:val="center"/>
        <w:rPr>
          <w:rFonts w:ascii="Arial" w:hAnsi="Arial" w:cs="Arial"/>
          <w:b/>
        </w:rPr>
      </w:pPr>
      <w:r w:rsidRPr="006467AA">
        <w:rPr>
          <w:rFonts w:ascii="Arial" w:hAnsi="Arial" w:cs="Arial"/>
          <w:b/>
        </w:rPr>
        <w:t>Supplemental Material</w:t>
      </w:r>
    </w:p>
    <w:p w14:paraId="48802939" w14:textId="77777777" w:rsidR="00530C7F" w:rsidRPr="006467AA" w:rsidRDefault="00530C7F" w:rsidP="00530C7F">
      <w:pPr>
        <w:rPr>
          <w:rFonts w:ascii="Arial" w:hAnsi="Arial" w:cs="Arial"/>
          <w:b/>
        </w:rPr>
      </w:pPr>
    </w:p>
    <w:p w14:paraId="77BA4E43" w14:textId="77777777" w:rsidR="00530C7F" w:rsidRPr="006467AA" w:rsidRDefault="00530C7F" w:rsidP="001C6884">
      <w:pPr>
        <w:spacing w:line="276" w:lineRule="auto"/>
        <w:rPr>
          <w:rFonts w:ascii="Arial" w:hAnsi="Arial" w:cs="Arial"/>
          <w:b/>
        </w:rPr>
        <w:sectPr w:rsidR="00530C7F" w:rsidRPr="006467AA">
          <w:footerReference w:type="default" r:id="rId6"/>
          <w:pgSz w:w="12240" w:h="15840"/>
          <w:pgMar w:top="1440" w:right="1440" w:bottom="1440" w:left="1440" w:header="720" w:footer="720" w:gutter="0"/>
          <w:cols w:space="720"/>
          <w:docGrid w:linePitch="360"/>
        </w:sectPr>
      </w:pPr>
      <w:bookmarkStart w:id="0" w:name="_GoBack"/>
      <w:bookmarkEnd w:id="0"/>
    </w:p>
    <w:p w14:paraId="41596962" w14:textId="77777777" w:rsidR="00530C7F" w:rsidRPr="006467AA" w:rsidRDefault="00530C7F" w:rsidP="001C6884">
      <w:pPr>
        <w:spacing w:line="276" w:lineRule="auto"/>
        <w:rPr>
          <w:rFonts w:ascii="Arial" w:hAnsi="Arial" w:cs="Arial"/>
          <w:b/>
          <w:u w:val="single"/>
        </w:rPr>
      </w:pPr>
      <w:r w:rsidRPr="006467AA">
        <w:rPr>
          <w:rFonts w:ascii="Arial" w:hAnsi="Arial" w:cs="Arial"/>
          <w:b/>
          <w:u w:val="single"/>
        </w:rPr>
        <w:t>Table of Contents</w:t>
      </w:r>
    </w:p>
    <w:p w14:paraId="1E2CB6FC" w14:textId="77777777" w:rsidR="00530C7F" w:rsidRPr="006467AA" w:rsidRDefault="00530C7F" w:rsidP="00205763">
      <w:pPr>
        <w:spacing w:before="240" w:line="276" w:lineRule="auto"/>
        <w:rPr>
          <w:rFonts w:ascii="Arial" w:hAnsi="Arial" w:cs="Arial"/>
          <w:b/>
        </w:rPr>
      </w:pPr>
    </w:p>
    <w:p w14:paraId="7A5D1821" w14:textId="27EA875B" w:rsidR="00530C7F" w:rsidRPr="006467AA" w:rsidRDefault="00530C7F" w:rsidP="001C6884">
      <w:pPr>
        <w:spacing w:line="276" w:lineRule="auto"/>
        <w:rPr>
          <w:rFonts w:ascii="Arial" w:hAnsi="Arial" w:cs="Arial"/>
        </w:rPr>
      </w:pPr>
      <w:r w:rsidRPr="006467AA">
        <w:rPr>
          <w:rFonts w:ascii="Arial" w:hAnsi="Arial" w:cs="Arial"/>
        </w:rPr>
        <w:t>Supplemental Fig</w:t>
      </w:r>
      <w:r w:rsidR="005B4E1E" w:rsidRPr="006467AA">
        <w:rPr>
          <w:rFonts w:ascii="Arial" w:hAnsi="Arial" w:cs="Arial"/>
        </w:rPr>
        <w:t>.</w:t>
      </w:r>
      <w:r w:rsidRPr="006467AA">
        <w:rPr>
          <w:rFonts w:ascii="Arial" w:hAnsi="Arial" w:cs="Arial"/>
        </w:rPr>
        <w:t xml:space="preserve"> S1</w:t>
      </w:r>
      <w:r w:rsidR="001C6884" w:rsidRPr="006467AA">
        <w:rPr>
          <w:rFonts w:ascii="Arial" w:hAnsi="Arial" w:cs="Arial"/>
        </w:rPr>
        <w:tab/>
      </w:r>
      <w:r w:rsidR="001C6884" w:rsidRPr="006467AA">
        <w:rPr>
          <w:rFonts w:ascii="Arial" w:hAnsi="Arial" w:cs="Arial"/>
        </w:rPr>
        <w:tab/>
      </w:r>
      <w:r w:rsidR="001C6884" w:rsidRPr="006467AA">
        <w:rPr>
          <w:rFonts w:ascii="Arial" w:hAnsi="Arial" w:cs="Arial"/>
        </w:rPr>
        <w:tab/>
      </w:r>
      <w:r w:rsidR="001C6884" w:rsidRPr="006467AA">
        <w:rPr>
          <w:rFonts w:ascii="Arial" w:hAnsi="Arial" w:cs="Arial"/>
        </w:rPr>
        <w:tab/>
      </w:r>
      <w:r w:rsidR="001C6884" w:rsidRPr="006467AA">
        <w:rPr>
          <w:rFonts w:ascii="Arial" w:hAnsi="Arial" w:cs="Arial"/>
        </w:rPr>
        <w:tab/>
      </w:r>
      <w:r w:rsidR="001C6884" w:rsidRPr="006467AA">
        <w:rPr>
          <w:rFonts w:ascii="Arial" w:hAnsi="Arial" w:cs="Arial"/>
        </w:rPr>
        <w:tab/>
      </w:r>
    </w:p>
    <w:p w14:paraId="6073A2EC" w14:textId="77777777" w:rsidR="00530C7F" w:rsidRPr="006467AA" w:rsidRDefault="00530C7F" w:rsidP="001C6884">
      <w:pPr>
        <w:spacing w:line="276" w:lineRule="auto"/>
        <w:rPr>
          <w:rFonts w:ascii="Arial" w:hAnsi="Arial" w:cs="Arial"/>
        </w:rPr>
      </w:pPr>
    </w:p>
    <w:p w14:paraId="4F3E182B" w14:textId="145C45F8" w:rsidR="00530C7F" w:rsidRPr="006467AA" w:rsidRDefault="00530C7F" w:rsidP="001C6884">
      <w:pPr>
        <w:spacing w:line="276" w:lineRule="auto"/>
        <w:rPr>
          <w:rFonts w:ascii="Arial" w:hAnsi="Arial" w:cs="Arial"/>
        </w:rPr>
      </w:pPr>
      <w:r w:rsidRPr="006467AA">
        <w:rPr>
          <w:rFonts w:ascii="Arial" w:hAnsi="Arial" w:cs="Arial"/>
        </w:rPr>
        <w:t>Supplemental Fig</w:t>
      </w:r>
      <w:r w:rsidR="005B4E1E" w:rsidRPr="006467AA">
        <w:rPr>
          <w:rFonts w:ascii="Arial" w:hAnsi="Arial" w:cs="Arial"/>
        </w:rPr>
        <w:t>.</w:t>
      </w:r>
      <w:r w:rsidRPr="006467AA">
        <w:rPr>
          <w:rFonts w:ascii="Arial" w:hAnsi="Arial" w:cs="Arial"/>
        </w:rPr>
        <w:t xml:space="preserve"> S2</w:t>
      </w:r>
    </w:p>
    <w:p w14:paraId="1C31FAB2" w14:textId="77777777" w:rsidR="00530C7F" w:rsidRPr="006467AA" w:rsidRDefault="00530C7F" w:rsidP="001C6884">
      <w:pPr>
        <w:spacing w:line="276" w:lineRule="auto"/>
        <w:rPr>
          <w:rFonts w:ascii="Arial" w:hAnsi="Arial" w:cs="Arial"/>
        </w:rPr>
      </w:pPr>
    </w:p>
    <w:p w14:paraId="446B46AC" w14:textId="32F500AA" w:rsidR="00530C7F" w:rsidRPr="006467AA" w:rsidRDefault="00530C7F" w:rsidP="001C6884">
      <w:pPr>
        <w:spacing w:line="276" w:lineRule="auto"/>
        <w:rPr>
          <w:rFonts w:ascii="Arial" w:hAnsi="Arial" w:cs="Arial"/>
        </w:rPr>
      </w:pPr>
      <w:r w:rsidRPr="006467AA">
        <w:rPr>
          <w:rFonts w:ascii="Arial" w:hAnsi="Arial" w:cs="Arial"/>
        </w:rPr>
        <w:t>Supplemental Fig</w:t>
      </w:r>
      <w:r w:rsidR="005B4E1E" w:rsidRPr="006467AA">
        <w:rPr>
          <w:rFonts w:ascii="Arial" w:hAnsi="Arial" w:cs="Arial"/>
        </w:rPr>
        <w:t>.</w:t>
      </w:r>
      <w:r w:rsidRPr="006467AA">
        <w:rPr>
          <w:rFonts w:ascii="Arial" w:hAnsi="Arial" w:cs="Arial"/>
        </w:rPr>
        <w:t xml:space="preserve"> S3</w:t>
      </w:r>
    </w:p>
    <w:p w14:paraId="6282FD50" w14:textId="77777777" w:rsidR="00530C7F" w:rsidRPr="006467AA" w:rsidRDefault="00530C7F" w:rsidP="001C6884">
      <w:pPr>
        <w:spacing w:line="276" w:lineRule="auto"/>
        <w:rPr>
          <w:rFonts w:ascii="Arial" w:hAnsi="Arial" w:cs="Arial"/>
        </w:rPr>
      </w:pPr>
    </w:p>
    <w:p w14:paraId="563CD52E" w14:textId="7C27597A" w:rsidR="00530C7F" w:rsidRPr="006467AA" w:rsidRDefault="00530C7F" w:rsidP="001C6884">
      <w:pPr>
        <w:spacing w:line="276" w:lineRule="auto"/>
        <w:rPr>
          <w:rFonts w:ascii="Arial" w:hAnsi="Arial" w:cs="Arial"/>
        </w:rPr>
      </w:pPr>
      <w:r w:rsidRPr="006467AA">
        <w:rPr>
          <w:rFonts w:ascii="Arial" w:hAnsi="Arial" w:cs="Arial"/>
        </w:rPr>
        <w:t>Supplemental Fig</w:t>
      </w:r>
      <w:r w:rsidR="005B4E1E" w:rsidRPr="006467AA">
        <w:rPr>
          <w:rFonts w:ascii="Arial" w:hAnsi="Arial" w:cs="Arial"/>
        </w:rPr>
        <w:t>.</w:t>
      </w:r>
      <w:r w:rsidRPr="006467AA">
        <w:rPr>
          <w:rFonts w:ascii="Arial" w:hAnsi="Arial" w:cs="Arial"/>
        </w:rPr>
        <w:t xml:space="preserve"> S4</w:t>
      </w:r>
    </w:p>
    <w:p w14:paraId="605C7839" w14:textId="77777777" w:rsidR="00F86C05" w:rsidRPr="006467AA" w:rsidRDefault="00F86C05" w:rsidP="001C6884">
      <w:pPr>
        <w:spacing w:line="276" w:lineRule="auto"/>
        <w:rPr>
          <w:rFonts w:ascii="Arial" w:hAnsi="Arial" w:cs="Arial"/>
        </w:rPr>
      </w:pPr>
    </w:p>
    <w:p w14:paraId="55A0208F" w14:textId="7129EE32" w:rsidR="00F86C05" w:rsidRPr="006467AA" w:rsidRDefault="006F1132" w:rsidP="001C6884">
      <w:pPr>
        <w:spacing w:line="276" w:lineRule="auto"/>
        <w:rPr>
          <w:rFonts w:ascii="Arial" w:hAnsi="Arial" w:cs="Arial"/>
        </w:rPr>
      </w:pPr>
      <w:r w:rsidRPr="006467AA">
        <w:rPr>
          <w:rFonts w:ascii="Arial" w:hAnsi="Arial" w:cs="Arial"/>
        </w:rPr>
        <w:t>Supplemental References</w:t>
      </w:r>
    </w:p>
    <w:p w14:paraId="23576CC6" w14:textId="77777777" w:rsidR="00530C7F" w:rsidRPr="006467AA" w:rsidRDefault="00530C7F" w:rsidP="001C6884">
      <w:pPr>
        <w:spacing w:line="276" w:lineRule="auto"/>
        <w:rPr>
          <w:rFonts w:ascii="Arial" w:hAnsi="Arial" w:cs="Arial"/>
        </w:rPr>
      </w:pPr>
    </w:p>
    <w:p w14:paraId="6BF4B807" w14:textId="77777777" w:rsidR="00530C7F" w:rsidRPr="006467AA" w:rsidRDefault="00530C7F" w:rsidP="001C6884">
      <w:pPr>
        <w:spacing w:line="276" w:lineRule="auto"/>
        <w:rPr>
          <w:rFonts w:ascii="Arial" w:hAnsi="Arial" w:cs="Arial"/>
        </w:rPr>
      </w:pPr>
    </w:p>
    <w:p w14:paraId="2644C50D" w14:textId="77777777" w:rsidR="00530C7F" w:rsidRPr="006467AA" w:rsidRDefault="00530C7F" w:rsidP="001C6884">
      <w:pPr>
        <w:spacing w:line="276" w:lineRule="auto"/>
        <w:rPr>
          <w:rFonts w:ascii="Arial" w:hAnsi="Arial" w:cs="Arial"/>
        </w:rPr>
      </w:pPr>
    </w:p>
    <w:p w14:paraId="37485BC4" w14:textId="77777777" w:rsidR="00530C7F" w:rsidRPr="006467AA" w:rsidRDefault="00530C7F" w:rsidP="001C6884">
      <w:pPr>
        <w:spacing w:line="276" w:lineRule="auto"/>
        <w:rPr>
          <w:rFonts w:ascii="Arial" w:hAnsi="Arial" w:cs="Arial"/>
        </w:rPr>
      </w:pPr>
    </w:p>
    <w:p w14:paraId="6DF53216" w14:textId="77777777" w:rsidR="00530C7F" w:rsidRPr="006467AA" w:rsidRDefault="00530C7F" w:rsidP="001C6884">
      <w:pPr>
        <w:spacing w:line="276" w:lineRule="auto"/>
        <w:rPr>
          <w:rFonts w:ascii="Arial" w:hAnsi="Arial" w:cs="Arial"/>
        </w:rPr>
      </w:pPr>
    </w:p>
    <w:p w14:paraId="728F658F" w14:textId="77777777" w:rsidR="00530C7F" w:rsidRPr="006467AA" w:rsidRDefault="00530C7F" w:rsidP="001C6884">
      <w:pPr>
        <w:spacing w:line="276" w:lineRule="auto"/>
        <w:rPr>
          <w:rFonts w:ascii="Arial" w:hAnsi="Arial" w:cs="Arial"/>
        </w:rPr>
      </w:pPr>
    </w:p>
    <w:p w14:paraId="02380AA0" w14:textId="77777777" w:rsidR="00530C7F" w:rsidRPr="006467AA" w:rsidRDefault="00530C7F" w:rsidP="001C6884">
      <w:pPr>
        <w:spacing w:line="276" w:lineRule="auto"/>
        <w:rPr>
          <w:rFonts w:ascii="Arial" w:hAnsi="Arial" w:cs="Arial"/>
        </w:rPr>
      </w:pPr>
    </w:p>
    <w:p w14:paraId="3AFC505A" w14:textId="77777777" w:rsidR="00530C7F" w:rsidRPr="006467AA" w:rsidRDefault="00530C7F" w:rsidP="001C6884">
      <w:pPr>
        <w:spacing w:line="276" w:lineRule="auto"/>
        <w:rPr>
          <w:rFonts w:ascii="Arial" w:hAnsi="Arial" w:cs="Arial"/>
        </w:rPr>
      </w:pPr>
    </w:p>
    <w:p w14:paraId="7CA35753" w14:textId="77777777" w:rsidR="00530C7F" w:rsidRPr="006467AA" w:rsidRDefault="00530C7F" w:rsidP="001C6884">
      <w:pPr>
        <w:spacing w:line="276" w:lineRule="auto"/>
        <w:rPr>
          <w:rFonts w:ascii="Arial" w:hAnsi="Arial" w:cs="Arial"/>
        </w:rPr>
      </w:pPr>
    </w:p>
    <w:p w14:paraId="2159F8B3" w14:textId="77777777" w:rsidR="00530C7F" w:rsidRPr="006467AA" w:rsidRDefault="00530C7F" w:rsidP="001C6884">
      <w:pPr>
        <w:spacing w:line="276" w:lineRule="auto"/>
        <w:rPr>
          <w:rFonts w:ascii="Arial" w:hAnsi="Arial" w:cs="Arial"/>
        </w:rPr>
      </w:pPr>
    </w:p>
    <w:p w14:paraId="5DB3C1E3" w14:textId="653FD304" w:rsidR="00DD64BA" w:rsidRPr="006467AA" w:rsidRDefault="00DD64BA" w:rsidP="001C6884">
      <w:pPr>
        <w:spacing w:line="276" w:lineRule="auto"/>
        <w:rPr>
          <w:rFonts w:ascii="Arial" w:hAnsi="Arial" w:cs="Arial"/>
        </w:rPr>
      </w:pPr>
    </w:p>
    <w:p w14:paraId="6B5781D3" w14:textId="77777777" w:rsidR="001C6884" w:rsidRPr="006467AA" w:rsidRDefault="001C6884" w:rsidP="001C6884">
      <w:pPr>
        <w:spacing w:before="240" w:after="0" w:line="276" w:lineRule="auto"/>
        <w:rPr>
          <w:rFonts w:ascii="Arial" w:hAnsi="Arial" w:cs="Arial"/>
        </w:rPr>
      </w:pPr>
    </w:p>
    <w:p w14:paraId="1D36C8E7" w14:textId="77777777" w:rsidR="00C2510B" w:rsidRDefault="00C2510B" w:rsidP="001D56F3">
      <w:pPr>
        <w:spacing w:line="276" w:lineRule="auto"/>
        <w:ind w:firstLine="1080"/>
        <w:rPr>
          <w:rFonts w:ascii="Arial" w:hAnsi="Arial" w:cs="Arial"/>
        </w:rPr>
      </w:pPr>
    </w:p>
    <w:p w14:paraId="59C5F4AC" w14:textId="77777777" w:rsidR="00C2510B" w:rsidRDefault="00C2510B" w:rsidP="001D56F3">
      <w:pPr>
        <w:spacing w:line="276" w:lineRule="auto"/>
        <w:ind w:firstLine="1080"/>
        <w:rPr>
          <w:rFonts w:ascii="Arial" w:hAnsi="Arial" w:cs="Arial"/>
        </w:rPr>
      </w:pPr>
    </w:p>
    <w:p w14:paraId="1A485183" w14:textId="77777777" w:rsidR="00C2510B" w:rsidRDefault="00C2510B" w:rsidP="001D56F3">
      <w:pPr>
        <w:spacing w:line="276" w:lineRule="auto"/>
        <w:ind w:firstLine="1080"/>
        <w:rPr>
          <w:rFonts w:ascii="Arial" w:hAnsi="Arial" w:cs="Arial"/>
        </w:rPr>
      </w:pPr>
    </w:p>
    <w:p w14:paraId="636BDF10" w14:textId="77777777" w:rsidR="00C2510B" w:rsidRDefault="00C2510B" w:rsidP="001D56F3">
      <w:pPr>
        <w:spacing w:line="276" w:lineRule="auto"/>
        <w:ind w:firstLine="1080"/>
        <w:rPr>
          <w:rFonts w:ascii="Arial" w:hAnsi="Arial" w:cs="Arial"/>
        </w:rPr>
      </w:pPr>
    </w:p>
    <w:p w14:paraId="35C83F89" w14:textId="77777777" w:rsidR="00C2510B" w:rsidRDefault="00C2510B" w:rsidP="001D56F3">
      <w:pPr>
        <w:spacing w:line="276" w:lineRule="auto"/>
        <w:ind w:firstLine="1080"/>
        <w:rPr>
          <w:rFonts w:ascii="Arial" w:hAnsi="Arial" w:cs="Arial"/>
        </w:rPr>
      </w:pPr>
    </w:p>
    <w:p w14:paraId="0E282962" w14:textId="77777777" w:rsidR="00C2510B" w:rsidRDefault="00C2510B" w:rsidP="00C2510B">
      <w:pPr>
        <w:spacing w:line="276" w:lineRule="auto"/>
        <w:rPr>
          <w:rFonts w:ascii="Arial" w:hAnsi="Arial" w:cs="Arial"/>
        </w:rPr>
      </w:pPr>
    </w:p>
    <w:p w14:paraId="43485E36" w14:textId="2476CC16" w:rsidR="00530C7F" w:rsidRPr="006467AA" w:rsidRDefault="00D6132C" w:rsidP="001D56F3">
      <w:pPr>
        <w:spacing w:line="276" w:lineRule="auto"/>
        <w:ind w:firstLine="1080"/>
        <w:rPr>
          <w:rFonts w:ascii="Arial" w:hAnsi="Arial" w:cs="Arial"/>
        </w:rPr>
      </w:pPr>
      <w:r w:rsidRPr="006467AA">
        <w:rPr>
          <w:rFonts w:ascii="Arial" w:hAnsi="Arial" w:cs="Arial"/>
        </w:rPr>
        <w:t>2</w:t>
      </w:r>
      <w:r w:rsidR="00991E24" w:rsidRPr="006467AA">
        <w:rPr>
          <w:rFonts w:ascii="Arial" w:hAnsi="Arial" w:cs="Arial"/>
        </w:rPr>
        <w:t>-3</w:t>
      </w:r>
    </w:p>
    <w:p w14:paraId="56023E57" w14:textId="77777777" w:rsidR="009C1C7E" w:rsidRPr="006467AA" w:rsidRDefault="009C1C7E" w:rsidP="001D56F3">
      <w:pPr>
        <w:spacing w:line="276" w:lineRule="auto"/>
        <w:ind w:firstLine="1080"/>
        <w:rPr>
          <w:rFonts w:ascii="Arial" w:hAnsi="Arial" w:cs="Arial"/>
        </w:rPr>
      </w:pPr>
    </w:p>
    <w:p w14:paraId="703C1ABC" w14:textId="7C802355" w:rsidR="00530C7F" w:rsidRPr="006467AA" w:rsidRDefault="00991E24" w:rsidP="001D56F3">
      <w:pPr>
        <w:spacing w:line="276" w:lineRule="auto"/>
        <w:ind w:firstLine="1080"/>
        <w:rPr>
          <w:rFonts w:ascii="Arial" w:hAnsi="Arial" w:cs="Arial"/>
        </w:rPr>
      </w:pPr>
      <w:r w:rsidRPr="006467AA">
        <w:rPr>
          <w:rFonts w:ascii="Arial" w:hAnsi="Arial" w:cs="Arial"/>
        </w:rPr>
        <w:t>4-5</w:t>
      </w:r>
    </w:p>
    <w:p w14:paraId="4CDA8F70" w14:textId="77FEE2BE" w:rsidR="00530C7F" w:rsidRPr="006467AA" w:rsidRDefault="00530C7F" w:rsidP="001D56F3">
      <w:pPr>
        <w:spacing w:line="276" w:lineRule="auto"/>
        <w:ind w:firstLine="1080"/>
        <w:rPr>
          <w:rFonts w:ascii="Arial" w:hAnsi="Arial" w:cs="Arial"/>
        </w:rPr>
      </w:pPr>
    </w:p>
    <w:p w14:paraId="77BDA050" w14:textId="0A0E26A8" w:rsidR="00530C7F" w:rsidRPr="006467AA" w:rsidRDefault="00DD64BA" w:rsidP="001D56F3">
      <w:pPr>
        <w:spacing w:line="276" w:lineRule="auto"/>
        <w:ind w:firstLine="1080"/>
        <w:rPr>
          <w:rFonts w:ascii="Arial" w:hAnsi="Arial" w:cs="Arial"/>
        </w:rPr>
      </w:pPr>
      <w:r w:rsidRPr="006467AA">
        <w:rPr>
          <w:rFonts w:ascii="Arial" w:hAnsi="Arial" w:cs="Arial"/>
        </w:rPr>
        <w:t>6</w:t>
      </w:r>
      <w:r w:rsidR="00EF6EB4" w:rsidRPr="006467AA">
        <w:rPr>
          <w:rFonts w:ascii="Arial" w:hAnsi="Arial" w:cs="Arial"/>
        </w:rPr>
        <w:t>-7</w:t>
      </w:r>
    </w:p>
    <w:p w14:paraId="40BC1B18" w14:textId="77777777" w:rsidR="00530C7F" w:rsidRPr="006467AA" w:rsidRDefault="00530C7F" w:rsidP="001D56F3">
      <w:pPr>
        <w:spacing w:line="276" w:lineRule="auto"/>
        <w:ind w:firstLine="1080"/>
        <w:rPr>
          <w:rFonts w:ascii="Arial" w:hAnsi="Arial" w:cs="Arial"/>
        </w:rPr>
      </w:pPr>
    </w:p>
    <w:p w14:paraId="0B682F47" w14:textId="0AED91EB" w:rsidR="00530C7F" w:rsidRPr="006467AA" w:rsidRDefault="00EF6EB4" w:rsidP="001D56F3">
      <w:pPr>
        <w:spacing w:line="276" w:lineRule="auto"/>
        <w:ind w:firstLine="1080"/>
        <w:rPr>
          <w:rFonts w:ascii="Arial" w:hAnsi="Arial" w:cs="Arial"/>
        </w:rPr>
      </w:pPr>
      <w:r w:rsidRPr="006467AA">
        <w:rPr>
          <w:rFonts w:ascii="Arial" w:hAnsi="Arial" w:cs="Arial"/>
        </w:rPr>
        <w:t>8-9</w:t>
      </w:r>
    </w:p>
    <w:p w14:paraId="194D9DA5" w14:textId="77777777" w:rsidR="00530C7F" w:rsidRPr="006467AA" w:rsidRDefault="00530C7F" w:rsidP="00C2510B">
      <w:pPr>
        <w:spacing w:line="276" w:lineRule="auto"/>
        <w:rPr>
          <w:rFonts w:ascii="Arial" w:hAnsi="Arial" w:cs="Arial"/>
        </w:rPr>
      </w:pPr>
    </w:p>
    <w:p w14:paraId="51A57478" w14:textId="513DC928" w:rsidR="00530C7F" w:rsidRPr="006467AA" w:rsidRDefault="00C2510B" w:rsidP="009C1C7E">
      <w:pPr>
        <w:spacing w:line="276" w:lineRule="auto"/>
        <w:ind w:firstLine="1080"/>
        <w:rPr>
          <w:rFonts w:ascii="Arial" w:hAnsi="Arial" w:cs="Arial"/>
        </w:rPr>
      </w:pPr>
      <w:r>
        <w:rPr>
          <w:rFonts w:ascii="Arial" w:hAnsi="Arial" w:cs="Arial"/>
        </w:rPr>
        <w:t>10</w:t>
      </w:r>
    </w:p>
    <w:p w14:paraId="5371FBE8" w14:textId="77777777" w:rsidR="00530C7F" w:rsidRPr="006467AA" w:rsidRDefault="00530C7F" w:rsidP="00D6132C">
      <w:pPr>
        <w:ind w:firstLine="1080"/>
        <w:rPr>
          <w:rFonts w:ascii="Arial" w:hAnsi="Arial" w:cs="Arial"/>
        </w:rPr>
      </w:pPr>
    </w:p>
    <w:p w14:paraId="56D9C4BA" w14:textId="77777777" w:rsidR="00530C7F" w:rsidRPr="006467AA" w:rsidRDefault="00530C7F" w:rsidP="00D6132C">
      <w:pPr>
        <w:ind w:firstLine="1080"/>
        <w:rPr>
          <w:rFonts w:ascii="Arial" w:hAnsi="Arial" w:cs="Arial"/>
        </w:rPr>
      </w:pPr>
    </w:p>
    <w:p w14:paraId="7B5CFE6A" w14:textId="77777777" w:rsidR="00530C7F" w:rsidRPr="006467AA" w:rsidRDefault="00530C7F" w:rsidP="00D6132C">
      <w:pPr>
        <w:ind w:firstLine="1080"/>
        <w:rPr>
          <w:rFonts w:ascii="Arial" w:hAnsi="Arial" w:cs="Arial"/>
        </w:rPr>
      </w:pPr>
    </w:p>
    <w:p w14:paraId="39992976" w14:textId="77777777" w:rsidR="00530C7F" w:rsidRPr="006467AA" w:rsidRDefault="00530C7F" w:rsidP="00D6132C">
      <w:pPr>
        <w:ind w:firstLine="1080"/>
        <w:rPr>
          <w:rFonts w:ascii="Arial" w:hAnsi="Arial" w:cs="Arial"/>
        </w:rPr>
      </w:pPr>
    </w:p>
    <w:p w14:paraId="43D85E92" w14:textId="77777777" w:rsidR="00530C7F" w:rsidRPr="006467AA" w:rsidRDefault="00530C7F" w:rsidP="00D6132C">
      <w:pPr>
        <w:ind w:firstLine="1080"/>
        <w:rPr>
          <w:rFonts w:ascii="Arial" w:hAnsi="Arial" w:cs="Arial"/>
        </w:rPr>
      </w:pPr>
    </w:p>
    <w:p w14:paraId="5EB0E48C" w14:textId="77777777" w:rsidR="00530C7F" w:rsidRPr="006467AA" w:rsidRDefault="00530C7F" w:rsidP="00D6132C">
      <w:pPr>
        <w:ind w:firstLine="1080"/>
        <w:rPr>
          <w:rFonts w:ascii="Arial" w:hAnsi="Arial" w:cs="Arial"/>
        </w:rPr>
      </w:pPr>
    </w:p>
    <w:p w14:paraId="433CC313" w14:textId="77777777" w:rsidR="00530C7F" w:rsidRPr="006467AA" w:rsidRDefault="00530C7F" w:rsidP="00D6132C">
      <w:pPr>
        <w:ind w:firstLine="1080"/>
        <w:rPr>
          <w:rFonts w:ascii="Arial" w:hAnsi="Arial" w:cs="Arial"/>
        </w:rPr>
      </w:pPr>
    </w:p>
    <w:p w14:paraId="0D147F2E" w14:textId="77777777" w:rsidR="00530C7F" w:rsidRPr="006467AA" w:rsidRDefault="00530C7F" w:rsidP="00530C7F">
      <w:pPr>
        <w:ind w:firstLine="1440"/>
        <w:rPr>
          <w:rFonts w:ascii="Arial" w:hAnsi="Arial" w:cs="Arial"/>
        </w:rPr>
      </w:pPr>
    </w:p>
    <w:p w14:paraId="665FC1EE" w14:textId="77777777" w:rsidR="00DC3F43" w:rsidRPr="006467AA" w:rsidRDefault="00DC3F43" w:rsidP="00530C7F">
      <w:pPr>
        <w:rPr>
          <w:rFonts w:ascii="Arial" w:hAnsi="Arial" w:cs="Arial"/>
        </w:rPr>
        <w:sectPr w:rsidR="00DC3F43" w:rsidRPr="006467AA" w:rsidSect="00530C7F">
          <w:type w:val="continuous"/>
          <w:pgSz w:w="12240" w:h="15840"/>
          <w:pgMar w:top="1440" w:right="1440" w:bottom="1440" w:left="1440" w:header="720" w:footer="720" w:gutter="0"/>
          <w:cols w:num="2" w:space="720" w:equalWidth="0">
            <w:col w:w="6000" w:space="720"/>
            <w:col w:w="2640"/>
          </w:cols>
          <w:docGrid w:linePitch="360"/>
        </w:sectPr>
      </w:pPr>
    </w:p>
    <w:p w14:paraId="029FA679" w14:textId="062B9D89" w:rsidR="00A12FF6" w:rsidRPr="006467AA" w:rsidRDefault="00A12FF6" w:rsidP="00A12FF6">
      <w:pPr>
        <w:rPr>
          <w:rFonts w:ascii="Arial" w:hAnsi="Arial" w:cs="Arial"/>
        </w:rPr>
      </w:pPr>
      <w:r w:rsidRPr="006467AA">
        <w:rPr>
          <w:rFonts w:ascii="Arial" w:hAnsi="Arial" w:cs="Arial"/>
        </w:rPr>
        <w:lastRenderedPageBreak/>
        <w:t>Supplemental Fig</w:t>
      </w:r>
      <w:r w:rsidR="005B4E1E" w:rsidRPr="006467AA">
        <w:rPr>
          <w:rFonts w:ascii="Arial" w:hAnsi="Arial" w:cs="Arial"/>
        </w:rPr>
        <w:t>.</w:t>
      </w:r>
      <w:r w:rsidRPr="006467AA">
        <w:rPr>
          <w:rFonts w:ascii="Arial" w:hAnsi="Arial" w:cs="Arial"/>
        </w:rPr>
        <w:t xml:space="preserve"> S1</w:t>
      </w:r>
    </w:p>
    <w:p w14:paraId="20B5E627" w14:textId="46ED3632" w:rsidR="002D0C37" w:rsidRPr="006467AA" w:rsidRDefault="002D0C37" w:rsidP="002D0C37">
      <w:pPr>
        <w:rPr>
          <w:rFonts w:ascii="Arial" w:hAnsi="Arial" w:cs="Arial"/>
        </w:rPr>
      </w:pPr>
      <w:r w:rsidRPr="006467AA">
        <w:rPr>
          <w:rFonts w:ascii="Arial" w:hAnsi="Arial" w:cs="Arial"/>
          <w:noProof/>
        </w:rPr>
        <w:drawing>
          <wp:inline distT="0" distB="0" distL="0" distR="0" wp14:anchorId="154507D7" wp14:editId="007C61E2">
            <wp:extent cx="5943600" cy="5662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_Fig_S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662930"/>
                    </a:xfrm>
                    <a:prstGeom prst="rect">
                      <a:avLst/>
                    </a:prstGeom>
                  </pic:spPr>
                </pic:pic>
              </a:graphicData>
            </a:graphic>
          </wp:inline>
        </w:drawing>
      </w:r>
    </w:p>
    <w:p w14:paraId="779CA3A9" w14:textId="77777777" w:rsidR="002D0C37" w:rsidRPr="006467AA" w:rsidRDefault="002D0C37">
      <w:pPr>
        <w:rPr>
          <w:rFonts w:ascii="Arial" w:eastAsia="Calibri" w:hAnsi="Arial" w:cs="Arial"/>
          <w:b/>
        </w:rPr>
      </w:pPr>
      <w:r w:rsidRPr="006467AA">
        <w:rPr>
          <w:rFonts w:ascii="Arial" w:eastAsia="Calibri" w:hAnsi="Arial" w:cs="Arial"/>
          <w:b/>
        </w:rPr>
        <w:br w:type="page"/>
      </w:r>
    </w:p>
    <w:p w14:paraId="0B583F1A" w14:textId="3EC3C656" w:rsidR="00A12FF6" w:rsidRPr="006467AA" w:rsidRDefault="00A12FF6" w:rsidP="002D0C37">
      <w:pPr>
        <w:spacing w:line="480" w:lineRule="auto"/>
        <w:jc w:val="both"/>
        <w:rPr>
          <w:rFonts w:ascii="Arial" w:eastAsia="Calibri" w:hAnsi="Arial" w:cs="Arial"/>
          <w:b/>
        </w:rPr>
      </w:pPr>
      <w:r w:rsidRPr="006467AA">
        <w:rPr>
          <w:rFonts w:ascii="Arial" w:eastAsia="Calibri" w:hAnsi="Arial" w:cs="Arial"/>
          <w:b/>
        </w:rPr>
        <w:lastRenderedPageBreak/>
        <w:t>Supplemental Fig. S1.</w:t>
      </w:r>
      <w:r w:rsidRPr="006467AA">
        <w:rPr>
          <w:rFonts w:ascii="Arial" w:eastAsia="Calibri" w:hAnsi="Arial" w:cs="Arial"/>
        </w:rPr>
        <w:t xml:space="preserve">  </w:t>
      </w:r>
      <w:r w:rsidRPr="006467AA">
        <w:rPr>
          <w:rFonts w:ascii="Arial" w:hAnsi="Arial" w:cs="Arial"/>
        </w:rPr>
        <w:t>Retro-</w:t>
      </w:r>
      <w:proofErr w:type="spellStart"/>
      <w:r w:rsidRPr="006467AA">
        <w:rPr>
          <w:rFonts w:ascii="Arial" w:hAnsi="Arial" w:cs="Arial"/>
        </w:rPr>
        <w:t>seq</w:t>
      </w:r>
      <w:proofErr w:type="spellEnd"/>
      <w:r w:rsidRPr="006467AA">
        <w:rPr>
          <w:rFonts w:ascii="Arial" w:hAnsi="Arial" w:cs="Arial"/>
        </w:rPr>
        <w:t xml:space="preserve"> protocol for quantifying Ty3 8N tags at insertion sites. Galactose-inducible Ty3-8N is encoded on a plasmid containing </w:t>
      </w:r>
      <w:r w:rsidRPr="006467AA">
        <w:rPr>
          <w:rFonts w:ascii="Arial" w:hAnsi="Arial" w:cs="Arial"/>
          <w:i/>
        </w:rPr>
        <w:t>URA3</w:t>
      </w:r>
      <w:r w:rsidRPr="006467AA">
        <w:rPr>
          <w:rFonts w:ascii="Arial" w:hAnsi="Arial" w:cs="Arial"/>
        </w:rPr>
        <w:t xml:space="preserve"> selectable marker. After insertion into the genome, sequencing libraries were prepared using a two-step PCR priming scheme (Supplemental Methods). First, forward priming is from the downstream internal domain region of Ty3, reverse priming is from the adapter. Second, forward priming is from the Illumina primer binding site contained on the U5 portion of the LTR. After mapping</w:t>
      </w:r>
      <w:r w:rsidRPr="006467AA">
        <w:rPr>
          <w:rFonts w:ascii="Arial" w:hAnsi="Arial" w:cs="Arial"/>
        </w:rPr>
        <w:softHyphen/>
        <w:t>, each unique 8N tag is counted once per insertion site for quantifying the frequency of integration events.</w:t>
      </w:r>
    </w:p>
    <w:p w14:paraId="544D3A66" w14:textId="77777777" w:rsidR="002D0C37" w:rsidRPr="00C46A68" w:rsidRDefault="002D0C37">
      <w:pPr>
        <w:rPr>
          <w:rFonts w:ascii="Arial" w:eastAsia="Calibri" w:hAnsi="Arial" w:cs="Arial"/>
          <w:highlight w:val="yellow"/>
        </w:rPr>
      </w:pPr>
      <w:r w:rsidRPr="006467AA">
        <w:rPr>
          <w:rFonts w:ascii="Arial" w:eastAsia="Calibri" w:hAnsi="Arial" w:cs="Arial"/>
          <w:b/>
          <w:highlight w:val="yellow"/>
        </w:rPr>
        <w:br w:type="page"/>
      </w:r>
    </w:p>
    <w:p w14:paraId="45C61DA5" w14:textId="107CDE10" w:rsidR="00905BCB" w:rsidRPr="006467AA" w:rsidRDefault="00C2510B" w:rsidP="00905BCB">
      <w:pPr>
        <w:rPr>
          <w:rFonts w:ascii="Arial" w:hAnsi="Arial" w:cs="Arial"/>
        </w:rPr>
      </w:pPr>
      <w:r>
        <w:rPr>
          <w:rFonts w:ascii="Arial" w:hAnsi="Arial" w:cs="Arial"/>
        </w:rPr>
        <w:lastRenderedPageBreak/>
        <w:t>Supplemental Fig. S2</w:t>
      </w:r>
    </w:p>
    <w:p w14:paraId="1EF330CD" w14:textId="17D735CD" w:rsidR="00905BCB" w:rsidRPr="006467AA" w:rsidRDefault="00905BCB">
      <w:pPr>
        <w:rPr>
          <w:rFonts w:ascii="Arial" w:eastAsia="Calibri" w:hAnsi="Arial" w:cs="Arial"/>
          <w:b/>
        </w:rPr>
      </w:pPr>
      <w:r w:rsidRPr="006467AA">
        <w:rPr>
          <w:rFonts w:ascii="Arial" w:eastAsia="Calibri" w:hAnsi="Arial" w:cs="Arial"/>
          <w:b/>
          <w:noProof/>
        </w:rPr>
        <w:drawing>
          <wp:inline distT="0" distB="0" distL="0" distR="0" wp14:anchorId="3637A6CE" wp14:editId="0AB949FB">
            <wp:extent cx="5943600" cy="54394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l_Fig_S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439410"/>
                    </a:xfrm>
                    <a:prstGeom prst="rect">
                      <a:avLst/>
                    </a:prstGeom>
                  </pic:spPr>
                </pic:pic>
              </a:graphicData>
            </a:graphic>
          </wp:inline>
        </w:drawing>
      </w:r>
      <w:r w:rsidRPr="006467AA">
        <w:rPr>
          <w:rFonts w:ascii="Arial" w:eastAsia="Calibri" w:hAnsi="Arial" w:cs="Arial"/>
          <w:b/>
        </w:rPr>
        <w:br w:type="page"/>
      </w:r>
    </w:p>
    <w:p w14:paraId="6E5DB733" w14:textId="3E7A4189" w:rsidR="002D0C37" w:rsidRPr="006467AA" w:rsidRDefault="00C2510B" w:rsidP="00A2084E">
      <w:pPr>
        <w:spacing w:line="480" w:lineRule="auto"/>
        <w:jc w:val="both"/>
        <w:rPr>
          <w:rFonts w:ascii="Arial" w:hAnsi="Arial" w:cs="Arial"/>
        </w:rPr>
      </w:pPr>
      <w:r>
        <w:rPr>
          <w:rFonts w:ascii="Arial" w:eastAsia="Calibri" w:hAnsi="Arial" w:cs="Arial"/>
          <w:b/>
        </w:rPr>
        <w:lastRenderedPageBreak/>
        <w:t>Supplemental Fig. S2</w:t>
      </w:r>
      <w:r w:rsidR="00A12FF6" w:rsidRPr="006467AA">
        <w:rPr>
          <w:rFonts w:ascii="Arial" w:eastAsia="Calibri" w:hAnsi="Arial" w:cs="Arial"/>
          <w:b/>
        </w:rPr>
        <w:t xml:space="preserve">. </w:t>
      </w:r>
      <w:proofErr w:type="spellStart"/>
      <w:r w:rsidR="00A12FF6" w:rsidRPr="006467AA">
        <w:rPr>
          <w:rFonts w:ascii="Arial" w:eastAsia="Calibri" w:hAnsi="Arial" w:cs="Arial"/>
        </w:rPr>
        <w:t>ChIP</w:t>
      </w:r>
      <w:proofErr w:type="spellEnd"/>
      <w:r w:rsidR="00A12FF6" w:rsidRPr="006467AA">
        <w:rPr>
          <w:rFonts w:ascii="Arial" w:eastAsia="Calibri" w:hAnsi="Arial" w:cs="Arial"/>
        </w:rPr>
        <w:t xml:space="preserve"> analysis of Brf1, Rpc34 and IN association with Ty3 insertion sites. (</w:t>
      </w:r>
      <w:r w:rsidR="00A12FF6" w:rsidRPr="006467AA">
        <w:rPr>
          <w:rFonts w:ascii="Arial" w:eastAsia="Calibri" w:hAnsi="Arial" w:cs="Arial"/>
          <w:i/>
        </w:rPr>
        <w:t>A</w:t>
      </w:r>
      <w:r w:rsidR="00A12FF6" w:rsidRPr="006467AA">
        <w:rPr>
          <w:rFonts w:ascii="Arial" w:eastAsia="Calibri" w:hAnsi="Arial" w:cs="Arial"/>
        </w:rPr>
        <w:t xml:space="preserve">) </w:t>
      </w:r>
      <w:r w:rsidR="00A12FF6" w:rsidRPr="006467AA">
        <w:rPr>
          <w:rFonts w:ascii="Arial" w:hAnsi="Arial" w:cs="Arial"/>
        </w:rPr>
        <w:t xml:space="preserve">Analysis of </w:t>
      </w:r>
      <w:proofErr w:type="spellStart"/>
      <w:r w:rsidR="00A12FF6" w:rsidRPr="006467AA">
        <w:rPr>
          <w:rFonts w:ascii="Arial" w:hAnsi="Arial" w:cs="Arial"/>
        </w:rPr>
        <w:t>ChIP-seq</w:t>
      </w:r>
      <w:proofErr w:type="spellEnd"/>
      <w:r w:rsidR="00A12FF6" w:rsidRPr="006467AA">
        <w:rPr>
          <w:rFonts w:ascii="Arial" w:hAnsi="Arial" w:cs="Arial"/>
        </w:rPr>
        <w:t xml:space="preserve"> replicates for irreproducibility discovery rate (IDR)</w:t>
      </w:r>
      <w:r w:rsidR="00A2084E">
        <w:rPr>
          <w:rFonts w:ascii="Arial" w:eastAsia="Calibri" w:hAnsi="Arial" w:cs="Arial"/>
        </w:rPr>
        <w:t>.</w:t>
      </w:r>
      <w:r w:rsidR="00A12FF6" w:rsidRPr="006467AA">
        <w:rPr>
          <w:rFonts w:ascii="Arial" w:eastAsia="Calibri" w:hAnsi="Arial" w:cs="Arial"/>
        </w:rPr>
        <w:t xml:space="preserve"> </w:t>
      </w:r>
      <w:r w:rsidR="00A2084E">
        <w:rPr>
          <w:rFonts w:ascii="Arial" w:hAnsi="Arial" w:cs="Arial"/>
        </w:rPr>
        <w:t>Brf1, Rpc34</w:t>
      </w:r>
      <w:r w:rsidR="00A02785">
        <w:rPr>
          <w:rFonts w:ascii="Arial" w:hAnsi="Arial" w:cs="Arial"/>
        </w:rPr>
        <w:t xml:space="preserve"> or IN </w:t>
      </w:r>
      <w:r w:rsidR="00A2084E" w:rsidRPr="006467AA">
        <w:rPr>
          <w:rFonts w:ascii="Arial" w:hAnsi="Arial" w:cs="Arial"/>
        </w:rPr>
        <w:t>were compa</w:t>
      </w:r>
      <w:r w:rsidR="00A2084E" w:rsidRPr="00A02785">
        <w:rPr>
          <w:rFonts w:ascii="Arial" w:hAnsi="Arial" w:cs="Arial"/>
        </w:rPr>
        <w:t>red by analyzing peaks only identified in one or the other replicate.</w:t>
      </w:r>
      <w:r w:rsidR="00A2084E">
        <w:rPr>
          <w:rFonts w:ascii="Arial" w:hAnsi="Arial" w:cs="Arial"/>
        </w:rPr>
        <w:t xml:space="preserve"> </w:t>
      </w:r>
      <w:r w:rsidR="00A12FF6" w:rsidRPr="006467AA">
        <w:rPr>
          <w:rFonts w:ascii="Arial" w:eastAsia="Calibri" w:hAnsi="Arial" w:cs="Arial"/>
        </w:rPr>
        <w:t>(</w:t>
      </w:r>
      <w:r w:rsidR="00A12FF6" w:rsidRPr="006467AA">
        <w:rPr>
          <w:rFonts w:ascii="Arial" w:eastAsia="Calibri" w:hAnsi="Arial" w:cs="Arial"/>
          <w:i/>
        </w:rPr>
        <w:t>B</w:t>
      </w:r>
      <w:r w:rsidR="00A12FF6" w:rsidRPr="006467AA">
        <w:rPr>
          <w:rFonts w:ascii="Arial" w:eastAsia="Calibri" w:hAnsi="Arial" w:cs="Arial"/>
        </w:rPr>
        <w:t>) Histogram of frequency versus fold enrichm</w:t>
      </w:r>
      <w:r w:rsidR="00FD4732" w:rsidRPr="006467AA">
        <w:rPr>
          <w:rFonts w:ascii="Arial" w:eastAsia="Calibri" w:hAnsi="Arial" w:cs="Arial"/>
        </w:rPr>
        <w:t>ent (FE) at Ty3 insertion sites</w:t>
      </w:r>
      <w:r w:rsidR="00A12FF6" w:rsidRPr="006467AA">
        <w:rPr>
          <w:rFonts w:ascii="Arial" w:eastAsia="Calibri" w:hAnsi="Arial" w:cs="Arial"/>
        </w:rPr>
        <w:t xml:space="preserve"> </w:t>
      </w:r>
      <w:r w:rsidR="00A12FF6" w:rsidRPr="006467AA">
        <w:rPr>
          <w:rFonts w:ascii="Arial" w:hAnsi="Arial" w:cs="Arial"/>
        </w:rPr>
        <w:t>(Methods</w:t>
      </w:r>
      <w:r w:rsidR="00FD4732" w:rsidRPr="006467AA">
        <w:rPr>
          <w:rFonts w:ascii="Arial" w:hAnsi="Arial" w:cs="Arial"/>
        </w:rPr>
        <w:t>, Supplemental Methods</w:t>
      </w:r>
      <w:r w:rsidR="00A12FF6" w:rsidRPr="006467AA">
        <w:rPr>
          <w:rFonts w:ascii="Arial" w:hAnsi="Arial" w:cs="Arial"/>
        </w:rPr>
        <w:t>)</w:t>
      </w:r>
      <w:r w:rsidR="00A12FF6" w:rsidRPr="006467AA">
        <w:rPr>
          <w:rFonts w:ascii="Arial" w:eastAsia="Calibri" w:hAnsi="Arial" w:cs="Arial"/>
        </w:rPr>
        <w:t>; (</w:t>
      </w:r>
      <w:r w:rsidR="00A12FF6" w:rsidRPr="006467AA">
        <w:rPr>
          <w:rFonts w:ascii="Arial" w:eastAsia="Calibri" w:hAnsi="Arial" w:cs="Arial"/>
          <w:i/>
        </w:rPr>
        <w:t>C</w:t>
      </w:r>
      <w:r w:rsidR="00A12FF6" w:rsidRPr="006467AA">
        <w:rPr>
          <w:rFonts w:ascii="Arial" w:eastAsia="Calibri" w:hAnsi="Arial" w:cs="Arial"/>
        </w:rPr>
        <w:t xml:space="preserve">) </w:t>
      </w:r>
      <w:proofErr w:type="spellStart"/>
      <w:r w:rsidR="00A2084E">
        <w:rPr>
          <w:rFonts w:ascii="Arial" w:eastAsia="Calibri" w:hAnsi="Arial" w:cs="Arial"/>
        </w:rPr>
        <w:t>ChIP</w:t>
      </w:r>
      <w:proofErr w:type="spellEnd"/>
      <w:r w:rsidR="00A2084E">
        <w:rPr>
          <w:rFonts w:ascii="Arial" w:eastAsia="Calibri" w:hAnsi="Arial" w:cs="Arial"/>
        </w:rPr>
        <w:t>-qPCR</w:t>
      </w:r>
      <w:r w:rsidR="00A12FF6" w:rsidRPr="006467AA">
        <w:rPr>
          <w:rFonts w:ascii="Arial" w:eastAsia="Calibri" w:hAnsi="Arial" w:cs="Arial"/>
        </w:rPr>
        <w:t xml:space="preserve"> of genomic Brf1, Rpc34, and </w:t>
      </w:r>
      <w:r w:rsidR="00A2084E">
        <w:rPr>
          <w:rFonts w:ascii="Arial" w:eastAsia="Calibri" w:hAnsi="Arial" w:cs="Arial"/>
        </w:rPr>
        <w:t xml:space="preserve">ectopic </w:t>
      </w:r>
      <w:r w:rsidR="00A12FF6" w:rsidRPr="006467AA">
        <w:rPr>
          <w:rFonts w:ascii="Arial" w:eastAsia="Calibri" w:hAnsi="Arial" w:cs="Arial"/>
        </w:rPr>
        <w:t>IN</w:t>
      </w:r>
      <w:r w:rsidR="00A2084E">
        <w:rPr>
          <w:rFonts w:ascii="Arial" w:eastAsia="Calibri" w:hAnsi="Arial" w:cs="Arial"/>
        </w:rPr>
        <w:t xml:space="preserve"> to verify FE observed in </w:t>
      </w:r>
      <w:proofErr w:type="spellStart"/>
      <w:r w:rsidR="00A2084E">
        <w:rPr>
          <w:rFonts w:ascii="Arial" w:eastAsia="Calibri" w:hAnsi="Arial" w:cs="Arial"/>
        </w:rPr>
        <w:t>ChIP-seq</w:t>
      </w:r>
      <w:proofErr w:type="spellEnd"/>
      <w:r w:rsidR="00A2084E">
        <w:rPr>
          <w:rFonts w:ascii="Arial" w:eastAsia="Calibri" w:hAnsi="Arial" w:cs="Arial"/>
        </w:rPr>
        <w:t xml:space="preserve"> experiments.  Results represent 2 independent experiments with 4 biological replicates each (N=8). </w:t>
      </w:r>
    </w:p>
    <w:p w14:paraId="21EEA318" w14:textId="77777777" w:rsidR="00905BCB" w:rsidRPr="006467AA" w:rsidRDefault="00905BCB">
      <w:pPr>
        <w:rPr>
          <w:rFonts w:ascii="Arial" w:eastAsia="Calibri" w:hAnsi="Arial" w:cs="Arial"/>
          <w:b/>
        </w:rPr>
      </w:pPr>
      <w:r w:rsidRPr="006467AA">
        <w:rPr>
          <w:rFonts w:ascii="Arial" w:eastAsia="Calibri" w:hAnsi="Arial" w:cs="Arial"/>
          <w:b/>
        </w:rPr>
        <w:br w:type="page"/>
      </w:r>
    </w:p>
    <w:p w14:paraId="15EF7749" w14:textId="38203781" w:rsidR="00C2510B" w:rsidRPr="006467AA" w:rsidRDefault="00C2510B" w:rsidP="00905BCB">
      <w:pPr>
        <w:rPr>
          <w:rFonts w:ascii="Arial" w:hAnsi="Arial" w:cs="Arial"/>
        </w:rPr>
      </w:pPr>
      <w:r>
        <w:rPr>
          <w:rFonts w:ascii="Arial" w:hAnsi="Arial" w:cs="Arial"/>
        </w:rPr>
        <w:lastRenderedPageBreak/>
        <w:t>Supplemental Fig. S3</w:t>
      </w:r>
    </w:p>
    <w:p w14:paraId="580FC55F" w14:textId="1E5C2216" w:rsidR="00905BCB" w:rsidRPr="006467AA" w:rsidRDefault="00905BCB">
      <w:pPr>
        <w:rPr>
          <w:rFonts w:ascii="Arial" w:eastAsia="Calibri" w:hAnsi="Arial" w:cs="Arial"/>
          <w:b/>
        </w:rPr>
      </w:pPr>
      <w:r w:rsidRPr="006467AA">
        <w:rPr>
          <w:rFonts w:ascii="Arial" w:eastAsia="Calibri" w:hAnsi="Arial" w:cs="Arial"/>
          <w:b/>
          <w:noProof/>
        </w:rPr>
        <w:drawing>
          <wp:inline distT="0" distB="0" distL="0" distR="0" wp14:anchorId="4F945BF1" wp14:editId="4E2C64D8">
            <wp:extent cx="5943600" cy="6642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l_Fig_S6.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642100"/>
                    </a:xfrm>
                    <a:prstGeom prst="rect">
                      <a:avLst/>
                    </a:prstGeom>
                  </pic:spPr>
                </pic:pic>
              </a:graphicData>
            </a:graphic>
          </wp:inline>
        </w:drawing>
      </w:r>
      <w:r w:rsidRPr="006467AA">
        <w:rPr>
          <w:rFonts w:ascii="Arial" w:eastAsia="Calibri" w:hAnsi="Arial" w:cs="Arial"/>
          <w:b/>
        </w:rPr>
        <w:br w:type="page"/>
      </w:r>
    </w:p>
    <w:p w14:paraId="53503DED" w14:textId="1BE0FA9D" w:rsidR="002D0C37" w:rsidRPr="006467AA" w:rsidRDefault="00C2510B" w:rsidP="00905BCB">
      <w:pPr>
        <w:tabs>
          <w:tab w:val="left" w:pos="720"/>
          <w:tab w:val="left" w:pos="3060"/>
          <w:tab w:val="left" w:pos="7092"/>
          <w:tab w:val="left" w:pos="9000"/>
        </w:tabs>
        <w:spacing w:line="480" w:lineRule="auto"/>
        <w:jc w:val="both"/>
        <w:rPr>
          <w:rFonts w:ascii="Arial" w:hAnsi="Arial" w:cs="Arial"/>
        </w:rPr>
      </w:pPr>
      <w:r>
        <w:rPr>
          <w:rFonts w:ascii="Arial" w:eastAsia="Calibri" w:hAnsi="Arial" w:cs="Arial"/>
          <w:b/>
        </w:rPr>
        <w:lastRenderedPageBreak/>
        <w:t>Supplemental Fig. S3</w:t>
      </w:r>
      <w:r w:rsidR="0016509E" w:rsidRPr="006467AA">
        <w:rPr>
          <w:rFonts w:ascii="Arial" w:eastAsia="Calibri" w:hAnsi="Arial" w:cs="Arial"/>
          <w:b/>
        </w:rPr>
        <w:t>.</w:t>
      </w:r>
      <w:r w:rsidR="0016509E" w:rsidRPr="006467AA">
        <w:rPr>
          <w:rFonts w:ascii="Arial" w:eastAsia="Calibri" w:hAnsi="Arial" w:cs="Arial"/>
        </w:rPr>
        <w:t xml:space="preserve"> MEME analysis of A/B box promoters.</w:t>
      </w:r>
      <w:r w:rsidR="0016509E" w:rsidRPr="006467AA">
        <w:rPr>
          <w:rFonts w:ascii="Arial" w:hAnsi="Arial" w:cs="Arial"/>
        </w:rPr>
        <w:t xml:space="preserve"> Comparison of promoter elements at hot and cold </w:t>
      </w:r>
      <w:proofErr w:type="spellStart"/>
      <w:r w:rsidR="0016509E" w:rsidRPr="006467AA">
        <w:rPr>
          <w:rFonts w:ascii="Arial" w:hAnsi="Arial" w:cs="Arial"/>
        </w:rPr>
        <w:t>tDNA</w:t>
      </w:r>
      <w:proofErr w:type="spellEnd"/>
      <w:r w:rsidR="0016509E" w:rsidRPr="006467AA">
        <w:rPr>
          <w:rFonts w:ascii="Arial" w:hAnsi="Arial" w:cs="Arial"/>
        </w:rPr>
        <w:t xml:space="preserve"> targets. (</w:t>
      </w:r>
      <w:r w:rsidR="0016509E" w:rsidRPr="006467AA">
        <w:rPr>
          <w:rFonts w:ascii="Arial" w:hAnsi="Arial" w:cs="Arial"/>
          <w:i/>
        </w:rPr>
        <w:t>A</w:t>
      </w:r>
      <w:r w:rsidR="0016509E" w:rsidRPr="006467AA">
        <w:rPr>
          <w:rFonts w:ascii="Arial" w:hAnsi="Arial" w:cs="Arial"/>
        </w:rPr>
        <w:t xml:space="preserve">) A-box and B-box promoters were defined by MEME Suite for all </w:t>
      </w:r>
      <w:proofErr w:type="spellStart"/>
      <w:r w:rsidR="0016509E" w:rsidRPr="006467AA">
        <w:rPr>
          <w:rFonts w:ascii="Arial" w:hAnsi="Arial" w:cs="Arial"/>
        </w:rPr>
        <w:t>tDNAs</w:t>
      </w:r>
      <w:proofErr w:type="spellEnd"/>
      <w:r w:rsidR="0016509E" w:rsidRPr="006467AA">
        <w:rPr>
          <w:rFonts w:ascii="Arial" w:hAnsi="Arial" w:cs="Arial"/>
        </w:rPr>
        <w:t xml:space="preserve"> grouped by hot and cold or all together. (</w:t>
      </w:r>
      <w:r w:rsidR="0016509E" w:rsidRPr="006467AA">
        <w:rPr>
          <w:rFonts w:ascii="Arial" w:hAnsi="Arial" w:cs="Arial"/>
          <w:i/>
        </w:rPr>
        <w:t>B</w:t>
      </w:r>
      <w:r w:rsidR="0016509E" w:rsidRPr="006467AA">
        <w:rPr>
          <w:rFonts w:ascii="Arial" w:hAnsi="Arial" w:cs="Arial"/>
        </w:rPr>
        <w:t xml:space="preserve">) The average frequency of Ty3 insertion for the </w:t>
      </w:r>
      <w:proofErr w:type="spellStart"/>
      <w:r w:rsidR="0016509E" w:rsidRPr="006467AA">
        <w:rPr>
          <w:rFonts w:ascii="Arial" w:hAnsi="Arial" w:cs="Arial"/>
        </w:rPr>
        <w:t>tQ</w:t>
      </w:r>
      <w:proofErr w:type="spellEnd"/>
      <w:r w:rsidR="0016509E" w:rsidRPr="006467AA">
        <w:rPr>
          <w:rFonts w:ascii="Arial" w:hAnsi="Arial" w:cs="Arial"/>
        </w:rPr>
        <w:t xml:space="preserve"> and </w:t>
      </w:r>
      <w:proofErr w:type="spellStart"/>
      <w:r w:rsidR="0016509E" w:rsidRPr="006467AA">
        <w:rPr>
          <w:rFonts w:ascii="Arial" w:hAnsi="Arial" w:cs="Arial"/>
        </w:rPr>
        <w:t>tY</w:t>
      </w:r>
      <w:proofErr w:type="spellEnd"/>
      <w:r w:rsidR="0016509E" w:rsidRPr="006467AA">
        <w:rPr>
          <w:rFonts w:ascii="Arial" w:hAnsi="Arial" w:cs="Arial"/>
        </w:rPr>
        <w:t xml:space="preserve"> </w:t>
      </w:r>
      <w:proofErr w:type="spellStart"/>
      <w:r w:rsidR="0016509E" w:rsidRPr="006467AA">
        <w:rPr>
          <w:rFonts w:ascii="Arial" w:hAnsi="Arial" w:cs="Arial"/>
        </w:rPr>
        <w:t>tDNA</w:t>
      </w:r>
      <w:proofErr w:type="spellEnd"/>
      <w:r w:rsidR="0016509E" w:rsidRPr="006467AA">
        <w:rPr>
          <w:rFonts w:ascii="Arial" w:hAnsi="Arial" w:cs="Arial"/>
        </w:rPr>
        <w:t xml:space="preserve"> families. </w:t>
      </w:r>
      <w:r w:rsidR="00542D8C" w:rsidRPr="006467AA">
        <w:rPr>
          <w:rFonts w:ascii="Arial" w:hAnsi="Arial" w:cs="Arial"/>
        </w:rPr>
        <w:t>S</w:t>
      </w:r>
      <w:r w:rsidR="0016509E" w:rsidRPr="006467AA">
        <w:rPr>
          <w:rFonts w:ascii="Arial" w:hAnsi="Arial" w:cs="Arial"/>
        </w:rPr>
        <w:t>tandard deviation</w:t>
      </w:r>
      <w:r w:rsidR="00035068" w:rsidRPr="006467AA">
        <w:rPr>
          <w:rFonts w:ascii="Arial" w:hAnsi="Arial" w:cs="Arial"/>
        </w:rPr>
        <w:t xml:space="preserve"> from the mean</w:t>
      </w:r>
      <w:r w:rsidR="00542D8C" w:rsidRPr="006467AA">
        <w:rPr>
          <w:rFonts w:ascii="Arial" w:hAnsi="Arial" w:cs="Arial"/>
        </w:rPr>
        <w:t xml:space="preserve"> is indicated</w:t>
      </w:r>
      <w:r w:rsidR="0016509E" w:rsidRPr="006467AA">
        <w:rPr>
          <w:rFonts w:ascii="Arial" w:hAnsi="Arial" w:cs="Arial"/>
        </w:rPr>
        <w:t>. (</w:t>
      </w:r>
      <w:r w:rsidR="0016509E" w:rsidRPr="006467AA">
        <w:rPr>
          <w:rFonts w:ascii="Arial" w:hAnsi="Arial" w:cs="Arial"/>
          <w:i/>
        </w:rPr>
        <w:t>C</w:t>
      </w:r>
      <w:r w:rsidR="0016509E" w:rsidRPr="006467AA">
        <w:rPr>
          <w:rFonts w:ascii="Arial" w:hAnsi="Arial" w:cs="Arial"/>
        </w:rPr>
        <w:t xml:space="preserve">) The consensus sequence of all </w:t>
      </w:r>
      <w:proofErr w:type="spellStart"/>
      <w:r w:rsidR="0016509E" w:rsidRPr="006467AA">
        <w:rPr>
          <w:rFonts w:ascii="Arial" w:hAnsi="Arial" w:cs="Arial"/>
        </w:rPr>
        <w:t>tQ</w:t>
      </w:r>
      <w:proofErr w:type="spellEnd"/>
      <w:r w:rsidR="0016509E" w:rsidRPr="006467AA">
        <w:rPr>
          <w:rFonts w:ascii="Arial" w:hAnsi="Arial" w:cs="Arial"/>
        </w:rPr>
        <w:t xml:space="preserve"> (top) or </w:t>
      </w:r>
      <w:proofErr w:type="spellStart"/>
      <w:r w:rsidR="0016509E" w:rsidRPr="006467AA">
        <w:rPr>
          <w:rFonts w:ascii="Arial" w:hAnsi="Arial" w:cs="Arial"/>
        </w:rPr>
        <w:t>tY</w:t>
      </w:r>
      <w:proofErr w:type="spellEnd"/>
      <w:r w:rsidR="0016509E" w:rsidRPr="006467AA">
        <w:rPr>
          <w:rFonts w:ascii="Arial" w:hAnsi="Arial" w:cs="Arial"/>
        </w:rPr>
        <w:t xml:space="preserve"> (bottom) </w:t>
      </w:r>
      <w:proofErr w:type="spellStart"/>
      <w:r w:rsidR="0016509E" w:rsidRPr="006467AA">
        <w:rPr>
          <w:rFonts w:ascii="Arial" w:hAnsi="Arial" w:cs="Arial"/>
        </w:rPr>
        <w:t>tDNAs</w:t>
      </w:r>
      <w:proofErr w:type="spellEnd"/>
      <w:r w:rsidR="0016509E" w:rsidRPr="006467AA">
        <w:rPr>
          <w:rFonts w:ascii="Arial" w:hAnsi="Arial" w:cs="Arial"/>
        </w:rPr>
        <w:t xml:space="preserve"> (MEME Suite), A- and B-box promoter elements are underlined.</w:t>
      </w:r>
    </w:p>
    <w:p w14:paraId="3E49EAE2" w14:textId="77777777" w:rsidR="00905BCB" w:rsidRPr="006467AA" w:rsidRDefault="00905BCB">
      <w:pPr>
        <w:rPr>
          <w:rFonts w:ascii="Arial" w:eastAsia="Calibri" w:hAnsi="Arial" w:cs="Arial"/>
          <w:b/>
        </w:rPr>
      </w:pPr>
      <w:r w:rsidRPr="006467AA">
        <w:rPr>
          <w:rFonts w:ascii="Arial" w:eastAsia="Calibri" w:hAnsi="Arial" w:cs="Arial"/>
          <w:b/>
        </w:rPr>
        <w:br w:type="page"/>
      </w:r>
    </w:p>
    <w:p w14:paraId="34C4B871" w14:textId="5C019967" w:rsidR="00905BCB" w:rsidRPr="006467AA" w:rsidRDefault="00C2510B" w:rsidP="00905BCB">
      <w:pPr>
        <w:rPr>
          <w:rFonts w:ascii="Arial" w:hAnsi="Arial" w:cs="Arial"/>
        </w:rPr>
      </w:pPr>
      <w:r>
        <w:rPr>
          <w:rFonts w:ascii="Arial" w:hAnsi="Arial" w:cs="Arial"/>
        </w:rPr>
        <w:lastRenderedPageBreak/>
        <w:t>Supplemental Fig. S4</w:t>
      </w:r>
    </w:p>
    <w:p w14:paraId="53E03248" w14:textId="73060A0F" w:rsidR="00905BCB" w:rsidRPr="006467AA" w:rsidRDefault="00905BCB" w:rsidP="00905BCB">
      <w:pPr>
        <w:rPr>
          <w:rFonts w:ascii="Arial" w:hAnsi="Arial" w:cs="Arial"/>
        </w:rPr>
      </w:pPr>
      <w:r w:rsidRPr="006467AA">
        <w:rPr>
          <w:rFonts w:ascii="Arial" w:hAnsi="Arial" w:cs="Arial"/>
          <w:noProof/>
        </w:rPr>
        <w:drawing>
          <wp:inline distT="0" distB="0" distL="0" distR="0" wp14:anchorId="49BCD6B6" wp14:editId="348DC826">
            <wp:extent cx="5193792" cy="4760976"/>
            <wp:effectExtent l="0" t="0" r="698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l_Fig_S7.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3792" cy="4760976"/>
                    </a:xfrm>
                    <a:prstGeom prst="rect">
                      <a:avLst/>
                    </a:prstGeom>
                  </pic:spPr>
                </pic:pic>
              </a:graphicData>
            </a:graphic>
          </wp:inline>
        </w:drawing>
      </w:r>
    </w:p>
    <w:p w14:paraId="092044E2" w14:textId="77777777" w:rsidR="00905BCB" w:rsidRPr="006467AA" w:rsidRDefault="00905BCB">
      <w:pPr>
        <w:rPr>
          <w:rFonts w:ascii="Arial" w:eastAsia="Calibri" w:hAnsi="Arial" w:cs="Arial"/>
          <w:b/>
        </w:rPr>
      </w:pPr>
      <w:r w:rsidRPr="006467AA">
        <w:rPr>
          <w:rFonts w:ascii="Arial" w:eastAsia="Calibri" w:hAnsi="Arial" w:cs="Arial"/>
          <w:b/>
        </w:rPr>
        <w:br w:type="page"/>
      </w:r>
    </w:p>
    <w:p w14:paraId="0E666066" w14:textId="3E34C46D" w:rsidR="00B90600" w:rsidRPr="006467AA" w:rsidRDefault="00C2510B" w:rsidP="00905BCB">
      <w:pPr>
        <w:pStyle w:val="Figure"/>
        <w:tabs>
          <w:tab w:val="clear" w:pos="1242"/>
          <w:tab w:val="left" w:pos="720"/>
        </w:tabs>
        <w:rPr>
          <w:sz w:val="22"/>
        </w:rPr>
      </w:pPr>
      <w:r>
        <w:rPr>
          <w:rFonts w:eastAsia="Calibri"/>
          <w:b/>
          <w:sz w:val="22"/>
        </w:rPr>
        <w:lastRenderedPageBreak/>
        <w:t>Supplemental Fig. S4</w:t>
      </w:r>
      <w:r w:rsidR="00B90600" w:rsidRPr="006467AA">
        <w:rPr>
          <w:rFonts w:eastAsia="Calibri"/>
          <w:b/>
          <w:sz w:val="22"/>
        </w:rPr>
        <w:t>.</w:t>
      </w:r>
      <w:r w:rsidR="00B90600" w:rsidRPr="006467AA">
        <w:rPr>
          <w:rFonts w:eastAsia="Calibri"/>
          <w:sz w:val="22"/>
        </w:rPr>
        <w:t xml:space="preserve"> </w:t>
      </w:r>
      <w:r w:rsidR="0053081C" w:rsidRPr="006467AA">
        <w:rPr>
          <w:color w:val="000000" w:themeColor="text1"/>
          <w:sz w:val="22"/>
        </w:rPr>
        <w:t>Role of bendability in target site determination.  (</w:t>
      </w:r>
      <w:r w:rsidR="0053081C" w:rsidRPr="006467AA">
        <w:rPr>
          <w:i/>
          <w:color w:val="000000" w:themeColor="text1"/>
          <w:sz w:val="22"/>
        </w:rPr>
        <w:t>A</w:t>
      </w:r>
      <w:r w:rsidR="0053081C" w:rsidRPr="006467AA">
        <w:rPr>
          <w:color w:val="000000" w:themeColor="text1"/>
          <w:sz w:val="22"/>
        </w:rPr>
        <w:t xml:space="preserve">) Plot of bendability </w:t>
      </w:r>
      <w:r w:rsidR="00092E70" w:rsidRPr="006467AA">
        <w:rPr>
          <w:color w:val="000000" w:themeColor="text1"/>
          <w:sz w:val="22"/>
        </w:rPr>
        <w:t xml:space="preserve">expressed as arbitrary units (AU) </w:t>
      </w:r>
      <w:r w:rsidR="0053081C" w:rsidRPr="006467AA">
        <w:rPr>
          <w:color w:val="000000" w:themeColor="text1"/>
          <w:sz w:val="22"/>
        </w:rPr>
        <w:t xml:space="preserve">as determined by bend.it analysis </w:t>
      </w:r>
      <w:r w:rsidR="0053081C" w:rsidRPr="006467AA">
        <w:rPr>
          <w:color w:val="000000" w:themeColor="text1"/>
          <w:sz w:val="22"/>
        </w:rPr>
        <w:fldChar w:fldCharType="begin"/>
      </w:r>
      <w:r w:rsidR="0053081C" w:rsidRPr="006467AA">
        <w:rPr>
          <w:color w:val="000000" w:themeColor="text1"/>
          <w:sz w:val="22"/>
        </w:rPr>
        <w:instrText xml:space="preserve"> ADDIN EN.CITE &lt;EndNote&gt;&lt;Cite&gt;&lt;Author&gt;Vlahovicek&lt;/Author&gt;&lt;Year&gt;2003&lt;/Year&gt;&lt;RecNum&gt;6904&lt;/RecNum&gt;&lt;DisplayText&gt;(Vlahovicek et al. 2003)&lt;/DisplayText&gt;&lt;record&gt;&lt;rec-number&gt;6904&lt;/rec-number&gt;&lt;foreign-keys&gt;&lt;key app="EN" db-id="vvrd5p22xpxwece20wrvwzrkefdw0wt2fvrt"&gt;6904&lt;/key&gt;&lt;/foreign-keys&gt;&lt;ref-type name="Journal Article"&gt;17&lt;/ref-type&gt;&lt;contributors&gt;&lt;authors&gt;&lt;author&gt;Vlahovicek, K.&lt;/author&gt;&lt;author&gt;Kajan, L.&lt;/author&gt;&lt;author&gt;Pongor, S.&lt;/author&gt;&lt;/authors&gt;&lt;/contributors&gt;&lt;auth-address&gt;Protein Structure and Bioinformatics Group, International Centre for Genetic Engineering and Biotechnology, Area Science Park, 34012 Trieste, Italy.&lt;/auth-address&gt;&lt;titles&gt;&lt;title&gt;DNA analysis servers: plot.it, bend.it, model.it and IS&lt;/title&gt;&lt;secondary-title&gt;Nucleic Acids Res&lt;/secondary-title&gt;&lt;alt-title&gt;Nucleic acids research&lt;/alt-title&gt;&lt;/titles&gt;&lt;periodical&gt;&lt;full-title&gt;Nucleic Acids Res&lt;/full-title&gt;&lt;/periodical&gt;&lt;alt-periodical&gt;&lt;full-title&gt;Nucleic Acids Research&lt;/full-title&gt;&lt;/alt-periodical&gt;&lt;pages&gt;3686-7&lt;/pages&gt;&lt;volume&gt;31&lt;/volume&gt;&lt;number&gt;13&lt;/number&gt;&lt;edition&gt;2003/06/26&lt;/edition&gt;&lt;keywords&gt;&lt;keyword&gt;Computer Graphics&lt;/keyword&gt;&lt;keyword&gt;DNA/chemistry&lt;/keyword&gt;&lt;keyword&gt;Internet&lt;/keyword&gt;&lt;keyword&gt;Introns&lt;/keyword&gt;&lt;keyword&gt;Models, Molecular&lt;/keyword&gt;&lt;keyword&gt;Nucleic Acid Conformation&lt;/keyword&gt;&lt;keyword&gt;Sequence Analysis, DNA/*methods&lt;/keyword&gt;&lt;keyword&gt;*Software&lt;/keyword&gt;&lt;keyword&gt;User-Computer Interface&lt;/keyword&gt;&lt;/keywords&gt;&lt;dates&gt;&lt;year&gt;2003&lt;/year&gt;&lt;pub-dates&gt;&lt;date&gt;Jul 01&lt;/date&gt;&lt;/pub-dates&gt;&lt;/dates&gt;&lt;isbn&gt;1362-4962 (Electronic)&amp;#xD;0305-1048 (Linking)&lt;/isbn&gt;&lt;accession-num&gt;12824394&lt;/accession-num&gt;&lt;work-type&gt;Research Support, Non-U.S. Gov&amp;apos;t&lt;/work-type&gt;&lt;urls&gt;&lt;related-urls&gt;&lt;url&gt;http://www.ncbi.nlm.nih.gov/pubmed/12824394&lt;/url&gt;&lt;/related-urls&gt;&lt;/urls&gt;&lt;custom2&gt;168966&lt;/custom2&gt;&lt;language&gt;eng&lt;/language&gt;&lt;/record&gt;&lt;/Cite&gt;&lt;/EndNote&gt;</w:instrText>
      </w:r>
      <w:r w:rsidR="0053081C" w:rsidRPr="006467AA">
        <w:rPr>
          <w:color w:val="000000" w:themeColor="text1"/>
          <w:sz w:val="22"/>
        </w:rPr>
        <w:fldChar w:fldCharType="separate"/>
      </w:r>
      <w:r w:rsidR="0053081C" w:rsidRPr="006467AA">
        <w:rPr>
          <w:noProof/>
          <w:color w:val="000000" w:themeColor="text1"/>
          <w:sz w:val="22"/>
        </w:rPr>
        <w:t>(</w:t>
      </w:r>
      <w:hyperlink w:anchor="_ENREF_115" w:tooltip="Vlahovicek, 2003 #6904" w:history="1">
        <w:r w:rsidR="0053081C" w:rsidRPr="006467AA">
          <w:rPr>
            <w:noProof/>
            <w:color w:val="000000" w:themeColor="text1"/>
            <w:sz w:val="22"/>
          </w:rPr>
          <w:t>Vlahovicek et al. 2003</w:t>
        </w:r>
      </w:hyperlink>
      <w:r w:rsidR="0053081C" w:rsidRPr="006467AA">
        <w:rPr>
          <w:noProof/>
          <w:color w:val="000000" w:themeColor="text1"/>
          <w:sz w:val="22"/>
        </w:rPr>
        <w:t>)</w:t>
      </w:r>
      <w:r w:rsidR="0053081C" w:rsidRPr="006467AA">
        <w:rPr>
          <w:color w:val="000000" w:themeColor="text1"/>
          <w:sz w:val="22"/>
        </w:rPr>
        <w:fldChar w:fldCharType="end"/>
      </w:r>
      <w:r w:rsidR="0053081C" w:rsidRPr="006467AA">
        <w:rPr>
          <w:color w:val="000000" w:themeColor="text1"/>
          <w:sz w:val="22"/>
        </w:rPr>
        <w:t xml:space="preserve"> of 100 </w:t>
      </w:r>
      <w:proofErr w:type="spellStart"/>
      <w:r w:rsidR="0053081C" w:rsidRPr="006467AA">
        <w:rPr>
          <w:color w:val="000000" w:themeColor="text1"/>
          <w:sz w:val="22"/>
        </w:rPr>
        <w:t>bp</w:t>
      </w:r>
      <w:proofErr w:type="spellEnd"/>
      <w:r w:rsidR="0053081C" w:rsidRPr="006467AA">
        <w:rPr>
          <w:color w:val="000000" w:themeColor="text1"/>
          <w:sz w:val="22"/>
        </w:rPr>
        <w:t xml:space="preserve"> upstream of </w:t>
      </w:r>
      <w:proofErr w:type="spellStart"/>
      <w:r w:rsidR="0053081C" w:rsidRPr="006467AA">
        <w:rPr>
          <w:color w:val="000000" w:themeColor="text1"/>
          <w:sz w:val="22"/>
        </w:rPr>
        <w:t>tDNA</w:t>
      </w:r>
      <w:proofErr w:type="spellEnd"/>
      <w:r w:rsidR="0053081C" w:rsidRPr="006467AA">
        <w:rPr>
          <w:color w:val="000000" w:themeColor="text1"/>
          <w:sz w:val="22"/>
        </w:rPr>
        <w:t xml:space="preserve"> for hot (</w:t>
      </w:r>
      <w:proofErr w:type="spellStart"/>
      <w:r w:rsidR="0053081C" w:rsidRPr="006467AA">
        <w:rPr>
          <w:color w:val="000000" w:themeColor="text1"/>
          <w:sz w:val="22"/>
        </w:rPr>
        <w:t>tQM</w:t>
      </w:r>
      <w:proofErr w:type="spellEnd"/>
      <w:r w:rsidR="0053081C" w:rsidRPr="006467AA">
        <w:rPr>
          <w:color w:val="000000" w:themeColor="text1"/>
          <w:sz w:val="22"/>
        </w:rPr>
        <w:t>) and cold (</w:t>
      </w:r>
      <w:proofErr w:type="spellStart"/>
      <w:r w:rsidR="0053081C" w:rsidRPr="006467AA">
        <w:rPr>
          <w:color w:val="000000" w:themeColor="text1"/>
          <w:sz w:val="22"/>
        </w:rPr>
        <w:t>tQB</w:t>
      </w:r>
      <w:proofErr w:type="spellEnd"/>
      <w:r w:rsidR="0053081C" w:rsidRPr="006467AA">
        <w:rPr>
          <w:color w:val="000000" w:themeColor="text1"/>
          <w:sz w:val="22"/>
        </w:rPr>
        <w:t>) targets. (</w:t>
      </w:r>
      <w:r w:rsidR="0053081C" w:rsidRPr="006467AA">
        <w:rPr>
          <w:i/>
          <w:color w:val="000000" w:themeColor="text1"/>
          <w:sz w:val="22"/>
        </w:rPr>
        <w:t>B</w:t>
      </w:r>
      <w:r w:rsidR="0053081C" w:rsidRPr="006467AA">
        <w:rPr>
          <w:color w:val="000000" w:themeColor="text1"/>
          <w:sz w:val="22"/>
        </w:rPr>
        <w:t>) Linear regression of bendability versus insertion frequency. (</w:t>
      </w:r>
      <w:r w:rsidR="0053081C" w:rsidRPr="006467AA">
        <w:rPr>
          <w:i/>
          <w:color w:val="000000" w:themeColor="text1"/>
          <w:sz w:val="22"/>
        </w:rPr>
        <w:t>C and D</w:t>
      </w:r>
      <w:r w:rsidR="0053081C" w:rsidRPr="006467AA">
        <w:rPr>
          <w:color w:val="000000" w:themeColor="text1"/>
          <w:sz w:val="22"/>
        </w:rPr>
        <w:t xml:space="preserve">) Plots of curvature of hot </w:t>
      </w:r>
      <w:r w:rsidR="00CF16F4" w:rsidRPr="006467AA">
        <w:rPr>
          <w:color w:val="000000" w:themeColor="text1"/>
          <w:sz w:val="22"/>
        </w:rPr>
        <w:t>(</w:t>
      </w:r>
      <w:proofErr w:type="spellStart"/>
      <w:r w:rsidR="00CF16F4" w:rsidRPr="006467AA">
        <w:rPr>
          <w:color w:val="000000" w:themeColor="text1"/>
          <w:sz w:val="22"/>
        </w:rPr>
        <w:t>ptQM</w:t>
      </w:r>
      <w:proofErr w:type="spellEnd"/>
      <w:r w:rsidR="0053081C" w:rsidRPr="006467AA">
        <w:rPr>
          <w:color w:val="000000" w:themeColor="text1"/>
          <w:sz w:val="22"/>
        </w:rPr>
        <w:t xml:space="preserve">) and cold </w:t>
      </w:r>
      <w:r w:rsidR="00CF16F4" w:rsidRPr="006467AA">
        <w:rPr>
          <w:color w:val="000000" w:themeColor="text1"/>
          <w:sz w:val="22"/>
        </w:rPr>
        <w:t>(</w:t>
      </w:r>
      <w:proofErr w:type="spellStart"/>
      <w:r w:rsidR="00CF16F4" w:rsidRPr="006467AA">
        <w:rPr>
          <w:color w:val="000000" w:themeColor="text1"/>
          <w:sz w:val="22"/>
        </w:rPr>
        <w:t>ptQB</w:t>
      </w:r>
      <w:proofErr w:type="spellEnd"/>
      <w:r w:rsidR="0053081C" w:rsidRPr="006467AA">
        <w:rPr>
          <w:color w:val="000000" w:themeColor="text1"/>
          <w:sz w:val="22"/>
        </w:rPr>
        <w:t>) plasmid targets</w:t>
      </w:r>
      <w:r w:rsidR="00CF16F4" w:rsidRPr="006467AA">
        <w:rPr>
          <w:color w:val="000000" w:themeColor="text1"/>
          <w:sz w:val="22"/>
        </w:rPr>
        <w:t xml:space="preserve"> and with either 25 or 75 </w:t>
      </w:r>
      <w:proofErr w:type="spellStart"/>
      <w:r w:rsidR="00CF16F4" w:rsidRPr="006467AA">
        <w:rPr>
          <w:color w:val="000000" w:themeColor="text1"/>
          <w:sz w:val="22"/>
        </w:rPr>
        <w:t>bp</w:t>
      </w:r>
      <w:proofErr w:type="spellEnd"/>
      <w:r w:rsidR="00CF16F4" w:rsidRPr="006467AA">
        <w:rPr>
          <w:color w:val="000000" w:themeColor="text1"/>
          <w:sz w:val="22"/>
        </w:rPr>
        <w:t xml:space="preserve"> of </w:t>
      </w:r>
      <w:r w:rsidR="0053081C" w:rsidRPr="006467AA">
        <w:rPr>
          <w:color w:val="000000" w:themeColor="text1"/>
          <w:sz w:val="22"/>
        </w:rPr>
        <w:t xml:space="preserve">swapped sequences as described in legend of </w:t>
      </w:r>
      <w:r w:rsidR="004F2166" w:rsidRPr="006467AA">
        <w:rPr>
          <w:b/>
          <w:color w:val="000000" w:themeColor="text1"/>
          <w:sz w:val="22"/>
        </w:rPr>
        <w:t>Fig. 3</w:t>
      </w:r>
      <w:r w:rsidR="0053081C" w:rsidRPr="006467AA">
        <w:rPr>
          <w:color w:val="000000" w:themeColor="text1"/>
          <w:sz w:val="22"/>
        </w:rPr>
        <w:t>C.</w:t>
      </w:r>
    </w:p>
    <w:p w14:paraId="796CD9A4" w14:textId="77777777" w:rsidR="002D0C37" w:rsidRPr="006467AA" w:rsidRDefault="002D0C37" w:rsidP="0016509E">
      <w:pPr>
        <w:rPr>
          <w:rFonts w:ascii="Arial" w:hAnsi="Arial" w:cs="Arial"/>
        </w:rPr>
      </w:pPr>
    </w:p>
    <w:p w14:paraId="21C23B46" w14:textId="18C2F3C2" w:rsidR="002D0C37" w:rsidRPr="006467AA" w:rsidRDefault="002D0C37">
      <w:pPr>
        <w:rPr>
          <w:rFonts w:ascii="Arial" w:hAnsi="Arial" w:cs="Arial"/>
        </w:rPr>
      </w:pPr>
      <w:r w:rsidRPr="006467AA">
        <w:rPr>
          <w:rFonts w:ascii="Arial" w:hAnsi="Arial" w:cs="Arial"/>
        </w:rPr>
        <w:br w:type="page"/>
      </w:r>
    </w:p>
    <w:p w14:paraId="76659E04" w14:textId="0AEAD846" w:rsidR="00984620" w:rsidRDefault="005D4E88" w:rsidP="0016509E">
      <w:pPr>
        <w:rPr>
          <w:rFonts w:ascii="Arial" w:hAnsi="Arial" w:cs="Arial"/>
          <w:b/>
        </w:rPr>
      </w:pPr>
      <w:r w:rsidRPr="006467AA">
        <w:rPr>
          <w:rFonts w:ascii="Arial" w:hAnsi="Arial" w:cs="Arial"/>
          <w:b/>
        </w:rPr>
        <w:lastRenderedPageBreak/>
        <w:t>References</w:t>
      </w:r>
    </w:p>
    <w:p w14:paraId="55D6049C" w14:textId="77777777" w:rsidR="00E30CF5" w:rsidRDefault="00E30CF5" w:rsidP="0016509E">
      <w:pPr>
        <w:rPr>
          <w:rFonts w:ascii="Arial" w:hAnsi="Arial" w:cs="Arial"/>
          <w:b/>
        </w:rPr>
      </w:pPr>
    </w:p>
    <w:p w14:paraId="617B64C7" w14:textId="77777777" w:rsidR="00E30CF5" w:rsidRDefault="00E30CF5" w:rsidP="00E30CF5">
      <w:pPr>
        <w:pStyle w:val="Text"/>
        <w:spacing w:after="0" w:line="240" w:lineRule="auto"/>
        <w:ind w:left="720" w:hanging="720"/>
        <w:rPr>
          <w:noProof/>
        </w:rPr>
      </w:pPr>
      <w:bookmarkStart w:id="1" w:name="_ENREF_7"/>
      <w:r>
        <w:rPr>
          <w:noProof/>
        </w:rPr>
        <w:t xml:space="preserve">Baker LA, Ueberheide BM, Dewell S, Chait BT, Zheng D, Allis CD. 2013. The yeast Snt2 protein coordinates the transcriptional response to hydrogen peroxide-mediated oxidative stress. </w:t>
      </w:r>
      <w:r w:rsidRPr="00B7691C">
        <w:rPr>
          <w:i/>
          <w:noProof/>
        </w:rPr>
        <w:t>Mol Cell Biol</w:t>
      </w:r>
      <w:r>
        <w:rPr>
          <w:noProof/>
        </w:rPr>
        <w:t xml:space="preserve"> </w:t>
      </w:r>
      <w:r w:rsidRPr="00B7691C">
        <w:rPr>
          <w:b/>
          <w:noProof/>
        </w:rPr>
        <w:t>33</w:t>
      </w:r>
      <w:r>
        <w:rPr>
          <w:noProof/>
        </w:rPr>
        <w:t>: 3735-3748.</w:t>
      </w:r>
      <w:bookmarkEnd w:id="1"/>
    </w:p>
    <w:p w14:paraId="1A6190E5" w14:textId="04FC7DF2" w:rsidR="002D0039" w:rsidRDefault="002D0039" w:rsidP="002D0039">
      <w:pPr>
        <w:pStyle w:val="Text"/>
        <w:spacing w:after="0" w:line="240" w:lineRule="auto"/>
        <w:ind w:left="720" w:hanging="720"/>
        <w:rPr>
          <w:noProof/>
        </w:rPr>
      </w:pPr>
      <w:bookmarkStart w:id="2" w:name="_ENREF_18"/>
      <w:r w:rsidRPr="006467AA">
        <w:rPr>
          <w:noProof/>
        </w:rPr>
        <w:t xml:space="preserve">Bonnet J, Wang CY, Baptista T, Vincent SD, Hsiao WC, Stierle M, Kao CF, Tora L, Devys D. 2014. The SAGA coactivator complex acts on the whole transcribed genome and is required for RNA polymerase II transcription. </w:t>
      </w:r>
      <w:r w:rsidRPr="006467AA">
        <w:rPr>
          <w:i/>
          <w:noProof/>
        </w:rPr>
        <w:t>Genes Dev</w:t>
      </w:r>
      <w:r w:rsidRPr="006467AA">
        <w:rPr>
          <w:noProof/>
        </w:rPr>
        <w:t xml:space="preserve"> </w:t>
      </w:r>
      <w:r w:rsidRPr="006467AA">
        <w:rPr>
          <w:b/>
          <w:noProof/>
        </w:rPr>
        <w:t>28</w:t>
      </w:r>
      <w:r w:rsidRPr="006467AA">
        <w:rPr>
          <w:noProof/>
        </w:rPr>
        <w:t>: 1999-2012.</w:t>
      </w:r>
      <w:bookmarkEnd w:id="2"/>
      <w:r w:rsidRPr="006467AA">
        <w:rPr>
          <w:noProof/>
        </w:rPr>
        <w:t xml:space="preserve"> </w:t>
      </w:r>
    </w:p>
    <w:p w14:paraId="3941B081" w14:textId="58251389" w:rsidR="00E30CF5" w:rsidRPr="006467AA" w:rsidRDefault="00E30CF5" w:rsidP="002D0039">
      <w:pPr>
        <w:pStyle w:val="Text"/>
        <w:spacing w:after="0" w:line="240" w:lineRule="auto"/>
        <w:ind w:left="720" w:hanging="720"/>
        <w:rPr>
          <w:noProof/>
        </w:rPr>
      </w:pPr>
      <w:r w:rsidRPr="00E30CF5">
        <w:rPr>
          <w:noProof/>
        </w:rPr>
        <w:t>Dewari PS, Bhargava P. 2014. Genome-wide mapping of yeast histone chaperone anti-silencing function 1 reveals its role in condensin binding with chromatin. PLoS One 9: e108652</w:t>
      </w:r>
    </w:p>
    <w:p w14:paraId="5D463C2D" w14:textId="77777777" w:rsidR="00E30CF5" w:rsidRDefault="00E30CF5" w:rsidP="00E30CF5">
      <w:pPr>
        <w:pStyle w:val="Text"/>
        <w:spacing w:after="0" w:line="240" w:lineRule="auto"/>
        <w:ind w:left="720" w:hanging="720"/>
        <w:rPr>
          <w:noProof/>
        </w:rPr>
      </w:pPr>
      <w:bookmarkStart w:id="3" w:name="_ENREF_49"/>
      <w:r>
        <w:rPr>
          <w:noProof/>
        </w:rPr>
        <w:t xml:space="preserve">Guillemette B, Drogaris P, Lin HH, Armstrong H, Hiragami-Hamada K, Imhof A, Bonneil E, Thibault P, Verreault A, Festenstein RJ. 2011. H3 lysine 4 is acetylated at active gene promoters and is regulated by H3 lysine 4 methylation. </w:t>
      </w:r>
      <w:r w:rsidRPr="00B7691C">
        <w:rPr>
          <w:i/>
          <w:noProof/>
        </w:rPr>
        <w:t>PLoS Genet</w:t>
      </w:r>
      <w:r>
        <w:rPr>
          <w:noProof/>
        </w:rPr>
        <w:t xml:space="preserve"> </w:t>
      </w:r>
      <w:r w:rsidRPr="00B7691C">
        <w:rPr>
          <w:b/>
          <w:noProof/>
        </w:rPr>
        <w:t>7</w:t>
      </w:r>
      <w:r>
        <w:rPr>
          <w:noProof/>
        </w:rPr>
        <w:t>: e1001354.</w:t>
      </w:r>
      <w:bookmarkEnd w:id="3"/>
    </w:p>
    <w:p w14:paraId="349F24D6" w14:textId="3B49FE2A" w:rsidR="00E30CF5" w:rsidRDefault="00E30CF5" w:rsidP="00E30CF5">
      <w:pPr>
        <w:pStyle w:val="Text"/>
        <w:spacing w:after="0" w:line="240" w:lineRule="auto"/>
        <w:ind w:left="720" w:hanging="720"/>
        <w:rPr>
          <w:noProof/>
        </w:rPr>
      </w:pPr>
      <w:bookmarkStart w:id="4" w:name="_ENREF_74"/>
      <w:r>
        <w:rPr>
          <w:noProof/>
        </w:rPr>
        <w:t xml:space="preserve">Kumar Y, Bhargava P. 2013. A unique nucleosome arrangement, maintained actively by chromatin remodelers facilitates transcription of yeast tRNA genes. </w:t>
      </w:r>
      <w:r w:rsidRPr="00B7691C">
        <w:rPr>
          <w:i/>
          <w:noProof/>
        </w:rPr>
        <w:t>BMC Genomics</w:t>
      </w:r>
      <w:r>
        <w:rPr>
          <w:noProof/>
        </w:rPr>
        <w:t xml:space="preserve"> </w:t>
      </w:r>
      <w:r w:rsidRPr="00B7691C">
        <w:rPr>
          <w:b/>
          <w:noProof/>
        </w:rPr>
        <w:t>14</w:t>
      </w:r>
      <w:r>
        <w:rPr>
          <w:noProof/>
        </w:rPr>
        <w:t>: 402.</w:t>
      </w:r>
      <w:bookmarkEnd w:id="4"/>
    </w:p>
    <w:p w14:paraId="657400D0" w14:textId="77777777" w:rsidR="00E30CF5" w:rsidRDefault="00E30CF5" w:rsidP="00E30CF5">
      <w:pPr>
        <w:pStyle w:val="Text"/>
        <w:spacing w:after="0" w:line="240" w:lineRule="auto"/>
        <w:ind w:left="720" w:hanging="720"/>
        <w:rPr>
          <w:noProof/>
        </w:rPr>
      </w:pPr>
      <w:bookmarkStart w:id="5" w:name="_ENREF_91"/>
      <w:r>
        <w:rPr>
          <w:noProof/>
        </w:rPr>
        <w:t xml:space="preserve">Nagarajavel V, Iben JR, Howard BH, Maraia RJ, Clark DJ. 2013. Global 'bootprinting' reveals the elastic architecture of the yeast TFIIIB-TFIIIC transcription complex in vivo. </w:t>
      </w:r>
      <w:r w:rsidRPr="00B7691C">
        <w:rPr>
          <w:i/>
          <w:noProof/>
        </w:rPr>
        <w:t>Nucleic Acids Res</w:t>
      </w:r>
      <w:r>
        <w:rPr>
          <w:noProof/>
        </w:rPr>
        <w:t xml:space="preserve"> </w:t>
      </w:r>
      <w:r w:rsidRPr="00B7691C">
        <w:rPr>
          <w:b/>
          <w:noProof/>
        </w:rPr>
        <w:t>41</w:t>
      </w:r>
      <w:r>
        <w:rPr>
          <w:noProof/>
        </w:rPr>
        <w:t>: 8135-8143.</w:t>
      </w:r>
      <w:bookmarkEnd w:id="5"/>
    </w:p>
    <w:p w14:paraId="53ACC177" w14:textId="77777777" w:rsidR="00E30CF5" w:rsidRDefault="00E30CF5" w:rsidP="00E30CF5">
      <w:pPr>
        <w:pStyle w:val="Text"/>
        <w:spacing w:after="0" w:line="240" w:lineRule="auto"/>
        <w:ind w:left="720" w:hanging="720"/>
        <w:rPr>
          <w:noProof/>
        </w:rPr>
      </w:pPr>
      <w:bookmarkStart w:id="6" w:name="_ENREF_115"/>
      <w:r>
        <w:rPr>
          <w:noProof/>
        </w:rPr>
        <w:t xml:space="preserve">Vlahovicek K, Kajan L, Pongor S. 2003. DNA analysis servers: plot.it, bend.it, model.it and IS. </w:t>
      </w:r>
      <w:r w:rsidRPr="00B7691C">
        <w:rPr>
          <w:i/>
          <w:noProof/>
        </w:rPr>
        <w:t>Nucleic Acids Res</w:t>
      </w:r>
      <w:r>
        <w:rPr>
          <w:noProof/>
        </w:rPr>
        <w:t xml:space="preserve"> </w:t>
      </w:r>
      <w:r w:rsidRPr="00B7691C">
        <w:rPr>
          <w:b/>
          <w:noProof/>
        </w:rPr>
        <w:t>31</w:t>
      </w:r>
      <w:r>
        <w:rPr>
          <w:noProof/>
        </w:rPr>
        <w:t>: 3686-3687.</w:t>
      </w:r>
      <w:bookmarkEnd w:id="6"/>
    </w:p>
    <w:p w14:paraId="41D0A35F" w14:textId="3378B550" w:rsidR="00E30CF5" w:rsidRDefault="00E30CF5" w:rsidP="00E30CF5">
      <w:pPr>
        <w:pStyle w:val="Text"/>
        <w:spacing w:after="0" w:line="240" w:lineRule="auto"/>
        <w:ind w:left="720" w:hanging="720"/>
        <w:rPr>
          <w:noProof/>
        </w:rPr>
      </w:pPr>
      <w:r>
        <w:rPr>
          <w:noProof/>
        </w:rPr>
        <w:t xml:space="preserve">Watanabe S, Radman-Livaja M, Rando OJ, Peterson CL. 2013. A histone acetylation switch regulates H2A.Z deposition by the SWR-C remodeling enzyme. </w:t>
      </w:r>
      <w:r w:rsidRPr="00B7691C">
        <w:rPr>
          <w:i/>
          <w:noProof/>
        </w:rPr>
        <w:t>Science</w:t>
      </w:r>
      <w:r>
        <w:rPr>
          <w:noProof/>
        </w:rPr>
        <w:t xml:space="preserve"> </w:t>
      </w:r>
      <w:r w:rsidRPr="00B7691C">
        <w:rPr>
          <w:b/>
          <w:noProof/>
        </w:rPr>
        <w:t>340</w:t>
      </w:r>
      <w:r>
        <w:rPr>
          <w:noProof/>
        </w:rPr>
        <w:t>: 195-199</w:t>
      </w:r>
      <w:r w:rsidR="002F39C6">
        <w:rPr>
          <w:noProof/>
        </w:rPr>
        <w:t>.</w:t>
      </w:r>
    </w:p>
    <w:p w14:paraId="445230D2" w14:textId="4F66AF20" w:rsidR="00E30CF5" w:rsidRDefault="002F39C6" w:rsidP="002F39C6">
      <w:pPr>
        <w:pStyle w:val="Text"/>
        <w:spacing w:after="0" w:line="240" w:lineRule="auto"/>
        <w:ind w:left="720" w:hanging="720"/>
        <w:rPr>
          <w:noProof/>
        </w:rPr>
      </w:pPr>
      <w:bookmarkStart w:id="7" w:name="_ENREF_125"/>
      <w:r>
        <w:rPr>
          <w:noProof/>
        </w:rPr>
        <w:t xml:space="preserve">Zentner GE, Henikoff S. 2013a. Mot1 redistributes TBP from TATA-containing to TATA-less promoters. </w:t>
      </w:r>
      <w:r w:rsidRPr="00B7691C">
        <w:rPr>
          <w:i/>
          <w:noProof/>
        </w:rPr>
        <w:t>Mol Cell Biol</w:t>
      </w:r>
      <w:r>
        <w:rPr>
          <w:noProof/>
        </w:rPr>
        <w:t xml:space="preserve"> </w:t>
      </w:r>
      <w:r w:rsidRPr="00B7691C">
        <w:rPr>
          <w:b/>
          <w:noProof/>
        </w:rPr>
        <w:t>33</w:t>
      </w:r>
      <w:r>
        <w:rPr>
          <w:noProof/>
        </w:rPr>
        <w:t>: 4996-5004.</w:t>
      </w:r>
      <w:bookmarkEnd w:id="7"/>
    </w:p>
    <w:p w14:paraId="27E02771" w14:textId="77777777" w:rsidR="00E30CF5" w:rsidRDefault="00E30CF5" w:rsidP="00E30CF5">
      <w:pPr>
        <w:pStyle w:val="Text"/>
        <w:spacing w:after="0" w:line="240" w:lineRule="auto"/>
        <w:ind w:left="720" w:hanging="720"/>
        <w:rPr>
          <w:noProof/>
        </w:rPr>
      </w:pPr>
      <w:bookmarkStart w:id="8" w:name="_ENREF_127"/>
      <w:r>
        <w:rPr>
          <w:noProof/>
        </w:rPr>
        <w:t xml:space="preserve">Zentner GE, Tsukiyama T, Henikoff S. 2013. ISWI and CHD chromatin remodelers bind promoters but act in gene bodies. </w:t>
      </w:r>
      <w:r w:rsidRPr="00B7691C">
        <w:rPr>
          <w:i/>
          <w:noProof/>
        </w:rPr>
        <w:t>PLoS Genet</w:t>
      </w:r>
      <w:r>
        <w:rPr>
          <w:noProof/>
        </w:rPr>
        <w:t xml:space="preserve"> </w:t>
      </w:r>
      <w:r w:rsidRPr="00B7691C">
        <w:rPr>
          <w:b/>
          <w:noProof/>
        </w:rPr>
        <w:t>9</w:t>
      </w:r>
      <w:r>
        <w:rPr>
          <w:noProof/>
        </w:rPr>
        <w:t>: e1003317.</w:t>
      </w:r>
      <w:bookmarkEnd w:id="8"/>
    </w:p>
    <w:p w14:paraId="258CDBFC" w14:textId="77777777" w:rsidR="00E30CF5" w:rsidRPr="006467AA" w:rsidRDefault="00E30CF5" w:rsidP="005D4E88">
      <w:pPr>
        <w:rPr>
          <w:rFonts w:ascii="Arial" w:hAnsi="Arial" w:cs="Arial"/>
        </w:rPr>
      </w:pPr>
    </w:p>
    <w:p w14:paraId="0F02203A" w14:textId="77777777" w:rsidR="005D4E88" w:rsidRPr="006467AA" w:rsidRDefault="005D4E88" w:rsidP="0016509E">
      <w:pPr>
        <w:rPr>
          <w:rFonts w:ascii="Arial" w:hAnsi="Arial" w:cs="Arial"/>
        </w:rPr>
      </w:pPr>
    </w:p>
    <w:sectPr w:rsidR="005D4E88" w:rsidRPr="006467AA" w:rsidSect="00DC3F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C49C8" w14:textId="77777777" w:rsidR="00EC37E0" w:rsidRDefault="00EC37E0" w:rsidP="00D6132C">
      <w:pPr>
        <w:spacing w:after="0" w:line="240" w:lineRule="auto"/>
      </w:pPr>
      <w:r>
        <w:separator/>
      </w:r>
    </w:p>
  </w:endnote>
  <w:endnote w:type="continuationSeparator" w:id="0">
    <w:p w14:paraId="0603D93A" w14:textId="77777777" w:rsidR="00EC37E0" w:rsidRDefault="00EC37E0" w:rsidP="00D6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083714"/>
      <w:docPartObj>
        <w:docPartGallery w:val="Page Numbers (Bottom of Page)"/>
        <w:docPartUnique/>
      </w:docPartObj>
    </w:sdtPr>
    <w:sdtEndPr>
      <w:rPr>
        <w:noProof/>
      </w:rPr>
    </w:sdtEndPr>
    <w:sdtContent>
      <w:p w14:paraId="106F3E77" w14:textId="77777777" w:rsidR="00D6132C" w:rsidRDefault="00D6132C">
        <w:pPr>
          <w:pStyle w:val="Footer"/>
          <w:jc w:val="center"/>
        </w:pPr>
        <w:r>
          <w:fldChar w:fldCharType="begin"/>
        </w:r>
        <w:r>
          <w:instrText xml:space="preserve"> PAGE   \* MERGEFORMAT </w:instrText>
        </w:r>
        <w:r>
          <w:fldChar w:fldCharType="separate"/>
        </w:r>
        <w:r w:rsidR="00226E30">
          <w:rPr>
            <w:noProof/>
          </w:rPr>
          <w:t>10</w:t>
        </w:r>
        <w:r>
          <w:rPr>
            <w:noProof/>
          </w:rPr>
          <w:fldChar w:fldCharType="end"/>
        </w:r>
      </w:p>
    </w:sdtContent>
  </w:sdt>
  <w:p w14:paraId="16BC0485" w14:textId="77777777" w:rsidR="00D6132C" w:rsidRDefault="00D613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97977" w14:textId="77777777" w:rsidR="00EC37E0" w:rsidRDefault="00EC37E0" w:rsidP="00D6132C">
      <w:pPr>
        <w:spacing w:after="0" w:line="240" w:lineRule="auto"/>
      </w:pPr>
      <w:r>
        <w:separator/>
      </w:r>
    </w:p>
  </w:footnote>
  <w:footnote w:type="continuationSeparator" w:id="0">
    <w:p w14:paraId="4C2D7EEB" w14:textId="77777777" w:rsidR="00EC37E0" w:rsidRDefault="00EC37E0" w:rsidP="00D613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C7F"/>
    <w:rsid w:val="00017739"/>
    <w:rsid w:val="00035068"/>
    <w:rsid w:val="00057242"/>
    <w:rsid w:val="00092E70"/>
    <w:rsid w:val="00095985"/>
    <w:rsid w:val="000A3185"/>
    <w:rsid w:val="000E7F61"/>
    <w:rsid w:val="000F62A8"/>
    <w:rsid w:val="001628D8"/>
    <w:rsid w:val="0016509E"/>
    <w:rsid w:val="001C6884"/>
    <w:rsid w:val="001D56F3"/>
    <w:rsid w:val="00201BE4"/>
    <w:rsid w:val="00205763"/>
    <w:rsid w:val="00226E30"/>
    <w:rsid w:val="002658FC"/>
    <w:rsid w:val="002D0039"/>
    <w:rsid w:val="002D0C37"/>
    <w:rsid w:val="002E6BAD"/>
    <w:rsid w:val="002F39C6"/>
    <w:rsid w:val="003805AF"/>
    <w:rsid w:val="003B4A92"/>
    <w:rsid w:val="00431527"/>
    <w:rsid w:val="00470166"/>
    <w:rsid w:val="004F2166"/>
    <w:rsid w:val="0053081C"/>
    <w:rsid w:val="00530C7F"/>
    <w:rsid w:val="00542D8C"/>
    <w:rsid w:val="005B4E1E"/>
    <w:rsid w:val="005D4E88"/>
    <w:rsid w:val="006076DA"/>
    <w:rsid w:val="006364D2"/>
    <w:rsid w:val="006467AA"/>
    <w:rsid w:val="00655445"/>
    <w:rsid w:val="006860DE"/>
    <w:rsid w:val="006E043C"/>
    <w:rsid w:val="006F1132"/>
    <w:rsid w:val="006F2655"/>
    <w:rsid w:val="00714F56"/>
    <w:rsid w:val="00754BC7"/>
    <w:rsid w:val="007C59B3"/>
    <w:rsid w:val="008242AD"/>
    <w:rsid w:val="00875844"/>
    <w:rsid w:val="00875E94"/>
    <w:rsid w:val="008A1796"/>
    <w:rsid w:val="00905BCB"/>
    <w:rsid w:val="00984620"/>
    <w:rsid w:val="00991E24"/>
    <w:rsid w:val="009B2E2A"/>
    <w:rsid w:val="009C1C7E"/>
    <w:rsid w:val="009E4523"/>
    <w:rsid w:val="00A02785"/>
    <w:rsid w:val="00A12FF6"/>
    <w:rsid w:val="00A2084E"/>
    <w:rsid w:val="00A5193F"/>
    <w:rsid w:val="00B14FA4"/>
    <w:rsid w:val="00B90600"/>
    <w:rsid w:val="00BF5427"/>
    <w:rsid w:val="00BF585F"/>
    <w:rsid w:val="00C2510B"/>
    <w:rsid w:val="00C46A68"/>
    <w:rsid w:val="00C56575"/>
    <w:rsid w:val="00CB21A6"/>
    <w:rsid w:val="00CF16F4"/>
    <w:rsid w:val="00D472F4"/>
    <w:rsid w:val="00D6132C"/>
    <w:rsid w:val="00D74192"/>
    <w:rsid w:val="00DC3F43"/>
    <w:rsid w:val="00DD64BA"/>
    <w:rsid w:val="00DE550E"/>
    <w:rsid w:val="00E30CF5"/>
    <w:rsid w:val="00EC37E0"/>
    <w:rsid w:val="00ED5964"/>
    <w:rsid w:val="00EF6EB4"/>
    <w:rsid w:val="00F86C05"/>
    <w:rsid w:val="00FC0C1B"/>
    <w:rsid w:val="00FD4732"/>
    <w:rsid w:val="00FE4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16103"/>
  <w15:chartTrackingRefBased/>
  <w15:docId w15:val="{046659B3-6F04-4EAC-8DC3-ADA6A0901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3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32C"/>
  </w:style>
  <w:style w:type="paragraph" w:styleId="Footer">
    <w:name w:val="footer"/>
    <w:basedOn w:val="Normal"/>
    <w:link w:val="FooterChar"/>
    <w:uiPriority w:val="99"/>
    <w:unhideWhenUsed/>
    <w:rsid w:val="00D613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32C"/>
  </w:style>
  <w:style w:type="paragraph" w:styleId="CommentText">
    <w:name w:val="annotation text"/>
    <w:basedOn w:val="Normal"/>
    <w:link w:val="CommentTextChar"/>
    <w:uiPriority w:val="99"/>
    <w:semiHidden/>
    <w:unhideWhenUsed/>
    <w:rsid w:val="00A12FF6"/>
    <w:pPr>
      <w:spacing w:line="240" w:lineRule="auto"/>
    </w:pPr>
    <w:rPr>
      <w:sz w:val="20"/>
      <w:szCs w:val="20"/>
    </w:rPr>
  </w:style>
  <w:style w:type="character" w:customStyle="1" w:styleId="CommentTextChar">
    <w:name w:val="Comment Text Char"/>
    <w:basedOn w:val="DefaultParagraphFont"/>
    <w:link w:val="CommentText"/>
    <w:uiPriority w:val="99"/>
    <w:semiHidden/>
    <w:rsid w:val="00A12FF6"/>
    <w:rPr>
      <w:sz w:val="20"/>
      <w:szCs w:val="20"/>
    </w:rPr>
  </w:style>
  <w:style w:type="character" w:styleId="CommentReference">
    <w:name w:val="annotation reference"/>
    <w:basedOn w:val="DefaultParagraphFont"/>
    <w:uiPriority w:val="99"/>
    <w:semiHidden/>
    <w:unhideWhenUsed/>
    <w:rsid w:val="00A12FF6"/>
    <w:rPr>
      <w:sz w:val="16"/>
      <w:szCs w:val="16"/>
    </w:rPr>
  </w:style>
  <w:style w:type="paragraph" w:styleId="BalloonText">
    <w:name w:val="Balloon Text"/>
    <w:basedOn w:val="Normal"/>
    <w:link w:val="BalloonTextChar"/>
    <w:uiPriority w:val="99"/>
    <w:semiHidden/>
    <w:unhideWhenUsed/>
    <w:rsid w:val="00A12F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FF6"/>
    <w:rPr>
      <w:rFonts w:ascii="Segoe UI" w:hAnsi="Segoe UI" w:cs="Segoe UI"/>
      <w:sz w:val="18"/>
      <w:szCs w:val="18"/>
    </w:rPr>
  </w:style>
  <w:style w:type="paragraph" w:customStyle="1" w:styleId="Figure">
    <w:name w:val="Figure"/>
    <w:basedOn w:val="Normal"/>
    <w:qFormat/>
    <w:rsid w:val="0016509E"/>
    <w:pPr>
      <w:tabs>
        <w:tab w:val="left" w:pos="1242"/>
        <w:tab w:val="left" w:pos="3060"/>
        <w:tab w:val="left" w:pos="7092"/>
        <w:tab w:val="left" w:pos="9000"/>
      </w:tabs>
      <w:spacing w:line="480" w:lineRule="auto"/>
      <w:contextualSpacing/>
      <w:jc w:val="both"/>
    </w:pPr>
    <w:rPr>
      <w:rFonts w:ascii="Arial" w:hAnsi="Arial" w:cs="Arial"/>
      <w:sz w:val="20"/>
    </w:rPr>
  </w:style>
  <w:style w:type="paragraph" w:customStyle="1" w:styleId="Text">
    <w:name w:val="Text"/>
    <w:basedOn w:val="Normal"/>
    <w:qFormat/>
    <w:rsid w:val="002D0039"/>
    <w:pPr>
      <w:tabs>
        <w:tab w:val="left" w:pos="1242"/>
        <w:tab w:val="left" w:pos="3060"/>
        <w:tab w:val="left" w:pos="7092"/>
        <w:tab w:val="left" w:pos="9000"/>
      </w:tabs>
      <w:spacing w:line="480" w:lineRule="auto"/>
      <w:contextualSpacing/>
      <w:jc w:val="both"/>
    </w:pPr>
    <w:rPr>
      <w:rFonts w:ascii="Arial" w:hAnsi="Arial" w:cs="Arial"/>
    </w:rPr>
  </w:style>
  <w:style w:type="paragraph" w:styleId="CommentSubject">
    <w:name w:val="annotation subject"/>
    <w:basedOn w:val="CommentText"/>
    <w:next w:val="CommentText"/>
    <w:link w:val="CommentSubjectChar"/>
    <w:uiPriority w:val="99"/>
    <w:semiHidden/>
    <w:unhideWhenUsed/>
    <w:rsid w:val="00714F56"/>
    <w:rPr>
      <w:b/>
      <w:bCs/>
    </w:rPr>
  </w:style>
  <w:style w:type="character" w:customStyle="1" w:styleId="CommentSubjectChar">
    <w:name w:val="Comment Subject Char"/>
    <w:basedOn w:val="CommentTextChar"/>
    <w:link w:val="CommentSubject"/>
    <w:uiPriority w:val="99"/>
    <w:semiHidden/>
    <w:rsid w:val="00714F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064884">
      <w:bodyDiv w:val="1"/>
      <w:marLeft w:val="0"/>
      <w:marRight w:val="0"/>
      <w:marTop w:val="0"/>
      <w:marBottom w:val="0"/>
      <w:divBdr>
        <w:top w:val="none" w:sz="0" w:space="0" w:color="auto"/>
        <w:left w:val="none" w:sz="0" w:space="0" w:color="auto"/>
        <w:bottom w:val="none" w:sz="0" w:space="0" w:color="auto"/>
        <w:right w:val="none" w:sz="0" w:space="0" w:color="auto"/>
      </w:divBdr>
    </w:div>
    <w:div w:id="536048369">
      <w:bodyDiv w:val="1"/>
      <w:marLeft w:val="0"/>
      <w:marRight w:val="0"/>
      <w:marTop w:val="0"/>
      <w:marBottom w:val="0"/>
      <w:divBdr>
        <w:top w:val="none" w:sz="0" w:space="0" w:color="auto"/>
        <w:left w:val="none" w:sz="0" w:space="0" w:color="auto"/>
        <w:bottom w:val="none" w:sz="0" w:space="0" w:color="auto"/>
        <w:right w:val="none" w:sz="0" w:space="0" w:color="auto"/>
      </w:divBdr>
    </w:div>
    <w:div w:id="843860031">
      <w:bodyDiv w:val="1"/>
      <w:marLeft w:val="0"/>
      <w:marRight w:val="0"/>
      <w:marTop w:val="0"/>
      <w:marBottom w:val="0"/>
      <w:divBdr>
        <w:top w:val="none" w:sz="0" w:space="0" w:color="auto"/>
        <w:left w:val="none" w:sz="0" w:space="0" w:color="auto"/>
        <w:bottom w:val="none" w:sz="0" w:space="0" w:color="auto"/>
        <w:right w:val="none" w:sz="0" w:space="0" w:color="auto"/>
      </w:divBdr>
    </w:div>
    <w:div w:id="956445051">
      <w:bodyDiv w:val="1"/>
      <w:marLeft w:val="0"/>
      <w:marRight w:val="0"/>
      <w:marTop w:val="0"/>
      <w:marBottom w:val="0"/>
      <w:divBdr>
        <w:top w:val="none" w:sz="0" w:space="0" w:color="auto"/>
        <w:left w:val="none" w:sz="0" w:space="0" w:color="auto"/>
        <w:bottom w:val="none" w:sz="0" w:space="0" w:color="auto"/>
        <w:right w:val="none" w:sz="0" w:space="0" w:color="auto"/>
      </w:divBdr>
    </w:div>
    <w:div w:id="964887544">
      <w:bodyDiv w:val="1"/>
      <w:marLeft w:val="0"/>
      <w:marRight w:val="0"/>
      <w:marTop w:val="0"/>
      <w:marBottom w:val="0"/>
      <w:divBdr>
        <w:top w:val="none" w:sz="0" w:space="0" w:color="auto"/>
        <w:left w:val="none" w:sz="0" w:space="0" w:color="auto"/>
        <w:bottom w:val="none" w:sz="0" w:space="0" w:color="auto"/>
        <w:right w:val="none" w:sz="0" w:space="0" w:color="auto"/>
      </w:divBdr>
    </w:div>
    <w:div w:id="1294753922">
      <w:bodyDiv w:val="1"/>
      <w:marLeft w:val="0"/>
      <w:marRight w:val="0"/>
      <w:marTop w:val="0"/>
      <w:marBottom w:val="0"/>
      <w:divBdr>
        <w:top w:val="none" w:sz="0" w:space="0" w:color="auto"/>
        <w:left w:val="none" w:sz="0" w:space="0" w:color="auto"/>
        <w:bottom w:val="none" w:sz="0" w:space="0" w:color="auto"/>
        <w:right w:val="none" w:sz="0" w:space="0" w:color="auto"/>
      </w:divBdr>
    </w:div>
    <w:div w:id="1365014533">
      <w:bodyDiv w:val="1"/>
      <w:marLeft w:val="0"/>
      <w:marRight w:val="0"/>
      <w:marTop w:val="0"/>
      <w:marBottom w:val="0"/>
      <w:divBdr>
        <w:top w:val="none" w:sz="0" w:space="0" w:color="auto"/>
        <w:left w:val="none" w:sz="0" w:space="0" w:color="auto"/>
        <w:bottom w:val="none" w:sz="0" w:space="0" w:color="auto"/>
        <w:right w:val="none" w:sz="0" w:space="0" w:color="auto"/>
      </w:divBdr>
    </w:div>
    <w:div w:id="1528594294">
      <w:bodyDiv w:val="1"/>
      <w:marLeft w:val="0"/>
      <w:marRight w:val="0"/>
      <w:marTop w:val="0"/>
      <w:marBottom w:val="0"/>
      <w:divBdr>
        <w:top w:val="none" w:sz="0" w:space="0" w:color="auto"/>
        <w:left w:val="none" w:sz="0" w:space="0" w:color="auto"/>
        <w:bottom w:val="none" w:sz="0" w:space="0" w:color="auto"/>
        <w:right w:val="none" w:sz="0" w:space="0" w:color="auto"/>
      </w:divBdr>
    </w:div>
    <w:div w:id="189800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924</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Farbod</dc:creator>
  <cp:keywords/>
  <dc:description/>
  <cp:lastModifiedBy>Virginia Bilanchone</cp:lastModifiedBy>
  <cp:revision>4</cp:revision>
  <dcterms:created xsi:type="dcterms:W3CDTF">2018-06-11T20:18:00Z</dcterms:created>
  <dcterms:modified xsi:type="dcterms:W3CDTF">2018-06-19T18:20:00Z</dcterms:modified>
</cp:coreProperties>
</file>