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9F" w:rsidRPr="000B1BEF" w:rsidRDefault="0046419F" w:rsidP="000B1BEF">
      <w:pPr>
        <w:pStyle w:val="Title"/>
        <w:rPr>
          <w:rFonts w:ascii="Arial" w:hAnsi="Arial" w:cs="Arial"/>
        </w:rPr>
      </w:pPr>
      <w:r w:rsidRPr="000B1BEF">
        <w:rPr>
          <w:rFonts w:ascii="Arial" w:hAnsi="Arial" w:cs="Arial"/>
        </w:rPr>
        <w:t>Supplemental material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en"/>
        </w:rPr>
        <w:id w:val="-15672604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B1BEF" w:rsidRDefault="000B1BEF">
          <w:pPr>
            <w:pStyle w:val="TOCHeading"/>
          </w:pPr>
          <w:r>
            <w:t>Contents</w:t>
          </w:r>
        </w:p>
        <w:p w:rsidR="005537CB" w:rsidRDefault="000B1BE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67490" w:history="1">
            <w:r w:rsidR="005537CB" w:rsidRPr="00636FF2">
              <w:rPr>
                <w:rStyle w:val="Hyperlink"/>
                <w:noProof/>
              </w:rPr>
              <w:t>Supplemental Methods</w:t>
            </w:r>
            <w:r w:rsidR="005537CB">
              <w:rPr>
                <w:noProof/>
                <w:webHidden/>
              </w:rPr>
              <w:tab/>
            </w:r>
            <w:r w:rsidR="005537CB">
              <w:rPr>
                <w:noProof/>
                <w:webHidden/>
              </w:rPr>
              <w:fldChar w:fldCharType="begin"/>
            </w:r>
            <w:r w:rsidR="005537CB">
              <w:rPr>
                <w:noProof/>
                <w:webHidden/>
              </w:rPr>
              <w:instrText xml:space="preserve"> PAGEREF _Toc10467490 \h </w:instrText>
            </w:r>
            <w:r w:rsidR="005537CB">
              <w:rPr>
                <w:noProof/>
                <w:webHidden/>
              </w:rPr>
            </w:r>
            <w:r w:rsidR="005537CB">
              <w:rPr>
                <w:noProof/>
                <w:webHidden/>
              </w:rPr>
              <w:fldChar w:fldCharType="separate"/>
            </w:r>
            <w:r w:rsidR="005537CB">
              <w:rPr>
                <w:noProof/>
                <w:webHidden/>
              </w:rPr>
              <w:t>2</w:t>
            </w:r>
            <w:r w:rsidR="005537CB">
              <w:rPr>
                <w:noProof/>
                <w:webHidden/>
              </w:rPr>
              <w:fldChar w:fldCharType="end"/>
            </w:r>
          </w:hyperlink>
        </w:p>
        <w:p w:rsidR="005537CB" w:rsidRDefault="00BD442A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467491" w:history="1">
            <w:r w:rsidR="005537CB" w:rsidRPr="00636FF2">
              <w:rPr>
                <w:rStyle w:val="Hyperlink"/>
                <w:noProof/>
              </w:rPr>
              <w:t>Commands used for alignment and SV calling</w:t>
            </w:r>
            <w:r w:rsidR="005537CB">
              <w:rPr>
                <w:noProof/>
                <w:webHidden/>
              </w:rPr>
              <w:tab/>
            </w:r>
            <w:r w:rsidR="005537CB">
              <w:rPr>
                <w:noProof/>
                <w:webHidden/>
              </w:rPr>
              <w:fldChar w:fldCharType="begin"/>
            </w:r>
            <w:r w:rsidR="005537CB">
              <w:rPr>
                <w:noProof/>
                <w:webHidden/>
              </w:rPr>
              <w:instrText xml:space="preserve"> PAGEREF _Toc10467491 \h </w:instrText>
            </w:r>
            <w:r w:rsidR="005537CB">
              <w:rPr>
                <w:noProof/>
                <w:webHidden/>
              </w:rPr>
            </w:r>
            <w:r w:rsidR="005537CB">
              <w:rPr>
                <w:noProof/>
                <w:webHidden/>
              </w:rPr>
              <w:fldChar w:fldCharType="separate"/>
            </w:r>
            <w:r w:rsidR="005537CB">
              <w:rPr>
                <w:noProof/>
                <w:webHidden/>
              </w:rPr>
              <w:t>2</w:t>
            </w:r>
            <w:r w:rsidR="005537CB">
              <w:rPr>
                <w:noProof/>
                <w:webHidden/>
              </w:rPr>
              <w:fldChar w:fldCharType="end"/>
            </w:r>
          </w:hyperlink>
        </w:p>
        <w:p w:rsidR="005537CB" w:rsidRDefault="00BD442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467492" w:history="1">
            <w:r w:rsidR="005537CB" w:rsidRPr="00636FF2">
              <w:rPr>
                <w:rStyle w:val="Hyperlink"/>
                <w:noProof/>
              </w:rPr>
              <w:t>Supplemental Tables</w:t>
            </w:r>
            <w:r w:rsidR="005537CB">
              <w:rPr>
                <w:noProof/>
                <w:webHidden/>
              </w:rPr>
              <w:tab/>
            </w:r>
            <w:r w:rsidR="005537CB">
              <w:rPr>
                <w:noProof/>
                <w:webHidden/>
              </w:rPr>
              <w:fldChar w:fldCharType="begin"/>
            </w:r>
            <w:r w:rsidR="005537CB">
              <w:rPr>
                <w:noProof/>
                <w:webHidden/>
              </w:rPr>
              <w:instrText xml:space="preserve"> PAGEREF _Toc10467492 \h </w:instrText>
            </w:r>
            <w:r w:rsidR="005537CB">
              <w:rPr>
                <w:noProof/>
                <w:webHidden/>
              </w:rPr>
            </w:r>
            <w:r w:rsidR="005537CB">
              <w:rPr>
                <w:noProof/>
                <w:webHidden/>
              </w:rPr>
              <w:fldChar w:fldCharType="separate"/>
            </w:r>
            <w:r w:rsidR="005537CB">
              <w:rPr>
                <w:noProof/>
                <w:webHidden/>
              </w:rPr>
              <w:t>3</w:t>
            </w:r>
            <w:r w:rsidR="005537CB">
              <w:rPr>
                <w:noProof/>
                <w:webHidden/>
              </w:rPr>
              <w:fldChar w:fldCharType="end"/>
            </w:r>
          </w:hyperlink>
        </w:p>
        <w:p w:rsidR="005537CB" w:rsidRDefault="00BD442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467493" w:history="1">
            <w:r w:rsidR="005537CB" w:rsidRPr="00636FF2">
              <w:rPr>
                <w:rStyle w:val="Hyperlink"/>
                <w:noProof/>
              </w:rPr>
              <w:t>Supplemental Figures</w:t>
            </w:r>
            <w:r w:rsidR="005537CB">
              <w:rPr>
                <w:noProof/>
                <w:webHidden/>
              </w:rPr>
              <w:tab/>
            </w:r>
            <w:r w:rsidR="005537CB">
              <w:rPr>
                <w:noProof/>
                <w:webHidden/>
              </w:rPr>
              <w:fldChar w:fldCharType="begin"/>
            </w:r>
            <w:r w:rsidR="005537CB">
              <w:rPr>
                <w:noProof/>
                <w:webHidden/>
              </w:rPr>
              <w:instrText xml:space="preserve"> PAGEREF _Toc10467493 \h </w:instrText>
            </w:r>
            <w:r w:rsidR="005537CB">
              <w:rPr>
                <w:noProof/>
                <w:webHidden/>
              </w:rPr>
            </w:r>
            <w:r w:rsidR="005537CB">
              <w:rPr>
                <w:noProof/>
                <w:webHidden/>
              </w:rPr>
              <w:fldChar w:fldCharType="separate"/>
            </w:r>
            <w:r w:rsidR="005537CB">
              <w:rPr>
                <w:noProof/>
                <w:webHidden/>
              </w:rPr>
              <w:t>10</w:t>
            </w:r>
            <w:r w:rsidR="005537CB">
              <w:rPr>
                <w:noProof/>
                <w:webHidden/>
              </w:rPr>
              <w:fldChar w:fldCharType="end"/>
            </w:r>
          </w:hyperlink>
        </w:p>
        <w:p w:rsidR="005537CB" w:rsidRDefault="00BD442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467494" w:history="1">
            <w:r w:rsidR="005537CB" w:rsidRPr="00636FF2">
              <w:rPr>
                <w:rStyle w:val="Hyperlink"/>
                <w:noProof/>
              </w:rPr>
              <w:t>Supplemental Code</w:t>
            </w:r>
            <w:r w:rsidR="005537CB">
              <w:rPr>
                <w:noProof/>
                <w:webHidden/>
              </w:rPr>
              <w:tab/>
            </w:r>
            <w:r w:rsidR="005537CB">
              <w:rPr>
                <w:noProof/>
                <w:webHidden/>
              </w:rPr>
              <w:fldChar w:fldCharType="begin"/>
            </w:r>
            <w:r w:rsidR="005537CB">
              <w:rPr>
                <w:noProof/>
                <w:webHidden/>
              </w:rPr>
              <w:instrText xml:space="preserve"> PAGEREF _Toc10467494 \h </w:instrText>
            </w:r>
            <w:r w:rsidR="005537CB">
              <w:rPr>
                <w:noProof/>
                <w:webHidden/>
              </w:rPr>
            </w:r>
            <w:r w:rsidR="005537CB">
              <w:rPr>
                <w:noProof/>
                <w:webHidden/>
              </w:rPr>
              <w:fldChar w:fldCharType="separate"/>
            </w:r>
            <w:r w:rsidR="005537CB">
              <w:rPr>
                <w:noProof/>
                <w:webHidden/>
              </w:rPr>
              <w:t>17</w:t>
            </w:r>
            <w:r w:rsidR="005537CB">
              <w:rPr>
                <w:noProof/>
                <w:webHidden/>
              </w:rPr>
              <w:fldChar w:fldCharType="end"/>
            </w:r>
          </w:hyperlink>
        </w:p>
        <w:p w:rsidR="000B1BEF" w:rsidRDefault="000B1BEF">
          <w:r>
            <w:rPr>
              <w:b/>
              <w:bCs/>
              <w:noProof/>
            </w:rPr>
            <w:fldChar w:fldCharType="end"/>
          </w:r>
        </w:p>
      </w:sdtContent>
    </w:sdt>
    <w:p w:rsidR="000B1BEF" w:rsidRPr="000B1BEF" w:rsidRDefault="000B1BEF" w:rsidP="000B1BEF"/>
    <w:p w:rsidR="000B1BEF" w:rsidRDefault="000B1BEF">
      <w:pPr>
        <w:spacing w:after="160" w:line="259" w:lineRule="auto"/>
        <w:rPr>
          <w:sz w:val="32"/>
          <w:szCs w:val="32"/>
        </w:rPr>
      </w:pPr>
      <w:r>
        <w:br w:type="page"/>
      </w:r>
    </w:p>
    <w:p w:rsidR="0046419F" w:rsidRPr="000B1BEF" w:rsidRDefault="0046419F" w:rsidP="000B1BEF">
      <w:pPr>
        <w:pStyle w:val="Heading2"/>
        <w:rPr>
          <w:sz w:val="36"/>
        </w:rPr>
      </w:pPr>
      <w:bookmarkStart w:id="0" w:name="_Toc10467490"/>
      <w:r w:rsidRPr="000B1BEF">
        <w:rPr>
          <w:sz w:val="36"/>
        </w:rPr>
        <w:lastRenderedPageBreak/>
        <w:t>Supplemental Methods</w:t>
      </w:r>
      <w:bookmarkEnd w:id="0"/>
    </w:p>
    <w:p w:rsidR="0046419F" w:rsidRPr="000B1BEF" w:rsidRDefault="0046419F" w:rsidP="000B1BEF">
      <w:pPr>
        <w:pStyle w:val="Heading3"/>
        <w:rPr>
          <w:rFonts w:ascii="Arial" w:hAnsi="Arial" w:cs="Arial"/>
          <w:color w:val="auto"/>
          <w:sz w:val="32"/>
        </w:rPr>
      </w:pPr>
      <w:bookmarkStart w:id="1" w:name="_gjdgxs" w:colFirst="0" w:colLast="0"/>
      <w:bookmarkStart w:id="2" w:name="_Toc10467491"/>
      <w:bookmarkEnd w:id="1"/>
      <w:r w:rsidRPr="000B1BEF">
        <w:rPr>
          <w:rFonts w:ascii="Arial" w:hAnsi="Arial" w:cs="Arial"/>
          <w:color w:val="auto"/>
          <w:sz w:val="32"/>
        </w:rPr>
        <w:t>Commands used for alignment and SV calling</w:t>
      </w:r>
      <w:bookmarkEnd w:id="2"/>
    </w:p>
    <w:p w:rsidR="0046419F" w:rsidRDefault="0046419F" w:rsidP="0046419F">
      <w:pPr>
        <w:spacing w:after="160"/>
        <w:rPr>
          <w:sz w:val="18"/>
          <w:szCs w:val="18"/>
        </w:rPr>
      </w:pPr>
      <w:r>
        <w:t xml:space="preserve">The output of alignments is piped directly to </w:t>
      </w:r>
      <w:proofErr w:type="spellStart"/>
      <w:r>
        <w:t>samtools</w:t>
      </w:r>
      <w:proofErr w:type="spellEnd"/>
      <w:r>
        <w:t xml:space="preserve"> sort to generate sorted bam files.</w:t>
      </w:r>
    </w:p>
    <w:p w:rsidR="0046419F" w:rsidRDefault="003928DA" w:rsidP="0046419F">
      <w:pPr>
        <w:rPr>
          <w:u w:val="single"/>
        </w:rPr>
      </w:pPr>
      <w:r>
        <w:rPr>
          <w:u w:val="single"/>
        </w:rPr>
        <w:t>NGMLR</w:t>
      </w:r>
    </w:p>
    <w:p w:rsidR="0046419F" w:rsidRDefault="0046419F" w:rsidP="004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Courier New" w:hAnsi="Courier New" w:cs="Courier New"/>
          <w:sz w:val="20"/>
          <w:szCs w:val="20"/>
        </w:rPr>
        <w:t>zcat</w:t>
      </w:r>
      <w:proofErr w:type="spellEnd"/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*.fastq.gz |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ngmlr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--presets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ont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-t {threads} -r {genome} </w:t>
      </w:r>
    </w:p>
    <w:p w:rsidR="0046419F" w:rsidRDefault="0046419F" w:rsidP="004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</w:p>
    <w:p w:rsidR="0046419F" w:rsidRDefault="0046419F" w:rsidP="0046419F">
      <w:pPr>
        <w:rPr>
          <w:u w:val="single"/>
        </w:rPr>
      </w:pPr>
      <w:r>
        <w:rPr>
          <w:u w:val="single"/>
        </w:rPr>
        <w:t>minimap2</w:t>
      </w:r>
    </w:p>
    <w:p w:rsidR="0046419F" w:rsidRDefault="0046419F" w:rsidP="004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minimap2 --MD -a -t {threads} {genome} *.fastq.gz </w:t>
      </w:r>
    </w:p>
    <w:p w:rsidR="0046419F" w:rsidRDefault="0046419F" w:rsidP="0046419F">
      <w:pPr>
        <w:rPr>
          <w:u w:val="single"/>
        </w:rPr>
      </w:pPr>
    </w:p>
    <w:p w:rsidR="0046419F" w:rsidRDefault="0046419F" w:rsidP="0046419F">
      <w:pPr>
        <w:rPr>
          <w:u w:val="single"/>
        </w:rPr>
      </w:pPr>
      <w:proofErr w:type="gramStart"/>
      <w:r>
        <w:rPr>
          <w:u w:val="single"/>
        </w:rPr>
        <w:t>minimap2-pbsv</w:t>
      </w:r>
      <w:proofErr w:type="gramEnd"/>
    </w:p>
    <w:p w:rsidR="0046419F" w:rsidRDefault="0046419F" w:rsidP="004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minimap2 -t {threads} -a --MD --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eqx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-L -O 5,56 -E 4,1 -B 5 --secondary=no -z 400,50 -r 2k -Y -R @RG\tID:rg1a\tSM:NA19240 {genome} *.fastq.gz </w:t>
      </w:r>
    </w:p>
    <w:p w:rsidR="0046419F" w:rsidRDefault="0046419F" w:rsidP="0046419F">
      <w:pPr>
        <w:rPr>
          <w:u w:val="single"/>
        </w:rPr>
      </w:pPr>
    </w:p>
    <w:p w:rsidR="0046419F" w:rsidRDefault="0046419F" w:rsidP="0046419F">
      <w:pPr>
        <w:rPr>
          <w:u w:val="single"/>
        </w:rPr>
      </w:pPr>
      <w:r>
        <w:rPr>
          <w:u w:val="single"/>
        </w:rPr>
        <w:t>LAST</w:t>
      </w:r>
    </w:p>
    <w:p w:rsidR="0046419F" w:rsidRDefault="0046419F" w:rsidP="0046419F">
      <w:pPr>
        <w:spacing w:after="160"/>
        <w:rPr>
          <w:sz w:val="20"/>
          <w:szCs w:val="20"/>
        </w:rPr>
      </w:pPr>
      <w:r>
        <w:t xml:space="preserve">The index was built using a reference genome masked with </w:t>
      </w:r>
      <w:proofErr w:type="spellStart"/>
      <w:r>
        <w:t>WindowMasker</w:t>
      </w:r>
      <w:proofErr w:type="spellEnd"/>
      <w:r>
        <w:t xml:space="preserve"> </w:t>
      </w:r>
      <w:hyperlink r:id="rId5">
        <w:r>
          <w:rPr>
            <w:color w:val="000000"/>
          </w:rPr>
          <w:t>(</w:t>
        </w:r>
        <w:proofErr w:type="spellStart"/>
        <w:r>
          <w:rPr>
            <w:color w:val="000000"/>
          </w:rPr>
          <w:t>Morgulis</w:t>
        </w:r>
        <w:proofErr w:type="spellEnd"/>
        <w:r>
          <w:rPr>
            <w:color w:val="000000"/>
          </w:rPr>
          <w:t xml:space="preserve"> et al., 2006)</w:t>
        </w:r>
      </w:hyperlink>
      <w:r>
        <w:t xml:space="preserve">. The substitution matrix was obtained from last-train </w:t>
      </w:r>
      <w:hyperlink r:id="rId6">
        <w:r>
          <w:rPr>
            <w:color w:val="000000"/>
          </w:rPr>
          <w:t>(Hamada et al., 2017)</w:t>
        </w:r>
      </w:hyperlink>
      <w:r>
        <w:t>.</w:t>
      </w:r>
    </w:p>
    <w:p w:rsidR="0046419F" w:rsidRDefault="0046419F" w:rsidP="004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proofErr w:type="spellStart"/>
      <w:proofErr w:type="gramStart"/>
      <w:r>
        <w:rPr>
          <w:rFonts w:ascii="Courier New" w:eastAsia="Courier New" w:hAnsi="Courier New" w:cs="Courier New"/>
          <w:sz w:val="20"/>
          <w:szCs w:val="20"/>
        </w:rPr>
        <w:t>lastal</w:t>
      </w:r>
      <w:proofErr w:type="spellEnd"/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-P8 -p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training.par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lastdb_GRCh38-wm *.fastq.gz | last-split -m1e-6 |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maf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-convert -f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genome.dict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sam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/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dev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stdin</w:t>
      </w:r>
      <w:proofErr w:type="spellEnd"/>
    </w:p>
    <w:p w:rsidR="0046419F" w:rsidRDefault="0046419F" w:rsidP="0046419F">
      <w:pPr>
        <w:spacing w:after="160"/>
        <w:rPr>
          <w:u w:val="single"/>
        </w:rPr>
      </w:pPr>
    </w:p>
    <w:p w:rsidR="0046419F" w:rsidRDefault="0046419F" w:rsidP="0046419F">
      <w:pPr>
        <w:spacing w:after="160"/>
        <w:rPr>
          <w:rFonts w:ascii="Courier New" w:eastAsia="Courier New" w:hAnsi="Courier New" w:cs="Courier New"/>
          <w:color w:val="24292E"/>
          <w:sz w:val="20"/>
          <w:szCs w:val="20"/>
          <w:shd w:val="clear" w:color="auto" w:fill="F6F8FA"/>
        </w:rPr>
      </w:pPr>
      <w:r>
        <w:rPr>
          <w:u w:val="single"/>
        </w:rPr>
        <w:t>Sniffles</w:t>
      </w:r>
      <w:r>
        <w:br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Sniffles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-m {alignment} -v {output-calls} -t {threads}</w:t>
      </w:r>
      <w:r>
        <w:rPr>
          <w:rFonts w:ascii="Courier New" w:eastAsia="Courier New" w:hAnsi="Courier New" w:cs="Courier New"/>
          <w:sz w:val="20"/>
          <w:szCs w:val="20"/>
        </w:rPr>
        <w:br/>
        <w:t>Sniffles -m {alignment} -v {output-genotypes} -t {threads} --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Ivcf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{output-calls}</w:t>
      </w:r>
      <w:r>
        <w:rPr>
          <w:sz w:val="20"/>
          <w:szCs w:val="20"/>
        </w:rPr>
        <w:br/>
      </w:r>
      <w:r>
        <w:br/>
      </w:r>
      <w:proofErr w:type="spellStart"/>
      <w:r>
        <w:rPr>
          <w:u w:val="single"/>
        </w:rPr>
        <w:t>NanoSV</w:t>
      </w:r>
      <w:proofErr w:type="spellEnd"/>
      <w:r>
        <w:br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NanoSV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--bed {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exons.bed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} -t {threads} -s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samtools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{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input.bam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} -o {output.vcf}</w:t>
      </w:r>
      <w:r>
        <w:rPr>
          <w:rFonts w:ascii="Courier New" w:eastAsia="Courier New" w:hAnsi="Courier New" w:cs="Courier New"/>
        </w:rPr>
        <w:br/>
      </w:r>
      <w:r>
        <w:br/>
      </w:r>
      <w:proofErr w:type="spellStart"/>
      <w:r>
        <w:rPr>
          <w:u w:val="single"/>
        </w:rPr>
        <w:t>pbsv</w:t>
      </w:r>
      <w:proofErr w:type="spellEnd"/>
      <w:r>
        <w:br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pbsv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discover {alignment} variants.svsig.gz</w:t>
      </w:r>
      <w:r>
        <w:rPr>
          <w:rFonts w:ascii="Courier New" w:eastAsia="Courier New" w:hAnsi="Courier New" w:cs="Courier New"/>
          <w:sz w:val="20"/>
          <w:szCs w:val="20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pbsv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call {genome} variants.svsig.gz {output}</w:t>
      </w:r>
      <w:r>
        <w:rPr>
          <w:rFonts w:ascii="Courier New" w:eastAsia="Courier New" w:hAnsi="Courier New" w:cs="Courier New"/>
        </w:rPr>
        <w:br/>
      </w:r>
      <w:r>
        <w:rPr>
          <w:rFonts w:ascii="Courier New" w:eastAsia="Courier New" w:hAnsi="Courier New" w:cs="Courier New"/>
        </w:rPr>
        <w:br/>
      </w:r>
      <w:r>
        <w:rPr>
          <w:u w:val="single"/>
        </w:rPr>
        <w:t>SVIM</w:t>
      </w:r>
      <w:r>
        <w:br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svim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alignment {output} {alignment}</w:t>
      </w:r>
    </w:p>
    <w:p w:rsidR="0046419F" w:rsidRDefault="0046419F" w:rsidP="0046419F">
      <w:pPr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>
        <w:rPr>
          <w:u w:val="single"/>
        </w:rPr>
        <w:t>npInv</w:t>
      </w:r>
      <w:proofErr w:type="spellEnd"/>
      <w:proofErr w:type="gramEnd"/>
      <w:r>
        <w:rPr>
          <w:u w:val="single"/>
        </w:rPr>
        <w:br/>
      </w:r>
      <w:r>
        <w:rPr>
          <w:rFonts w:ascii="Courier New" w:eastAsia="Courier New" w:hAnsi="Courier New" w:cs="Courier New"/>
          <w:sz w:val="20"/>
          <w:szCs w:val="20"/>
        </w:rPr>
        <w:t>java -jar npInv1.21.jar --input {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alignment.bam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} --output {output.vcf}</w:t>
      </w:r>
    </w:p>
    <w:p w:rsidR="000B1BEF" w:rsidRDefault="000B1BEF" w:rsidP="0046419F">
      <w:pPr>
        <w:sectPr w:rsidR="000B1BEF" w:rsidSect="000B1B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419F" w:rsidRDefault="000B1BEF" w:rsidP="000B1BEF">
      <w:pPr>
        <w:pStyle w:val="Heading2"/>
        <w:rPr>
          <w:sz w:val="36"/>
        </w:rPr>
      </w:pPr>
      <w:bookmarkStart w:id="3" w:name="_Toc10467492"/>
      <w:r w:rsidRPr="000B1BEF">
        <w:rPr>
          <w:sz w:val="36"/>
        </w:rPr>
        <w:lastRenderedPageBreak/>
        <w:t xml:space="preserve">Supplemental </w:t>
      </w:r>
      <w:r>
        <w:rPr>
          <w:sz w:val="36"/>
        </w:rPr>
        <w:t>T</w:t>
      </w:r>
      <w:r w:rsidRPr="000B1BEF">
        <w:rPr>
          <w:sz w:val="36"/>
        </w:rPr>
        <w:t>ables</w:t>
      </w:r>
      <w:bookmarkEnd w:id="3"/>
    </w:p>
    <w:p w:rsidR="000B1BEF" w:rsidRDefault="000B1BEF" w:rsidP="000B1BEF"/>
    <w:tbl>
      <w:tblPr>
        <w:tblW w:w="1080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080"/>
        <w:gridCol w:w="720"/>
        <w:gridCol w:w="720"/>
        <w:gridCol w:w="810"/>
        <w:gridCol w:w="720"/>
        <w:gridCol w:w="720"/>
        <w:gridCol w:w="1080"/>
        <w:gridCol w:w="720"/>
        <w:gridCol w:w="720"/>
        <w:gridCol w:w="630"/>
        <w:gridCol w:w="810"/>
        <w:gridCol w:w="720"/>
        <w:gridCol w:w="810"/>
      </w:tblGrid>
      <w:tr w:rsidR="0046419F" w:rsidTr="000B1BEF">
        <w:trPr>
          <w:trHeight w:val="80"/>
        </w:trPr>
        <w:tc>
          <w:tcPr>
            <w:tcW w:w="7830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6419F" w:rsidRDefault="0046419F" w:rsidP="000B1BEF">
            <w:pPr>
              <w:rPr>
                <w:b/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Supplemental table S1: Library prep metrics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Ligation</w:t>
            </w:r>
          </w:p>
        </w:tc>
        <w:tc>
          <w:tcPr>
            <w:tcW w:w="15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Sequencing</w:t>
            </w:r>
          </w:p>
        </w:tc>
      </w:tr>
      <w:tr w:rsidR="0046419F" w:rsidTr="000B1BEF">
        <w:trPr>
          <w:cantSplit/>
          <w:trHeight w:val="1380"/>
        </w:trPr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Extraction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</w:t>
            </w:r>
          </w:p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[kb]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Shearing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 cutoff</w:t>
            </w:r>
          </w:p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[kb]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260/280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260/230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Active pores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Mass input </w:t>
            </w:r>
            <w:r>
              <w:rPr>
                <w:b/>
                <w:sz w:val="20"/>
                <w:szCs w:val="20"/>
              </w:rPr>
              <w:br/>
              <w:t>[µg]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Size </w:t>
            </w:r>
          </w:p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[kb]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Molarity</w:t>
            </w:r>
            <w:r>
              <w:rPr>
                <w:b/>
                <w:sz w:val="20"/>
                <w:szCs w:val="20"/>
              </w:rPr>
              <w:br/>
              <w:t>[</w:t>
            </w:r>
            <w:proofErr w:type="spellStart"/>
            <w:r>
              <w:rPr>
                <w:b/>
                <w:sz w:val="20"/>
                <w:szCs w:val="20"/>
              </w:rPr>
              <w:t>fmol</w:t>
            </w:r>
            <w:proofErr w:type="spellEnd"/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Mass [µg]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textDirection w:val="tbRl"/>
            <w:vAlign w:val="center"/>
          </w:tcPr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Molarity</w:t>
            </w:r>
          </w:p>
          <w:p w:rsidR="0046419F" w:rsidRDefault="0046419F" w:rsidP="000B1BEF">
            <w:pPr>
              <w:spacing w:line="240" w:lineRule="auto"/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proofErr w:type="spellStart"/>
            <w:r>
              <w:rPr>
                <w:b/>
                <w:sz w:val="20"/>
                <w:szCs w:val="20"/>
              </w:rPr>
              <w:t>fmol</w:t>
            </w:r>
            <w:proofErr w:type="spellEnd"/>
            <w:r>
              <w:rPr>
                <w:b/>
                <w:sz w:val="20"/>
                <w:szCs w:val="20"/>
              </w:rPr>
              <w:t>]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 8LX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</w:t>
            </w:r>
          </w:p>
        </w:tc>
        <w:tc>
          <w:tcPr>
            <w:tcW w:w="108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8.46</w:t>
            </w:r>
          </w:p>
        </w:tc>
        <w:tc>
          <w:tcPr>
            <w:tcW w:w="63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360.3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QIAamp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kb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QIAamp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108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4224*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63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109.2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QIAamp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</w:t>
            </w:r>
          </w:p>
        </w:tc>
        <w:tc>
          <w:tcPr>
            <w:tcW w:w="108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LSK108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63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P5</w:t>
            </w:r>
          </w:p>
        </w:tc>
        <w:tc>
          <w:tcPr>
            <w:tcW w:w="108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kb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&gt;6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</w:t>
            </w:r>
          </w:p>
        </w:tc>
        <w:tc>
          <w:tcPr>
            <w:tcW w:w="108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63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374.6</w:t>
            </w:r>
          </w:p>
        </w:tc>
        <w:tc>
          <w:tcPr>
            <w:tcW w:w="72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810" w:type="dxa"/>
            <w:shd w:val="clear" w:color="auto" w:fill="auto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123.2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108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QIAamp</w:t>
            </w:r>
            <w:proofErr w:type="spellEnd"/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</w:t>
            </w:r>
          </w:p>
        </w:tc>
        <w:tc>
          <w:tcPr>
            <w:tcW w:w="108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63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</w:p>
        </w:tc>
        <w:tc>
          <w:tcPr>
            <w:tcW w:w="81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72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144.5</w:t>
            </w:r>
          </w:p>
        </w:tc>
      </w:tr>
      <w:tr w:rsidR="0046419F" w:rsidTr="000B1BEF">
        <w:trPr>
          <w:trHeight w:val="340"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QIAamp</w:t>
            </w:r>
            <w:proofErr w:type="spellEnd"/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LSK109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8D8D8"/>
          </w:tcPr>
          <w:p w:rsidR="0046419F" w:rsidRDefault="0046419F" w:rsidP="000B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</w:tr>
    </w:tbl>
    <w:p w:rsidR="0046419F" w:rsidRDefault="0046419F" w:rsidP="0046419F">
      <w:pPr>
        <w:spacing w:after="160"/>
        <w:jc w:val="both"/>
        <w:rPr>
          <w:i/>
          <w:sz w:val="20"/>
          <w:szCs w:val="20"/>
        </w:rPr>
      </w:pPr>
    </w:p>
    <w:p w:rsidR="0046419F" w:rsidRDefault="0046419F" w:rsidP="0046419F">
      <w:r>
        <w:rPr>
          <w:i/>
          <w:sz w:val="20"/>
          <w:szCs w:val="20"/>
        </w:rPr>
        <w:t>Extraction</w:t>
      </w:r>
      <w:r>
        <w:rPr>
          <w:sz w:val="20"/>
          <w:szCs w:val="20"/>
        </w:rPr>
        <w:t xml:space="preserve"> is specifying the DNA extraction method (sample P5 is a pool of both); </w:t>
      </w:r>
      <w:r>
        <w:rPr>
          <w:i/>
          <w:sz w:val="20"/>
          <w:szCs w:val="20"/>
        </w:rPr>
        <w:t xml:space="preserve">size </w:t>
      </w:r>
      <w:r>
        <w:rPr>
          <w:sz w:val="20"/>
          <w:szCs w:val="20"/>
        </w:rPr>
        <w:t xml:space="preserve">specifies average DNA smear size on Fragment Analyzer in kb after extraction (Advanced Analytical, Agilent, USA); </w:t>
      </w:r>
      <w:r>
        <w:rPr>
          <w:i/>
          <w:sz w:val="20"/>
          <w:szCs w:val="20"/>
        </w:rPr>
        <w:t xml:space="preserve">Shearing </w:t>
      </w:r>
      <w:r>
        <w:rPr>
          <w:sz w:val="20"/>
          <w:szCs w:val="20"/>
        </w:rPr>
        <w:t xml:space="preserve">specifies size to which sample was fragmented using </w:t>
      </w:r>
      <w:proofErr w:type="spellStart"/>
      <w:r>
        <w:rPr>
          <w:sz w:val="20"/>
          <w:szCs w:val="20"/>
        </w:rPr>
        <w:t>Megaruptor</w:t>
      </w:r>
      <w:proofErr w:type="spellEnd"/>
      <w:r>
        <w:rPr>
          <w:sz w:val="20"/>
          <w:szCs w:val="20"/>
        </w:rPr>
        <w:t xml:space="preserve"> if applicable (</w:t>
      </w:r>
      <w:proofErr w:type="spellStart"/>
      <w:r>
        <w:rPr>
          <w:sz w:val="20"/>
          <w:szCs w:val="20"/>
        </w:rPr>
        <w:t>Diagenode</w:t>
      </w:r>
      <w:proofErr w:type="spellEnd"/>
      <w:r>
        <w:rPr>
          <w:sz w:val="20"/>
          <w:szCs w:val="20"/>
        </w:rPr>
        <w:t xml:space="preserve">, BE); </w:t>
      </w:r>
      <w:r>
        <w:rPr>
          <w:i/>
          <w:sz w:val="20"/>
          <w:szCs w:val="20"/>
        </w:rPr>
        <w:t>Size cutoff</w:t>
      </w:r>
      <w:r>
        <w:rPr>
          <w:sz w:val="20"/>
          <w:szCs w:val="20"/>
        </w:rPr>
        <w:t xml:space="preserve"> specifies the lower limit used during </w:t>
      </w:r>
      <w:proofErr w:type="spellStart"/>
      <w:r>
        <w:rPr>
          <w:sz w:val="20"/>
          <w:szCs w:val="20"/>
        </w:rPr>
        <w:t>BluePippin</w:t>
      </w:r>
      <w:proofErr w:type="spellEnd"/>
      <w:r>
        <w:rPr>
          <w:sz w:val="20"/>
          <w:szCs w:val="20"/>
        </w:rPr>
        <w:t xml:space="preserve"> electrophoresis; </w:t>
      </w:r>
      <w:r>
        <w:rPr>
          <w:i/>
          <w:sz w:val="20"/>
          <w:szCs w:val="20"/>
        </w:rPr>
        <w:t>260/280</w:t>
      </w:r>
      <w:r>
        <w:rPr>
          <w:sz w:val="20"/>
          <w:szCs w:val="20"/>
        </w:rPr>
        <w:t xml:space="preserve"> and </w:t>
      </w:r>
      <w:r>
        <w:rPr>
          <w:i/>
          <w:sz w:val="20"/>
          <w:szCs w:val="20"/>
        </w:rPr>
        <w:t>260/230</w:t>
      </w:r>
      <w:r>
        <w:rPr>
          <w:sz w:val="20"/>
          <w:szCs w:val="20"/>
        </w:rPr>
        <w:t xml:space="preserve"> specify the purity of the aliquots after </w:t>
      </w:r>
      <w:proofErr w:type="spellStart"/>
      <w:r>
        <w:rPr>
          <w:sz w:val="20"/>
          <w:szCs w:val="20"/>
        </w:rPr>
        <w:t>BluePippin</w:t>
      </w:r>
      <w:proofErr w:type="spellEnd"/>
      <w:r>
        <w:rPr>
          <w:sz w:val="20"/>
          <w:szCs w:val="20"/>
        </w:rPr>
        <w:t xml:space="preserve"> size selection and </w:t>
      </w:r>
      <w:proofErr w:type="spellStart"/>
      <w:r>
        <w:rPr>
          <w:sz w:val="20"/>
          <w:szCs w:val="20"/>
        </w:rPr>
        <w:t>AMPure</w:t>
      </w:r>
      <w:proofErr w:type="spellEnd"/>
      <w:r>
        <w:rPr>
          <w:sz w:val="20"/>
          <w:szCs w:val="20"/>
        </w:rPr>
        <w:t xml:space="preserve"> XP final bead purification;</w:t>
      </w:r>
      <w:r>
        <w:rPr>
          <w:i/>
          <w:sz w:val="20"/>
          <w:szCs w:val="20"/>
        </w:rPr>
        <w:t xml:space="preserve"> Active pores</w:t>
      </w:r>
      <w:r>
        <w:rPr>
          <w:sz w:val="20"/>
          <w:szCs w:val="20"/>
        </w:rPr>
        <w:t xml:space="preserve"> specifies the number of active pores detected by mux-scan after loading the library;</w:t>
      </w:r>
      <w:r>
        <w:rPr>
          <w:i/>
          <w:sz w:val="20"/>
          <w:szCs w:val="20"/>
        </w:rPr>
        <w:t xml:space="preserve"> Mass lib prep</w:t>
      </w:r>
      <w:r>
        <w:rPr>
          <w:sz w:val="20"/>
          <w:szCs w:val="20"/>
        </w:rPr>
        <w:t xml:space="preserve"> specifies mass of DNA used at the start of library prep; </w:t>
      </w:r>
      <w:r>
        <w:rPr>
          <w:i/>
          <w:sz w:val="20"/>
          <w:szCs w:val="20"/>
        </w:rPr>
        <w:t xml:space="preserve">size DNA </w:t>
      </w:r>
      <w:r>
        <w:rPr>
          <w:sz w:val="20"/>
          <w:szCs w:val="20"/>
        </w:rPr>
        <w:t xml:space="preserve">specifies the average size of the fragments used in the ligation step, measured with Fragment Analyzer (Advanced Analytical, Agilent, USA); </w:t>
      </w:r>
      <w:proofErr w:type="spellStart"/>
      <w:r>
        <w:rPr>
          <w:i/>
          <w:sz w:val="20"/>
          <w:szCs w:val="20"/>
        </w:rPr>
        <w:t>Mol</w:t>
      </w:r>
      <w:proofErr w:type="spellEnd"/>
      <w:r>
        <w:rPr>
          <w:i/>
          <w:sz w:val="20"/>
          <w:szCs w:val="20"/>
        </w:rPr>
        <w:t xml:space="preserve"> DNA for ligation</w:t>
      </w:r>
      <w:r>
        <w:rPr>
          <w:sz w:val="20"/>
          <w:szCs w:val="20"/>
        </w:rPr>
        <w:t xml:space="preserve"> specifies amount of </w:t>
      </w:r>
      <w:proofErr w:type="spellStart"/>
      <w:r>
        <w:rPr>
          <w:sz w:val="20"/>
          <w:szCs w:val="20"/>
        </w:rPr>
        <w:t>femto</w:t>
      </w:r>
      <w:proofErr w:type="spellEnd"/>
      <w:r>
        <w:rPr>
          <w:sz w:val="20"/>
          <w:szCs w:val="20"/>
        </w:rPr>
        <w:t xml:space="preserve">-moles used for each ligation reaction; </w:t>
      </w:r>
      <w:r>
        <w:rPr>
          <w:i/>
          <w:sz w:val="20"/>
          <w:szCs w:val="20"/>
        </w:rPr>
        <w:t>Mass</w:t>
      </w:r>
      <w:r>
        <w:rPr>
          <w:sz w:val="20"/>
          <w:szCs w:val="20"/>
        </w:rPr>
        <w:t xml:space="preserve">. specifies mass of each library loaded onto </w:t>
      </w:r>
      <w:proofErr w:type="spellStart"/>
      <w:r>
        <w:rPr>
          <w:sz w:val="20"/>
          <w:szCs w:val="20"/>
        </w:rPr>
        <w:t>PromethION</w:t>
      </w:r>
      <w:proofErr w:type="spellEnd"/>
      <w:r>
        <w:rPr>
          <w:sz w:val="20"/>
          <w:szCs w:val="20"/>
        </w:rPr>
        <w:t xml:space="preserve"> flow-cell; </w:t>
      </w:r>
      <w:proofErr w:type="spellStart"/>
      <w:r>
        <w:rPr>
          <w:i/>
          <w:sz w:val="20"/>
          <w:szCs w:val="20"/>
        </w:rPr>
        <w:t>Mol</w:t>
      </w:r>
      <w:proofErr w:type="spellEnd"/>
      <w:r>
        <w:rPr>
          <w:i/>
          <w:sz w:val="20"/>
          <w:szCs w:val="20"/>
        </w:rPr>
        <w:t xml:space="preserve"> seq</w:t>
      </w:r>
      <w:r>
        <w:rPr>
          <w:sz w:val="20"/>
          <w:szCs w:val="20"/>
        </w:rPr>
        <w:t xml:space="preserve">. specifies molarity of library loaded on flow cell in </w:t>
      </w:r>
      <w:proofErr w:type="spellStart"/>
      <w:r>
        <w:rPr>
          <w:sz w:val="20"/>
          <w:szCs w:val="20"/>
        </w:rPr>
        <w:t>fmol</w:t>
      </w:r>
      <w:proofErr w:type="spellEnd"/>
      <w:r>
        <w:rPr>
          <w:sz w:val="20"/>
          <w:szCs w:val="20"/>
        </w:rPr>
        <w:t xml:space="preserve">; *While loading a library onto </w:t>
      </w:r>
      <w:proofErr w:type="spellStart"/>
      <w:r>
        <w:rPr>
          <w:sz w:val="20"/>
          <w:szCs w:val="20"/>
        </w:rPr>
        <w:t>PromethION</w:t>
      </w:r>
      <w:proofErr w:type="spellEnd"/>
      <w:r>
        <w:rPr>
          <w:sz w:val="20"/>
          <w:szCs w:val="20"/>
        </w:rPr>
        <w:t xml:space="preserve"> flow cell an air bubble was introduced in one quadrant, causing decreased active pore numbers prior to sequencing.</w:t>
      </w:r>
    </w:p>
    <w:p w:rsidR="0046419F" w:rsidRDefault="0046419F">
      <w:pPr>
        <w:spacing w:after="160" w:line="259" w:lineRule="auto"/>
      </w:pPr>
      <w:r>
        <w:br w:type="page"/>
      </w:r>
    </w:p>
    <w:tbl>
      <w:tblPr>
        <w:tblW w:w="11640" w:type="dxa"/>
        <w:tblInd w:w="-3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900"/>
        <w:gridCol w:w="990"/>
        <w:gridCol w:w="900"/>
        <w:gridCol w:w="990"/>
        <w:gridCol w:w="810"/>
        <w:gridCol w:w="900"/>
        <w:gridCol w:w="990"/>
        <w:gridCol w:w="900"/>
        <w:gridCol w:w="990"/>
        <w:gridCol w:w="810"/>
        <w:gridCol w:w="810"/>
      </w:tblGrid>
      <w:tr w:rsidR="0046419F" w:rsidTr="000B1BEF">
        <w:trPr>
          <w:trHeight w:val="380"/>
        </w:trPr>
        <w:tc>
          <w:tcPr>
            <w:tcW w:w="11640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6419F" w:rsidRDefault="0046419F" w:rsidP="000B1BEF">
            <w:pPr>
              <w:widowControl w:val="0"/>
            </w:pPr>
            <w:r>
              <w:rPr>
                <w:b/>
                <w:sz w:val="26"/>
                <w:szCs w:val="26"/>
              </w:rPr>
              <w:lastRenderedPageBreak/>
              <w:t>Supplemental Table S2: number of variants identified per type, per dataset</w:t>
            </w:r>
          </w:p>
        </w:tc>
      </w:tr>
      <w:tr w:rsidR="0046419F" w:rsidTr="000B1BEF">
        <w:trPr>
          <w:trHeight w:val="400"/>
        </w:trPr>
        <w:tc>
          <w:tcPr>
            <w:tcW w:w="165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Variant type</w:t>
            </w:r>
          </w:p>
        </w:tc>
        <w:tc>
          <w:tcPr>
            <w:tcW w:w="2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minimap2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minimap2-pbsv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</w:t>
            </w:r>
          </w:p>
        </w:tc>
        <w:tc>
          <w:tcPr>
            <w:tcW w:w="351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3928DA" w:rsidP="000B1BEF">
            <w:pPr>
              <w:widowControl w:val="0"/>
              <w:spacing w:after="1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NGMLR</w:t>
            </w:r>
          </w:p>
        </w:tc>
      </w:tr>
      <w:tr w:rsidR="0046419F" w:rsidTr="000B1BEF">
        <w:trPr>
          <w:trHeight w:val="380"/>
        </w:trPr>
        <w:tc>
          <w:tcPr>
            <w:tcW w:w="165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</w:tr>
      <w:tr w:rsidR="0046419F" w:rsidTr="000B1BEF">
        <w:trPr>
          <w:trHeight w:val="3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37009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300252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252620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24268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71246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11177</w:t>
            </w:r>
          </w:p>
        </w:tc>
      </w:tr>
      <w:tr w:rsidR="0046419F" w:rsidTr="000B1BEF">
        <w:trPr>
          <w:trHeight w:val="3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11897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58946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47176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14837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17261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26956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10081</w:t>
            </w:r>
          </w:p>
        </w:tc>
      </w:tr>
      <w:tr w:rsidR="0046419F" w:rsidTr="000B1BEF">
        <w:trPr>
          <w:trHeight w:val="3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Duplication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32361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419F" w:rsidTr="000B1BEF">
        <w:trPr>
          <w:trHeight w:val="3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46419F" w:rsidTr="000B1BEF">
        <w:trPr>
          <w:trHeight w:val="3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Undetermined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8360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15144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Default="0046419F" w:rsidP="0046419F">
      <w:pPr>
        <w:sectPr w:rsidR="0046419F" w:rsidSect="000B1BE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40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800"/>
        <w:gridCol w:w="1710"/>
        <w:gridCol w:w="1215"/>
        <w:gridCol w:w="855"/>
        <w:gridCol w:w="1290"/>
      </w:tblGrid>
      <w:tr w:rsidR="0046419F" w:rsidTr="000B1BEF">
        <w:trPr>
          <w:trHeight w:val="380"/>
        </w:trPr>
        <w:tc>
          <w:tcPr>
            <w:tcW w:w="71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Supplemental Table S3: precision and recall</w:t>
            </w:r>
          </w:p>
          <w:p w:rsidR="0046419F" w:rsidRDefault="0046419F" w:rsidP="000B1BEF">
            <w:pPr>
              <w:widowControl w:val="0"/>
              <w:spacing w:after="160" w:line="240" w:lineRule="auto"/>
            </w:pPr>
            <w:r>
              <w:rPr>
                <w:sz w:val="20"/>
                <w:szCs w:val="20"/>
              </w:rPr>
              <w:t xml:space="preserve">Accuracy metrics of SVs as identified per aligner and variant caller, compared with the truth set </w:t>
            </w:r>
            <w:hyperlink r:id="rId7">
              <w:r>
                <w:rPr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color w:val="000000"/>
                  <w:sz w:val="20"/>
                  <w:szCs w:val="20"/>
                </w:rPr>
                <w:t>Chaisson</w:t>
              </w:r>
              <w:proofErr w:type="spellEnd"/>
              <w:r>
                <w:rPr>
                  <w:color w:val="000000"/>
                  <w:sz w:val="20"/>
                  <w:szCs w:val="20"/>
                </w:rPr>
                <w:t xml:space="preserve"> et al., 2018)</w:t>
              </w:r>
            </w:hyperlink>
            <w:r>
              <w:t>.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</w:pPr>
          </w:p>
        </w:tc>
      </w:tr>
      <w:tr w:rsidR="0046419F" w:rsidTr="000B1BEF">
        <w:trPr>
          <w:trHeight w:val="380"/>
        </w:trPr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Aligner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Call set</w:t>
            </w: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Recall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F-measure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 w:val="restart"/>
            <w:tcBorders>
              <w:bottom w:val="single" w:sz="8" w:space="0" w:color="000000"/>
            </w:tcBorders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PromethION</w:t>
            </w:r>
            <w:proofErr w:type="spellEnd"/>
          </w:p>
        </w:tc>
        <w:tc>
          <w:tcPr>
            <w:tcW w:w="1800" w:type="dxa"/>
            <w:vMerge w:val="restart"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3928DA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NGMLR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0.6417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0.6715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0.6562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0.7568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0.6579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0.7039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0.6124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0.7236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0.6634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0.4649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0.6292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0.5348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confidence 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0.8769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0.5237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0.6558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sensitivity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0.3851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0.774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0.5143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minimap2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0.6223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0.7023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0.6599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0.6859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0.6899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0.6879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0.6179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0.7272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0.6681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confidence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0.8215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0.6013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0.6944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sensitivity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0.5121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0.7693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0.6149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3928D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minimap2</w:t>
            </w:r>
            <w:r w:rsidR="003928D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pbsv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0.6144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0.7185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0.6624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0.6013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0.737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0.6623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0.6153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0.6775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0.6449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confidence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0.7902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0.6389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0.7065</w:t>
            </w:r>
          </w:p>
        </w:tc>
      </w:tr>
      <w:tr w:rsidR="0046419F" w:rsidTr="000B1BEF">
        <w:trPr>
          <w:trHeight w:val="40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sensitivity</w:t>
            </w:r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0.4635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0.7555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0.5745</w:t>
            </w:r>
          </w:p>
        </w:tc>
      </w:tr>
      <w:tr w:rsidR="0046419F" w:rsidTr="000B1BEF">
        <w:trPr>
          <w:trHeight w:val="380"/>
        </w:trPr>
        <w:tc>
          <w:tcPr>
            <w:tcW w:w="153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121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0.596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0.5859</w:t>
            </w:r>
          </w:p>
        </w:tc>
        <w:tc>
          <w:tcPr>
            <w:tcW w:w="12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0.5909</w:t>
            </w:r>
          </w:p>
        </w:tc>
      </w:tr>
      <w:tr w:rsidR="0046419F" w:rsidTr="000B1BEF">
        <w:trPr>
          <w:trHeight w:val="380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Illumina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3928DA" w:rsidP="003928DA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BWA-MEM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manta</w:t>
            </w: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</w:tr>
      <w:tr w:rsidR="0046419F" w:rsidTr="000B1BEF">
        <w:trPr>
          <w:trHeight w:val="38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3928DA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BWA-MEM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lumpy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Pr="000B1BEF" w:rsidRDefault="0046419F" w:rsidP="000B1BEF">
      <w:pPr>
        <w:pStyle w:val="NoSpacing"/>
        <w:rPr>
          <w:b/>
          <w:sz w:val="28"/>
        </w:rPr>
      </w:pPr>
      <w:r w:rsidRPr="000B1BEF">
        <w:rPr>
          <w:b/>
          <w:sz w:val="28"/>
        </w:rPr>
        <w:lastRenderedPageBreak/>
        <w:t xml:space="preserve">Supplemental table S4: F-measure of aligners and variant </w:t>
      </w:r>
      <w:proofErr w:type="gramStart"/>
      <w:r w:rsidRPr="000B1BEF">
        <w:rPr>
          <w:b/>
          <w:sz w:val="28"/>
        </w:rPr>
        <w:t>callers</w:t>
      </w:r>
      <w:proofErr w:type="gramEnd"/>
      <w:r w:rsidRPr="000B1BEF">
        <w:rPr>
          <w:b/>
          <w:sz w:val="28"/>
        </w:rPr>
        <w:t xml:space="preserve"> agnostic to SV type</w:t>
      </w:r>
    </w:p>
    <w:tbl>
      <w:tblPr>
        <w:tblW w:w="936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980"/>
        <w:gridCol w:w="1770"/>
        <w:gridCol w:w="1870"/>
        <w:gridCol w:w="1870"/>
        <w:gridCol w:w="1870"/>
      </w:tblGrid>
      <w:tr w:rsidR="0046419F" w:rsidTr="000B1BEF">
        <w:trPr>
          <w:trHeight w:val="420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</w:pP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structural variant caller</w:t>
            </w:r>
          </w:p>
        </w:tc>
      </w:tr>
      <w:tr w:rsidR="0046419F" w:rsidTr="000B1BEF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aligner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proofErr w:type="spellStart"/>
            <w:r>
              <w:t>NanoSV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Sniffles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proofErr w:type="spellStart"/>
            <w:r>
              <w:t>pbsv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SVIM</w:t>
            </w:r>
          </w:p>
        </w:tc>
      </w:tr>
      <w:tr w:rsidR="0046419F" w:rsidTr="000B1BEF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right"/>
            </w:pPr>
            <w:r>
              <w:t>LAST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0.70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</w:tr>
      <w:tr w:rsidR="0046419F" w:rsidTr="000B1BEF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3928DA" w:rsidP="000B1BEF">
            <w:pPr>
              <w:widowControl w:val="0"/>
              <w:spacing w:line="240" w:lineRule="auto"/>
              <w:jc w:val="right"/>
            </w:pPr>
            <w:r>
              <w:t>NGMLR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0.74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0.75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0.56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0.72</w:t>
            </w:r>
          </w:p>
        </w:tc>
      </w:tr>
      <w:tr w:rsidR="0046419F" w:rsidTr="000B1BEF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right"/>
            </w:pPr>
            <w:r>
              <w:t>minimap2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0.74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0.73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0.72</w:t>
            </w:r>
          </w:p>
        </w:tc>
      </w:tr>
      <w:tr w:rsidR="0046419F" w:rsidTr="000B1BEF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right"/>
            </w:pPr>
            <w:r>
              <w:t>minimap2-pbsv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0.74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0.68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0.72</w:t>
            </w:r>
          </w:p>
        </w:tc>
      </w:tr>
      <w:tr w:rsidR="0046419F" w:rsidTr="000B1BEF">
        <w:trPr>
          <w:trHeight w:val="420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NA: incompatible aligner or parameter settings for this structural variant caller</w:t>
            </w:r>
          </w:p>
        </w:tc>
      </w:tr>
    </w:tbl>
    <w:p w:rsidR="0046419F" w:rsidRDefault="0046419F" w:rsidP="0046419F"/>
    <w:p w:rsidR="0046419F" w:rsidRPr="000B1BEF" w:rsidRDefault="0046419F" w:rsidP="000B1BEF">
      <w:pPr>
        <w:pStyle w:val="NoSpacing"/>
        <w:rPr>
          <w:b/>
          <w:sz w:val="28"/>
        </w:rPr>
      </w:pPr>
      <w:r w:rsidRPr="000B1BEF">
        <w:rPr>
          <w:b/>
          <w:sz w:val="28"/>
        </w:rPr>
        <w:t>Supplemental Table S5: F-measure of aligners and variant callers limited to inversions</w:t>
      </w:r>
    </w:p>
    <w:tbl>
      <w:tblPr>
        <w:tblW w:w="936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46419F" w:rsidTr="000B1BEF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4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structural variant caller</w:t>
            </w:r>
          </w:p>
        </w:tc>
      </w:tr>
      <w:tr w:rsidR="0046419F" w:rsidTr="000B1BEF"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aligner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Sniffles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pbsv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SVIM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npInv</w:t>
            </w:r>
            <w:proofErr w:type="spellEnd"/>
          </w:p>
        </w:tc>
      </w:tr>
      <w:tr w:rsidR="0046419F" w:rsidTr="000B1BEF"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3928DA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NGMLR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0.16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0.23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0.22</w:t>
            </w:r>
          </w:p>
        </w:tc>
      </w:tr>
      <w:tr w:rsidR="0046419F" w:rsidTr="000B1BEF"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minimap2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0.17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0.21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0.24</w:t>
            </w:r>
          </w:p>
        </w:tc>
      </w:tr>
      <w:tr w:rsidR="0046419F" w:rsidTr="000B1BEF"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39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minimap2</w:t>
            </w:r>
            <w:r w:rsidR="003928DA">
              <w:t>-</w:t>
            </w:r>
            <w:r>
              <w:t>pbsv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0.31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0.22</w:t>
            </w:r>
          </w:p>
        </w:tc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0.21</w:t>
            </w:r>
          </w:p>
        </w:tc>
      </w:tr>
      <w:tr w:rsidR="0046419F" w:rsidTr="000B1BEF">
        <w:tc>
          <w:tcPr>
            <w:tcW w:w="936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NA: incompatible aligner or parameter settings for this structural variant caller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Pr="000B1BEF" w:rsidRDefault="0046419F" w:rsidP="000B1BEF">
      <w:pPr>
        <w:pStyle w:val="NoSpacing"/>
        <w:rPr>
          <w:b/>
          <w:sz w:val="24"/>
          <w:szCs w:val="20"/>
        </w:rPr>
      </w:pPr>
      <w:r w:rsidRPr="000B1BEF">
        <w:rPr>
          <w:b/>
          <w:sz w:val="28"/>
        </w:rPr>
        <w:lastRenderedPageBreak/>
        <w:t>Supplemental Table S6: F-measure of aligners and variant callers for gains and loss of sequence</w:t>
      </w:r>
    </w:p>
    <w:tbl>
      <w:tblPr>
        <w:tblW w:w="7545" w:type="dxa"/>
        <w:tblInd w:w="1915" w:type="dxa"/>
        <w:tblLayout w:type="fixed"/>
        <w:tblLook w:val="0600" w:firstRow="0" w:lastRow="0" w:firstColumn="0" w:lastColumn="0" w:noHBand="1" w:noVBand="1"/>
      </w:tblPr>
      <w:tblGrid>
        <w:gridCol w:w="1740"/>
        <w:gridCol w:w="1125"/>
        <w:gridCol w:w="2340"/>
        <w:gridCol w:w="2340"/>
      </w:tblGrid>
      <w:tr w:rsidR="0046419F" w:rsidTr="000B1BEF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aligner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 caller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F-measure gain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F-measure loss</w:t>
            </w:r>
          </w:p>
        </w:tc>
      </w:tr>
      <w:tr w:rsidR="0046419F" w:rsidTr="000B1BEF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minimap2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Default="0046419F" w:rsidP="0039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minimap2</w:t>
            </w:r>
            <w:r w:rsidR="003928D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pbsv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Default="003928DA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NGMLR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NanoSV</w:t>
            </w:r>
            <w:proofErr w:type="spellEnd"/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Sniffles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pbsv</w:t>
            </w:r>
            <w:proofErr w:type="spellEnd"/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</w:tr>
      <w:tr w:rsidR="0046419F" w:rsidTr="000B1BEF">
        <w:trPr>
          <w:trHeight w:val="400"/>
        </w:trPr>
        <w:tc>
          <w:tcPr>
            <w:tcW w:w="1740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SVIM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Pr="000B1BEF" w:rsidRDefault="0046419F" w:rsidP="000B1BEF">
      <w:pPr>
        <w:pStyle w:val="NoSpacing"/>
        <w:rPr>
          <w:b/>
          <w:sz w:val="28"/>
        </w:rPr>
      </w:pPr>
      <w:r w:rsidRPr="000B1BEF">
        <w:rPr>
          <w:b/>
          <w:sz w:val="28"/>
        </w:rPr>
        <w:lastRenderedPageBreak/>
        <w:t>Supplemental Table S7: F-measure of minimal support parameter testing</w:t>
      </w:r>
    </w:p>
    <w:p w:rsidR="0046419F" w:rsidRDefault="0046419F" w:rsidP="0046419F"/>
    <w:p w:rsidR="0046419F" w:rsidRDefault="0046419F" w:rsidP="0046419F"/>
    <w:tbl>
      <w:tblPr>
        <w:tblW w:w="387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250"/>
        <w:gridCol w:w="1620"/>
      </w:tblGrid>
      <w:tr w:rsidR="0046419F" w:rsidTr="000B1BEF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Minimal support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F-measure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0.6733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0.7029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0.7127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0.7149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0.7066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0.6788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35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0.6166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40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0.5272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45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0.4511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50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0.4026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55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0.3711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60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0.3378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65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0.2915</w:t>
            </w:r>
          </w:p>
        </w:tc>
      </w:tr>
      <w:tr w:rsidR="0046419F" w:rsidTr="000B1BEF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70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spacing w:line="240" w:lineRule="auto"/>
              <w:jc w:val="center"/>
            </w:pPr>
            <w:r>
              <w:t>0.2299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Pr="000B1BEF" w:rsidRDefault="0046419F" w:rsidP="000B1BEF">
      <w:pPr>
        <w:pStyle w:val="NoSpacing"/>
        <w:rPr>
          <w:b/>
          <w:sz w:val="28"/>
        </w:rPr>
      </w:pPr>
      <w:r w:rsidRPr="000B1BEF">
        <w:rPr>
          <w:b/>
          <w:sz w:val="28"/>
        </w:rPr>
        <w:lastRenderedPageBreak/>
        <w:t>Supplemental table S8: accession IDs</w:t>
      </w:r>
    </w:p>
    <w:tbl>
      <w:tblPr>
        <w:tblW w:w="75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5"/>
        <w:gridCol w:w="35"/>
        <w:gridCol w:w="1620"/>
        <w:gridCol w:w="10"/>
        <w:gridCol w:w="2150"/>
        <w:gridCol w:w="10"/>
        <w:gridCol w:w="2060"/>
        <w:gridCol w:w="10"/>
      </w:tblGrid>
      <w:tr w:rsidR="0046419F" w:rsidTr="000B1BEF">
        <w:tc>
          <w:tcPr>
            <w:tcW w:w="1675" w:type="dxa"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Library identifier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ENA accession </w:t>
            </w:r>
            <w:proofErr w:type="spellStart"/>
            <w:r>
              <w:rPr>
                <w:sz w:val="20"/>
                <w:szCs w:val="20"/>
                <w:u w:val="single"/>
              </w:rPr>
              <w:t>fastq</w:t>
            </w:r>
            <w:proofErr w:type="spellEnd"/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ENA accession fast5</w:t>
            </w:r>
          </w:p>
        </w:tc>
      </w:tr>
      <w:tr w:rsidR="0046419F" w:rsidTr="000B1BEF">
        <w:tc>
          <w:tcPr>
            <w:tcW w:w="1675" w:type="dxa"/>
            <w:vMerge w:val="restart"/>
            <w:vAlign w:val="center"/>
          </w:tcPr>
          <w:p w:rsidR="0046419F" w:rsidRPr="00C3567E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3567E">
              <w:rPr>
                <w:b/>
                <w:sz w:val="24"/>
                <w:szCs w:val="24"/>
              </w:rPr>
              <w:t>Read data</w:t>
            </w: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P1-N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ERR3219853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ERR3046934</w:t>
            </w:r>
          </w:p>
        </w:tc>
      </w:tr>
      <w:tr w:rsidR="0046419F" w:rsidTr="000B1BEF">
        <w:tc>
          <w:tcPr>
            <w:tcW w:w="1675" w:type="dxa"/>
            <w:vMerge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P2-S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ERR3219854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ERR3046935</w:t>
            </w:r>
          </w:p>
        </w:tc>
      </w:tr>
      <w:tr w:rsidR="0046419F" w:rsidTr="000B1BEF">
        <w:tc>
          <w:tcPr>
            <w:tcW w:w="1675" w:type="dxa"/>
            <w:vMerge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P3-N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ERR3219855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ERR3046936</w:t>
            </w:r>
          </w:p>
        </w:tc>
      </w:tr>
      <w:tr w:rsidR="0046419F" w:rsidTr="000B1BEF">
        <w:tc>
          <w:tcPr>
            <w:tcW w:w="1675" w:type="dxa"/>
            <w:vMerge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P4-N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ERR3219856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ERR3046937</w:t>
            </w:r>
          </w:p>
        </w:tc>
      </w:tr>
      <w:tr w:rsidR="0046419F" w:rsidTr="000B1BEF">
        <w:trPr>
          <w:trHeight w:val="213"/>
        </w:trPr>
        <w:tc>
          <w:tcPr>
            <w:tcW w:w="1675" w:type="dxa"/>
            <w:vMerge/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P5-S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ERR3219857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Default="0046419F" w:rsidP="000B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ERR3046938</w:t>
            </w:r>
          </w:p>
        </w:tc>
      </w:tr>
      <w:tr w:rsidR="0046419F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</w:tcPr>
          <w:p w:rsidR="0046419F" w:rsidRDefault="0046419F" w:rsidP="000B1BEF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Pr="00C3567E" w:rsidRDefault="0046419F" w:rsidP="000B1BEF">
            <w:pPr>
              <w:widowControl w:val="0"/>
              <w:spacing w:line="240" w:lineRule="auto"/>
            </w:pPr>
            <w:r w:rsidRPr="00C3567E">
              <w:t>Aligner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19F" w:rsidRPr="00C3567E" w:rsidRDefault="0046419F" w:rsidP="000B1BEF">
            <w:pPr>
              <w:widowControl w:val="0"/>
              <w:spacing w:line="240" w:lineRule="auto"/>
            </w:pPr>
            <w:r w:rsidRPr="00C3567E">
              <w:t>SV caller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9F" w:rsidRPr="00C3567E" w:rsidRDefault="0046419F" w:rsidP="000B1BEF">
            <w:pPr>
              <w:widowControl w:val="0"/>
              <w:spacing w:line="240" w:lineRule="auto"/>
            </w:pPr>
            <w:r w:rsidRPr="00C3567E">
              <w:t>EVA accession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 w:val="restart"/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Variant data</w:t>
            </w:r>
          </w:p>
        </w:tc>
        <w:tc>
          <w:tcPr>
            <w:tcW w:w="16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  <w:r>
              <w:t>minimap2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r>
              <w:t>Sniffles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ERZ858036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NanoSV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ERZ858031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r>
              <w:t>SVIM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ERZ858023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npInv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ERZ858024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40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  <w:r>
              <w:t>minimap2-pbsv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pbsv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ERZ858025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40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r>
              <w:t>SVIM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ERZ858032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40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NanoSV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ERZ858029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40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npInv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ERZ858028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16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3928DA" w:rsidP="008F7ED5">
            <w:pPr>
              <w:widowControl w:val="0"/>
              <w:spacing w:line="240" w:lineRule="auto"/>
              <w:jc w:val="right"/>
            </w:pPr>
            <w:r>
              <w:t>NGMLR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r>
              <w:t>Sniffles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ERZ858027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NanoSV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ERZ858026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pbsv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ERZ858030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r>
              <w:t>SVIM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ERZ858035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16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jc w:val="right"/>
            </w:pP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npInv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ERZ858034</w:t>
            </w:r>
          </w:p>
        </w:tc>
      </w:tr>
      <w:tr w:rsidR="008F7ED5" w:rsidTr="000B1BEF">
        <w:tblPrEx>
          <w:tblLook w:val="0400" w:firstRow="0" w:lastRow="0" w:firstColumn="0" w:lastColumn="0" w:noHBand="0" w:noVBand="1"/>
        </w:tblPrEx>
        <w:trPr>
          <w:gridAfter w:val="1"/>
          <w:wAfter w:w="10" w:type="dxa"/>
          <w:trHeight w:val="340"/>
        </w:trPr>
        <w:tc>
          <w:tcPr>
            <w:tcW w:w="1710" w:type="dxa"/>
            <w:gridSpan w:val="2"/>
            <w:vMerge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</w:p>
        </w:tc>
        <w:tc>
          <w:tcPr>
            <w:tcW w:w="1620" w:type="dxa"/>
            <w:vAlign w:val="center"/>
          </w:tcPr>
          <w:p w:rsidR="008F7ED5" w:rsidRDefault="008F7ED5" w:rsidP="008F7ED5">
            <w:pPr>
              <w:widowControl w:val="0"/>
              <w:spacing w:line="240" w:lineRule="auto"/>
              <w:jc w:val="right"/>
            </w:pPr>
            <w:r>
              <w:t>LAST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Default="008F7ED5" w:rsidP="008F7ED5">
            <w:pPr>
              <w:widowControl w:val="0"/>
              <w:spacing w:line="240" w:lineRule="auto"/>
            </w:pPr>
            <w:proofErr w:type="spellStart"/>
            <w:r>
              <w:t>NanoSV</w:t>
            </w:r>
            <w:proofErr w:type="spellEnd"/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D5" w:rsidRPr="00C3701D" w:rsidRDefault="008F7ED5" w:rsidP="008F7ED5">
            <w:pPr>
              <w:widowControl w:val="0"/>
              <w:spacing w:line="240" w:lineRule="auto"/>
            </w:pPr>
            <w:r w:rsidRPr="00C3701D">
              <w:rPr>
                <w:color w:val="212121"/>
                <w:shd w:val="clear" w:color="auto" w:fill="FFFFFF"/>
              </w:rPr>
              <w:t>ERZ858033</w:t>
            </w:r>
          </w:p>
        </w:tc>
      </w:tr>
    </w:tbl>
    <w:p w:rsidR="0046419F" w:rsidRDefault="0046419F" w:rsidP="0046419F"/>
    <w:p w:rsidR="0046419F" w:rsidRDefault="0046419F">
      <w:pPr>
        <w:spacing w:after="160" w:line="259" w:lineRule="auto"/>
      </w:pPr>
      <w:r>
        <w:br w:type="page"/>
      </w:r>
    </w:p>
    <w:p w:rsidR="0046419F" w:rsidRDefault="0046419F" w:rsidP="0046419F">
      <w:pPr>
        <w:pStyle w:val="Heading2"/>
      </w:pPr>
      <w:bookmarkStart w:id="4" w:name="_Toc10467493"/>
      <w:r>
        <w:lastRenderedPageBreak/>
        <w:t xml:space="preserve">Supplemental </w:t>
      </w:r>
      <w:r w:rsidR="000B1BEF">
        <w:t>F</w:t>
      </w:r>
      <w:r>
        <w:t>igures</w:t>
      </w:r>
      <w:bookmarkEnd w:id="4"/>
    </w:p>
    <w:tbl>
      <w:tblPr>
        <w:tblW w:w="79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995"/>
      </w:tblGrid>
      <w:tr w:rsidR="0046419F" w:rsidTr="000B1BEF">
        <w:trPr>
          <w:jc w:val="center"/>
        </w:trPr>
        <w:tc>
          <w:tcPr>
            <w:tcW w:w="7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spacing w:after="160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242CA69" wp14:editId="075C11EA">
                  <wp:extent cx="4953000" cy="39116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391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0B1BEF">
        <w:trPr>
          <w:jc w:val="center"/>
        </w:trPr>
        <w:tc>
          <w:tcPr>
            <w:tcW w:w="7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 xml:space="preserve">Supplemental figure S1: throughput in </w:t>
            </w:r>
            <w:proofErr w:type="spellStart"/>
            <w:r>
              <w:rPr>
                <w:b/>
                <w:sz w:val="26"/>
                <w:szCs w:val="26"/>
              </w:rPr>
              <w:t>gigabases</w:t>
            </w:r>
            <w:proofErr w:type="spellEnd"/>
            <w:r>
              <w:rPr>
                <w:b/>
                <w:sz w:val="26"/>
                <w:szCs w:val="26"/>
              </w:rPr>
              <w:t xml:space="preserve"> per library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0"/>
                <w:szCs w:val="20"/>
              </w:rPr>
              <w:t xml:space="preserve">P: </w:t>
            </w:r>
            <w:proofErr w:type="spellStart"/>
            <w:r>
              <w:rPr>
                <w:sz w:val="20"/>
                <w:szCs w:val="20"/>
              </w:rPr>
              <w:t>PromethION</w:t>
            </w:r>
            <w:proofErr w:type="spellEnd"/>
            <w:r>
              <w:rPr>
                <w:sz w:val="20"/>
                <w:szCs w:val="20"/>
              </w:rPr>
              <w:t xml:space="preserve">; M: </w:t>
            </w:r>
            <w:proofErr w:type="spellStart"/>
            <w:r>
              <w:rPr>
                <w:sz w:val="20"/>
                <w:szCs w:val="20"/>
              </w:rPr>
              <w:t>MinION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>N: non-sheared/native; S: sheared before library preparation</w:t>
            </w:r>
          </w:p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</w:p>
        </w:tc>
      </w:tr>
    </w:tbl>
    <w:p w:rsidR="0046419F" w:rsidRDefault="0046419F" w:rsidP="0046419F">
      <w:pPr>
        <w:pStyle w:val="Heading1"/>
        <w:rPr>
          <w:sz w:val="22"/>
          <w:szCs w:val="22"/>
        </w:rPr>
      </w:pPr>
      <w:bookmarkStart w:id="5" w:name="_3znysh7" w:colFirst="0" w:colLast="0"/>
      <w:bookmarkEnd w:id="5"/>
      <w:r>
        <w:br w:type="page"/>
      </w:r>
    </w:p>
    <w:tbl>
      <w:tblPr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6419F" w:rsidTr="000B1BEF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BD442A" w:rsidP="000B1BEF">
            <w:pPr>
              <w:spacing w:after="160"/>
              <w:jc w:val="center"/>
            </w:pPr>
            <w:r>
              <w:rPr>
                <w:noProof/>
                <w:lang w:val="en-US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6.5pt;height:187.5pt">
                  <v:imagedata r:id="rId9" o:title="Supplemental_Figure_S2" cropbottom="29685f" cropright="3009f"/>
                </v:shape>
              </w:pict>
            </w:r>
          </w:p>
        </w:tc>
      </w:tr>
      <w:tr w:rsidR="0046419F" w:rsidTr="000B1BEF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</w:pPr>
            <w:r>
              <w:rPr>
                <w:b/>
                <w:sz w:val="26"/>
                <w:szCs w:val="26"/>
              </w:rPr>
              <w:t>Supplemental figure S2: Read depth distribution</w:t>
            </w:r>
          </w:p>
          <w:p w:rsidR="0046419F" w:rsidRDefault="0046419F" w:rsidP="003928DA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t xml:space="preserve">Read depth calculated using mosdepth for NA19240 PromethION datasets after alignment with LAST, mimimap2 with two parameter settings and </w:t>
            </w:r>
            <w:r w:rsidR="003928DA">
              <w:t>NGMLR</w:t>
            </w:r>
            <w:r>
              <w:t>. Shows the proportion of the reference genome covered at least by a certain number of reads.</w:t>
            </w:r>
          </w:p>
        </w:tc>
      </w:tr>
    </w:tbl>
    <w:p w:rsidR="0046419F" w:rsidRDefault="0046419F" w:rsidP="0046419F">
      <w:pPr>
        <w:widowControl w:val="0"/>
        <w:rPr>
          <w:sz w:val="20"/>
          <w:szCs w:val="20"/>
        </w:rPr>
      </w:pPr>
      <w:r>
        <w:br w:type="page"/>
      </w:r>
    </w:p>
    <w:p w:rsidR="0046419F" w:rsidRDefault="0046419F" w:rsidP="0046419F">
      <w:pPr>
        <w:spacing w:after="160"/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46419F" w:rsidTr="000B1BEF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19F" w:rsidRDefault="0046419F" w:rsidP="000B1BEF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6CD4C391" wp14:editId="395F8D62">
                  <wp:extent cx="5267325" cy="3949700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94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0B1BEF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19F" w:rsidRDefault="0046419F" w:rsidP="000B1BEF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Supplemental Figure S3: Precision recall evaluation of inversions</w:t>
            </w:r>
          </w:p>
          <w:p w:rsidR="0046419F" w:rsidRDefault="0046419F" w:rsidP="000B1BEF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t>Precision and recall for inversions separately were evaluated for all call sets. Symbols indicate aligners, colors indicate variant callers.</w:t>
            </w:r>
          </w:p>
        </w:tc>
      </w:tr>
    </w:tbl>
    <w:p w:rsidR="0046419F" w:rsidRDefault="0046419F" w:rsidP="0046419F">
      <w:pPr>
        <w:widowControl w:val="0"/>
        <w:spacing w:line="240" w:lineRule="auto"/>
        <w:jc w:val="both"/>
        <w:rPr>
          <w:b/>
          <w:sz w:val="26"/>
          <w:szCs w:val="26"/>
        </w:rPr>
      </w:pPr>
    </w:p>
    <w:p w:rsidR="0046419F" w:rsidRDefault="0046419F" w:rsidP="0046419F">
      <w:pPr>
        <w:spacing w:after="160"/>
        <w:rPr>
          <w:b/>
          <w:sz w:val="26"/>
          <w:szCs w:val="26"/>
        </w:rPr>
      </w:pPr>
      <w:bookmarkStart w:id="6" w:name="_tyjcwt" w:colFirst="0" w:colLast="0"/>
      <w:bookmarkEnd w:id="6"/>
    </w:p>
    <w:p w:rsidR="0046419F" w:rsidRDefault="0046419F" w:rsidP="0046419F">
      <w:pPr>
        <w:pStyle w:val="NoSpacing"/>
      </w:pPr>
      <w:bookmarkStart w:id="7" w:name="_1t3h5sf" w:colFirst="0" w:colLast="0"/>
      <w:bookmarkEnd w:id="7"/>
    </w:p>
    <w:tbl>
      <w:tblPr>
        <w:tblW w:w="80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025"/>
      </w:tblGrid>
      <w:tr w:rsidR="0046419F" w:rsidTr="000B1BEF">
        <w:trPr>
          <w:jc w:val="center"/>
        </w:trPr>
        <w:tc>
          <w:tcPr>
            <w:tcW w:w="8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40"/>
                <w:szCs w:val="40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12700" distL="0" distR="9525" wp14:anchorId="21BFBE3F" wp14:editId="53F241F7">
                  <wp:extent cx="4962525" cy="372110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372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0B1BEF">
        <w:trPr>
          <w:jc w:val="center"/>
        </w:trPr>
        <w:tc>
          <w:tcPr>
            <w:tcW w:w="8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Supplemental figure S4: length of identified SVs</w:t>
            </w:r>
          </w:p>
          <w:p w:rsidR="0046419F" w:rsidRDefault="0046419F" w:rsidP="003928DA">
            <w:pPr>
              <w:widowControl w:val="0"/>
              <w:spacing w:after="160" w:line="240" w:lineRule="auto"/>
              <w:jc w:val="both"/>
              <w:rPr>
                <w:sz w:val="20"/>
                <w:szCs w:val="20"/>
              </w:rPr>
            </w:pPr>
            <w:r>
              <w:t xml:space="preserve">SVs identified using Manta after </w:t>
            </w:r>
            <w:r w:rsidR="003928DA">
              <w:t>BWA-MEM</w:t>
            </w:r>
            <w:r>
              <w:t xml:space="preserve"> alignment, compared to the truth set. The upper panel shows variants up to 2kb, the lower up to 20kb and uses a log transformation of the number of variants for visualization purposes.</w:t>
            </w:r>
          </w:p>
        </w:tc>
      </w:tr>
    </w:tbl>
    <w:p w:rsidR="0046419F" w:rsidRDefault="0046419F" w:rsidP="0046419F">
      <w:pPr>
        <w:pStyle w:val="NoSpacing"/>
      </w:pPr>
      <w:bookmarkStart w:id="8" w:name="_9xx0td1zlr0z" w:colFirst="0" w:colLast="0"/>
      <w:bookmarkEnd w:id="8"/>
    </w:p>
    <w:p w:rsidR="0046419F" w:rsidRDefault="0046419F">
      <w:pPr>
        <w:spacing w:after="160" w:line="259" w:lineRule="auto"/>
      </w:pPr>
      <w:bookmarkStart w:id="9" w:name="_ayo3kwm2mdv" w:colFirst="0" w:colLast="0"/>
      <w:bookmarkEnd w:id="9"/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6419F" w:rsidTr="0046419F">
        <w:tc>
          <w:tcPr>
            <w:tcW w:w="9350" w:type="dxa"/>
          </w:tcPr>
          <w:p w:rsidR="0046419F" w:rsidRDefault="0046419F" w:rsidP="0046419F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7E6D1B93" wp14:editId="3AC7C692">
                  <wp:extent cx="7443790" cy="3338512"/>
                  <wp:effectExtent l="0" t="4763" r="318" b="317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48" r="1199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13927" cy="3369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46419F">
        <w:tc>
          <w:tcPr>
            <w:tcW w:w="9350" w:type="dxa"/>
          </w:tcPr>
          <w:p w:rsidR="0046419F" w:rsidRDefault="0046419F" w:rsidP="000B1BEF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Supplemental Figure S5: UpSet plot of SV calls after </w:t>
            </w:r>
            <w:r w:rsidR="003928DA">
              <w:rPr>
                <w:b/>
                <w:sz w:val="26"/>
                <w:szCs w:val="26"/>
              </w:rPr>
              <w:t>NGMLR</w:t>
            </w:r>
            <w:r>
              <w:rPr>
                <w:b/>
                <w:sz w:val="26"/>
                <w:szCs w:val="26"/>
              </w:rPr>
              <w:t xml:space="preserve"> alignment</w:t>
            </w:r>
          </w:p>
          <w:p w:rsidR="0046419F" w:rsidRDefault="0046419F" w:rsidP="003928DA">
            <w:bookmarkStart w:id="10" w:name="_2et92p0" w:colFirst="0" w:colLast="0"/>
            <w:bookmarkEnd w:id="10"/>
            <w:r>
              <w:rPr>
                <w:sz w:val="20"/>
                <w:szCs w:val="20"/>
              </w:rPr>
              <w:t xml:space="preserve">Showing the overlap between structural variants identified by the variant callers after </w:t>
            </w:r>
            <w:r w:rsidR="003928DA">
              <w:rPr>
                <w:sz w:val="20"/>
                <w:szCs w:val="20"/>
              </w:rPr>
              <w:t>NGMLR</w:t>
            </w:r>
            <w:r>
              <w:rPr>
                <w:sz w:val="20"/>
                <w:szCs w:val="20"/>
              </w:rPr>
              <w:t xml:space="preserve"> alignment and the truth set by Chaisson et al. 2018. A substantial proportion of variants shared by the variant callers is absent from the truth set.</w:t>
            </w:r>
          </w:p>
        </w:tc>
      </w:tr>
    </w:tbl>
    <w:tbl>
      <w:tblPr>
        <w:tblW w:w="7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335"/>
      </w:tblGrid>
      <w:tr w:rsidR="0046419F" w:rsidTr="000B1BEF">
        <w:trPr>
          <w:jc w:val="center"/>
        </w:trPr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jc w:val="center"/>
              <w:rPr>
                <w:sz w:val="40"/>
                <w:szCs w:val="40"/>
              </w:rPr>
            </w:pPr>
            <w:bookmarkStart w:id="11" w:name="_4d34og8" w:colFirst="0" w:colLast="0"/>
            <w:bookmarkEnd w:id="11"/>
            <w:r>
              <w:rPr>
                <w:noProof/>
                <w:lang w:val="en-US"/>
              </w:rPr>
              <w:lastRenderedPageBreak/>
              <w:drawing>
                <wp:inline distT="0" distB="5080" distL="0" distR="12700" wp14:anchorId="008E674B" wp14:editId="721D50DB">
                  <wp:extent cx="3892550" cy="289052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l="1842" t="2196" r="1569" b="1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0" cy="289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0B1BEF">
        <w:trPr>
          <w:trHeight w:val="2280"/>
          <w:jc w:val="center"/>
        </w:trPr>
        <w:tc>
          <w:tcPr>
            <w:tcW w:w="7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</w:pPr>
            <w:r>
              <w:rPr>
                <w:b/>
                <w:sz w:val="26"/>
                <w:szCs w:val="26"/>
              </w:rPr>
              <w:t xml:space="preserve">Supplemental figure S6: length of identified SVs in the truth set </w:t>
            </w:r>
            <w:r>
              <w:t>The upper panel shows variants up to 2kb, the lower up to 20kb and uses a log transformation of the number of variants for visualization purposes.</w:t>
            </w:r>
          </w:p>
        </w:tc>
      </w:tr>
    </w:tbl>
    <w:p w:rsidR="0046419F" w:rsidRDefault="0046419F" w:rsidP="0046419F">
      <w:pPr>
        <w:pStyle w:val="NoSpacing"/>
      </w:pPr>
      <w:bookmarkStart w:id="12" w:name="_q11xv5ocqnlb" w:colFirst="0" w:colLast="0"/>
      <w:bookmarkEnd w:id="12"/>
    </w:p>
    <w:tbl>
      <w:tblPr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6419F" w:rsidTr="000B1BEF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 wp14:anchorId="69B3CCA1" wp14:editId="31BE3799">
                  <wp:extent cx="5595938" cy="6279054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2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938" cy="6279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19F" w:rsidTr="000B1BEF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46419F" w:rsidRDefault="0046419F" w:rsidP="000B1BEF">
            <w:pPr>
              <w:widowControl w:val="0"/>
              <w:spacing w:after="160" w:line="240" w:lineRule="auto"/>
              <w:rPr>
                <w:b/>
              </w:rPr>
            </w:pPr>
            <w:r>
              <w:rPr>
                <w:b/>
                <w:sz w:val="26"/>
                <w:szCs w:val="26"/>
              </w:rPr>
              <w:t>Supplemental Figure S7: Graphical representation of a workflow</w:t>
            </w:r>
          </w:p>
          <w:p w:rsidR="0046419F" w:rsidRDefault="0046419F" w:rsidP="000B1BEF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>
              <w:t>Snakemake rule graph visualized using Graphviz, for minimap2 alignment. This graph shows the tools (rules) which are used sequentially to obtain the end result of annotated structural variants and visualizations.</w:t>
            </w:r>
          </w:p>
        </w:tc>
      </w:tr>
    </w:tbl>
    <w:p w:rsidR="000B1BEF" w:rsidRDefault="000B1BEF" w:rsidP="0046419F">
      <w:bookmarkStart w:id="13" w:name="_1sg75vmwsh1l" w:colFirst="0" w:colLast="0"/>
      <w:bookmarkEnd w:id="13"/>
    </w:p>
    <w:p w:rsidR="000B1BEF" w:rsidRDefault="000B1BEF" w:rsidP="000B1BEF">
      <w:r>
        <w:br w:type="page"/>
      </w:r>
    </w:p>
    <w:p w:rsidR="00E27DE8" w:rsidRDefault="000B1BEF" w:rsidP="00397994">
      <w:pPr>
        <w:pStyle w:val="Heading2"/>
      </w:pPr>
      <w:bookmarkStart w:id="14" w:name="_Toc10467494"/>
      <w:r>
        <w:lastRenderedPageBreak/>
        <w:t xml:space="preserve">Supplemental </w:t>
      </w:r>
      <w:r w:rsidR="00397994">
        <w:t>Code</w:t>
      </w:r>
      <w:bookmarkEnd w:id="14"/>
    </w:p>
    <w:p w:rsidR="00BD442A" w:rsidRPr="00397994" w:rsidRDefault="00BD442A" w:rsidP="00397994">
      <w:bookmarkStart w:id="15" w:name="_GoBack"/>
      <w:bookmarkEnd w:id="15"/>
      <w:r>
        <w:t xml:space="preserve">All </w:t>
      </w:r>
      <w:r>
        <w:t xml:space="preserve">Python </w:t>
      </w:r>
      <w:r>
        <w:t xml:space="preserve">scripts for evaluation and plotting of our results are available on </w:t>
      </w:r>
      <w:r>
        <w:t>h</w:t>
      </w:r>
      <w:r>
        <w:t>ttps://github.com/wdecoster/nano-snakemake/ and https://github.com/wdecoster/surpyvor and as Supplemental Code.</w:t>
      </w:r>
    </w:p>
    <w:sectPr w:rsidR="00BD442A" w:rsidRPr="00397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9F"/>
    <w:rsid w:val="000B1BEF"/>
    <w:rsid w:val="003928DA"/>
    <w:rsid w:val="00397994"/>
    <w:rsid w:val="003E2CCF"/>
    <w:rsid w:val="0046419F"/>
    <w:rsid w:val="005537CB"/>
    <w:rsid w:val="008F7ED5"/>
    <w:rsid w:val="00BD442A"/>
    <w:rsid w:val="00CE357E"/>
    <w:rsid w:val="00E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3170FA9-58B3-424A-A064-47B0D56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419F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rsid w:val="004641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4641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19F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46419F"/>
    <w:rPr>
      <w:rFonts w:ascii="Arial" w:eastAsia="Arial" w:hAnsi="Arial" w:cs="Arial"/>
      <w:sz w:val="32"/>
      <w:szCs w:val="32"/>
      <w:lang w:val="en"/>
    </w:rPr>
  </w:style>
  <w:style w:type="paragraph" w:styleId="NoSpacing">
    <w:name w:val="No Spacing"/>
    <w:uiPriority w:val="1"/>
    <w:qFormat/>
    <w:rsid w:val="0046419F"/>
    <w:pPr>
      <w:spacing w:after="0" w:line="240" w:lineRule="auto"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6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0B1BE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1B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1BE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B1BE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1BE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EF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0B1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  <w:style w:type="paragraph" w:styleId="TOC3">
    <w:name w:val="toc 3"/>
    <w:basedOn w:val="Normal"/>
    <w:next w:val="Normal"/>
    <w:autoRedefine/>
    <w:uiPriority w:val="39"/>
    <w:unhideWhenUsed/>
    <w:rsid w:val="000B1B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paperpile.com/c/7zuFMX/lTyzY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aperpile.com/c/7zuFMX/Eauv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aperpile.com/c/7zuFMX/Joq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EDB3-320C-4718-BC19-7CF7EB33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</dc:creator>
  <cp:keywords/>
  <dc:description/>
  <cp:lastModifiedBy>neuro</cp:lastModifiedBy>
  <cp:revision>7</cp:revision>
  <dcterms:created xsi:type="dcterms:W3CDTF">2019-03-28T12:48:00Z</dcterms:created>
  <dcterms:modified xsi:type="dcterms:W3CDTF">2019-06-04T06:56:00Z</dcterms:modified>
</cp:coreProperties>
</file>