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Supplemental Materials</w:t>
      </w:r>
    </w:p>
    <w:p w:rsidR="00000000" w:rsidDel="00000000" w:rsidP="00000000" w:rsidRDefault="00000000" w:rsidRPr="00000000" w14:paraId="00000002">
      <w:pPr>
        <w:spacing w:line="48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rPr/>
      </w:pPr>
      <w:r w:rsidDel="00000000" w:rsidR="00000000" w:rsidRPr="00000000">
        <w:rPr>
          <w:b w:val="1"/>
          <w:rtl w:val="0"/>
        </w:rPr>
        <w:t xml:space="preserve">Table S1</w:t>
      </w:r>
      <w:r w:rsidDel="00000000" w:rsidR="00000000" w:rsidRPr="00000000">
        <w:rPr>
          <w:rtl w:val="0"/>
        </w:rPr>
        <w:t xml:space="preserve">. Missense disease panel variants. All missense clinical sequencing variants from cardiomyopathy, epilepsy, and rasopathies are included with hg19 coordinates. Each variant has an associated disease and pathogenicity (V for VUS, B for benign, and P for pathogenic).</w:t>
      </w:r>
    </w:p>
    <w:p w:rsidR="00000000" w:rsidDel="00000000" w:rsidP="00000000" w:rsidRDefault="00000000" w:rsidRPr="00000000" w14:paraId="00000004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rPr/>
      </w:pPr>
      <w:r w:rsidDel="00000000" w:rsidR="00000000" w:rsidRPr="00000000">
        <w:rPr>
          <w:b w:val="1"/>
          <w:rtl w:val="0"/>
        </w:rPr>
        <w:t xml:space="preserve">Table S2</w:t>
      </w:r>
      <w:r w:rsidDel="00000000" w:rsidR="00000000" w:rsidRPr="00000000">
        <w:rPr>
          <w:rtl w:val="0"/>
        </w:rPr>
        <w:t xml:space="preserve">. Disease panel gene predictions. Every possible missense variant for disease panel genes is listed with predictions from each disease panel classifier. The pathopredictor_class column holds the predicted pathogenicity (1 for pathogenic, and 0 for benign). The pathopredictor_score column holds the prediction score yielded by the model. This score ranges from 0 (most benign) to 1 (most pathogenic).</w:t>
      </w:r>
    </w:p>
    <w:p w:rsidR="00000000" w:rsidDel="00000000" w:rsidP="00000000" w:rsidRDefault="00000000" w:rsidRPr="00000000" w14:paraId="00000006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rPr/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Supplemental Code</w:t>
      </w:r>
      <w:r w:rsidDel="00000000" w:rsidR="00000000" w:rsidRPr="00000000">
        <w:rPr>
          <w:color w:val="222222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  <w:t xml:space="preserve">Source code for this manuscript is included as a Snakemake workflow and associated scripts. This code is maintained at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https://github.com/samesense/pathopredictor</w:t>
        </w:r>
      </w:hyperlink>
      <w:r w:rsidDel="00000000" w:rsidR="00000000" w:rsidRPr="00000000">
        <w:rPr>
          <w:rtl w:val="0"/>
        </w:rPr>
        <w:t xml:space="preserve">. A docker image for running PathoPredictor is available at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https://hub.docker.com/r/samesense/pathopredictor/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samesense/pathopredictor" TargetMode="External"/><Relationship Id="rId7" Type="http://schemas.openxmlformats.org/officeDocument/2006/relationships/hyperlink" Target="https://hub.docker.com/r/samesense/pathopredic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