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5"/>
        <w:gridCol w:w="1290"/>
        <w:gridCol w:w="1365"/>
        <w:gridCol w:w="1065"/>
        <w:gridCol w:w="1665"/>
        <w:gridCol w:w="1140"/>
        <w:gridCol w:w="1155"/>
        <w:tblGridChange w:id="0">
          <w:tblGrid>
            <w:gridCol w:w="1425"/>
            <w:gridCol w:w="1290"/>
            <w:gridCol w:w="1365"/>
            <w:gridCol w:w="1065"/>
            <w:gridCol w:w="1665"/>
            <w:gridCol w:w="1140"/>
            <w:gridCol w:w="1155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phylum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#plasmids 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(test dataset)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#chromosome chunks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(test dataset)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#plasmids (training dataset) 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#chromosome chunks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(training dataset)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False Negatives, %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False Positives, %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Firmicutes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2,258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57,631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7,302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265,078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Proteobacteria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4,963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195,356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127,353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Cyanobacteria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3,551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319,158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Bacteroidetes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12,689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310,020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S1. Cross-validation of plasmidVerify on various taxonomic groups (Firmicutes, Proteobacteria, Cyanobacteria, and Bacteroidetes). </w:t>
      </w:r>
      <w:r w:rsidDel="00000000" w:rsidR="00000000" w:rsidRPr="00000000">
        <w:rPr>
          <w:sz w:val="20"/>
          <w:szCs w:val="20"/>
          <w:rtl w:val="0"/>
        </w:rPr>
        <w:t xml:space="preserve">For each phylum, plasmidVerify was trained on genomes and plasmids from all other phyla, and tested on genomes and plasmids from the selected phylum.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