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75B435B" w14:textId="43BD7F1D" w:rsidR="004C2378" w:rsidRDefault="00567909">
      <w:pPr>
        <w:spacing w:afterLines="50" w:after="156" w:line="288" w:lineRule="auto"/>
        <w:jc w:val="center"/>
        <w:rPr>
          <w:rFonts w:ascii="Calibri" w:eastAsia="宋体" w:hAnsi="Calibri" w:cs="Calibri"/>
          <w:sz w:val="24"/>
          <w:szCs w:val="24"/>
        </w:rPr>
      </w:pPr>
      <w:r>
        <w:rPr>
          <w:noProof/>
          <w:szCs w:val="21"/>
        </w:rPr>
        <w:drawing>
          <wp:inline distT="0" distB="0" distL="0" distR="0" wp14:anchorId="57C2505A" wp14:editId="60D2E8E3">
            <wp:extent cx="5190744" cy="49834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0744" cy="4983480"/>
                    </a:xfrm>
                    <a:prstGeom prst="rect">
                      <a:avLst/>
                    </a:prstGeom>
                  </pic:spPr>
                </pic:pic>
              </a:graphicData>
            </a:graphic>
          </wp:inline>
        </w:drawing>
      </w:r>
      <w:r w:rsidR="00D16417">
        <w:rPr>
          <w:rFonts w:ascii="Calibri" w:eastAsia="宋体" w:hAnsi="Calibri" w:cs="Calibri"/>
          <w:sz w:val="24"/>
          <w:szCs w:val="24"/>
        </w:rPr>
        <w:t xml:space="preserve"> </w:t>
      </w:r>
    </w:p>
    <w:p w14:paraId="3333EF19" w14:textId="77777777"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S1.</w:t>
      </w:r>
      <w:r>
        <w:rPr>
          <w:rFonts w:ascii="Calibri" w:hAnsi="Calibri" w:cs="Calibri"/>
          <w:sz w:val="24"/>
          <w:szCs w:val="24"/>
        </w:rPr>
        <w:t xml:space="preserve"> Age branch specification. </w:t>
      </w:r>
    </w:p>
    <w:p w14:paraId="6A686147" w14:textId="481F955D" w:rsidR="004C2378" w:rsidRDefault="00D16417">
      <w:pPr>
        <w:spacing w:afterLines="50" w:after="156" w:line="288" w:lineRule="auto"/>
        <w:rPr>
          <w:rFonts w:ascii="Calibri" w:hAnsi="Calibri" w:cs="Calibri"/>
          <w:sz w:val="24"/>
          <w:szCs w:val="24"/>
        </w:rPr>
      </w:pPr>
      <w:r>
        <w:rPr>
          <w:rFonts w:ascii="Calibri" w:hAnsi="Calibri" w:cs="Calibri"/>
          <w:sz w:val="24"/>
          <w:szCs w:val="24"/>
        </w:rPr>
        <w:t>In SBP, a total of 14 distinct age groups (branch 0-13) were specified based on the phylogenetic context. Genes postdating the human-mouse split (branch 8-13) are referred as primate-specific genes (PSGs</w:t>
      </w:r>
      <w:r>
        <w:rPr>
          <w:rFonts w:ascii="Calibri" w:hAnsi="Calibri" w:cs="Calibri" w:hint="eastAsia"/>
          <w:sz w:val="24"/>
          <w:szCs w:val="24"/>
        </w:rPr>
        <w:t xml:space="preserve">, </w:t>
      </w:r>
      <w:r w:rsidR="009A750D">
        <w:rPr>
          <w:rFonts w:ascii="Calibri" w:hAnsi="Calibri" w:cs="Calibri"/>
          <w:sz w:val="24"/>
          <w:szCs w:val="24"/>
        </w:rPr>
        <w:t xml:space="preserve">marked in </w:t>
      </w:r>
      <w:r w:rsidR="00580963">
        <w:rPr>
          <w:rFonts w:ascii="Calibri" w:hAnsi="Calibri" w:cs="Calibri"/>
          <w:sz w:val="24"/>
          <w:szCs w:val="24"/>
        </w:rPr>
        <w:t xml:space="preserve">light </w:t>
      </w:r>
      <w:r w:rsidR="00BD533A">
        <w:rPr>
          <w:rFonts w:ascii="Calibri" w:hAnsi="Calibri" w:cs="Calibri"/>
          <w:sz w:val="24"/>
          <w:szCs w:val="24"/>
        </w:rPr>
        <w:t>blue</w:t>
      </w:r>
      <w:r>
        <w:rPr>
          <w:rFonts w:ascii="Calibri" w:hAnsi="Calibri" w:cs="Calibri"/>
          <w:sz w:val="24"/>
          <w:szCs w:val="24"/>
        </w:rPr>
        <w:t>) in the text while all other genes (branch 0-7) are referred to as non-PSGs.</w:t>
      </w:r>
    </w:p>
    <w:p w14:paraId="4168E0C5"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6F83C8B2" w14:textId="163F3795" w:rsidR="004C2378" w:rsidRDefault="001E0BA8" w:rsidP="00BD533A">
      <w:pPr>
        <w:spacing w:afterLines="50" w:after="156" w:line="288" w:lineRule="auto"/>
        <w:jc w:val="center"/>
        <w:rPr>
          <w:rFonts w:ascii="Calibri" w:hAnsi="Calibri" w:cs="Calibri"/>
          <w:sz w:val="24"/>
          <w:szCs w:val="24"/>
        </w:rPr>
      </w:pPr>
      <w:r>
        <w:rPr>
          <w:rFonts w:ascii="Calibri" w:hAnsi="Calibri" w:cs="Calibri"/>
          <w:noProof/>
          <w:sz w:val="24"/>
          <w:szCs w:val="24"/>
        </w:rPr>
        <w:lastRenderedPageBreak/>
        <w:drawing>
          <wp:inline distT="0" distB="0" distL="0" distR="0" wp14:anchorId="124411F8" wp14:editId="5E9342E2">
            <wp:extent cx="5252720" cy="886333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2 - new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720" cy="8863330"/>
                    </a:xfrm>
                    <a:prstGeom prst="rect">
                      <a:avLst/>
                    </a:prstGeom>
                  </pic:spPr>
                </pic:pic>
              </a:graphicData>
            </a:graphic>
          </wp:inline>
        </w:drawing>
      </w:r>
    </w:p>
    <w:p w14:paraId="2DB73A6B" w14:textId="74EC415F" w:rsidR="004C2378" w:rsidRDefault="004C2378" w:rsidP="00BD533A">
      <w:pPr>
        <w:spacing w:afterLines="50" w:after="156" w:line="288" w:lineRule="auto"/>
        <w:jc w:val="center"/>
        <w:rPr>
          <w:rFonts w:ascii="Calibri" w:hAnsi="Calibri" w:cs="Calibri"/>
          <w:sz w:val="24"/>
          <w:szCs w:val="24"/>
        </w:rPr>
      </w:pPr>
    </w:p>
    <w:p w14:paraId="6948E81F" w14:textId="77777777"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S2.</w:t>
      </w:r>
      <w:r>
        <w:rPr>
          <w:rFonts w:ascii="Calibri" w:hAnsi="Calibri" w:cs="Calibri"/>
        </w:rPr>
        <w:t xml:space="preserve"> </w:t>
      </w:r>
      <w:r>
        <w:rPr>
          <w:rFonts w:ascii="Calibri" w:hAnsi="Calibri" w:cs="Calibri"/>
          <w:sz w:val="24"/>
          <w:szCs w:val="24"/>
        </w:rPr>
        <w:t xml:space="preserve">GTEx transcriptome profile across tissues for </w:t>
      </w:r>
      <w:r>
        <w:rPr>
          <w:rFonts w:ascii="Calibri" w:hAnsi="Calibri" w:cs="Calibri"/>
          <w:i/>
          <w:sz w:val="24"/>
          <w:szCs w:val="24"/>
        </w:rPr>
        <w:t>GLUD1</w:t>
      </w:r>
      <w:r>
        <w:rPr>
          <w:rFonts w:ascii="Calibri" w:hAnsi="Calibri" w:cs="Calibri"/>
          <w:sz w:val="24"/>
          <w:szCs w:val="24"/>
        </w:rPr>
        <w:t xml:space="preserve"> and </w:t>
      </w:r>
      <w:r>
        <w:rPr>
          <w:rFonts w:ascii="Calibri" w:hAnsi="Calibri" w:cs="Calibri"/>
          <w:i/>
          <w:sz w:val="24"/>
          <w:szCs w:val="24"/>
        </w:rPr>
        <w:t>GLUD2</w:t>
      </w:r>
      <w:r>
        <w:rPr>
          <w:rFonts w:ascii="Calibri" w:hAnsi="Calibri" w:cs="Calibri"/>
          <w:sz w:val="24"/>
          <w:szCs w:val="24"/>
        </w:rPr>
        <w:t>.</w:t>
      </w:r>
    </w:p>
    <w:p w14:paraId="2CFDD184" w14:textId="486BDB6F" w:rsidR="004C2378" w:rsidRDefault="00D16417">
      <w:pPr>
        <w:spacing w:afterLines="50" w:after="156" w:line="288" w:lineRule="auto"/>
        <w:rPr>
          <w:rFonts w:ascii="Calibri" w:hAnsi="Calibri" w:cs="Calibri"/>
          <w:sz w:val="24"/>
          <w:szCs w:val="24"/>
        </w:rPr>
      </w:pPr>
      <w:r>
        <w:rPr>
          <w:rFonts w:ascii="Calibri" w:hAnsi="Calibri" w:cs="Calibri"/>
          <w:sz w:val="24"/>
          <w:szCs w:val="24"/>
        </w:rPr>
        <w:t>Th</w:t>
      </w:r>
      <w:r w:rsidR="00FE159D">
        <w:rPr>
          <w:rFonts w:ascii="Calibri" w:hAnsi="Calibri" w:cs="Calibri"/>
          <w:sz w:val="24"/>
          <w:szCs w:val="24"/>
        </w:rPr>
        <w:t xml:space="preserve">e upper and lower panel </w:t>
      </w:r>
      <w:r>
        <w:rPr>
          <w:rFonts w:ascii="Calibri" w:hAnsi="Calibri" w:cs="Calibri"/>
          <w:sz w:val="24"/>
          <w:szCs w:val="24"/>
        </w:rPr>
        <w:t>follows the convention of Figure 2C and D</w:t>
      </w:r>
      <w:r w:rsidR="00FE159D">
        <w:rPr>
          <w:rFonts w:ascii="Calibri" w:hAnsi="Calibri" w:cs="Calibri"/>
          <w:sz w:val="24"/>
          <w:szCs w:val="24"/>
        </w:rPr>
        <w:t>, respectively</w:t>
      </w:r>
      <w:r>
        <w:rPr>
          <w:rFonts w:ascii="Calibri" w:hAnsi="Calibri" w:cs="Calibri"/>
          <w:sz w:val="24"/>
          <w:szCs w:val="24"/>
        </w:rPr>
        <w:t>.</w:t>
      </w:r>
      <w:r w:rsidR="00FE159D">
        <w:rPr>
          <w:rFonts w:ascii="Calibri" w:hAnsi="Calibri" w:cs="Calibri"/>
          <w:sz w:val="24"/>
          <w:szCs w:val="24"/>
        </w:rPr>
        <w:t xml:space="preserve"> In the lower panel, the </w:t>
      </w:r>
      <w:r w:rsidR="007961D6" w:rsidRPr="007961D6">
        <w:rPr>
          <w:rFonts w:ascii="Calibri" w:hAnsi="Calibri" w:cs="Calibri"/>
          <w:sz w:val="24"/>
          <w:szCs w:val="24"/>
        </w:rPr>
        <w:t xml:space="preserve">diagonal </w:t>
      </w:r>
      <w:r w:rsidR="00FE159D">
        <w:rPr>
          <w:rFonts w:ascii="Calibri" w:hAnsi="Calibri" w:cs="Calibri"/>
          <w:sz w:val="24"/>
          <w:szCs w:val="24"/>
        </w:rPr>
        <w:t xml:space="preserve">line marks when the expression of two duplicates is the same. </w:t>
      </w:r>
    </w:p>
    <w:p w14:paraId="205B9025"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73B59116" w14:textId="1B8405CA"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32DEC66A" wp14:editId="6407EC55">
            <wp:extent cx="5274310" cy="46863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F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686300"/>
                    </a:xfrm>
                    <a:prstGeom prst="rect">
                      <a:avLst/>
                    </a:prstGeom>
                  </pic:spPr>
                </pic:pic>
              </a:graphicData>
            </a:graphic>
          </wp:inline>
        </w:drawing>
      </w:r>
    </w:p>
    <w:p w14:paraId="178BFB4C" w14:textId="579C042B"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S3.</w:t>
      </w:r>
      <w:r>
        <w:rPr>
          <w:rFonts w:ascii="Calibri" w:hAnsi="Calibri" w:cs="Calibri"/>
          <w:sz w:val="24"/>
          <w:szCs w:val="24"/>
        </w:rPr>
        <w:t xml:space="preserve"> GenTree Browse page showing the chromosomal and age distribution of KZNFs. </w:t>
      </w:r>
    </w:p>
    <w:p w14:paraId="70344149" w14:textId="419F1015"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The gray bars represent different chromosomes (scaled to the corresponding size), and dots along the chromosome indicate genes (color-coded by the GenTree assigned age, branches 0-13 in Supplemental Fig. S1). Each dot is hyperlinked to the corresponding gene page, as shown in Fig. 2 in the main text. The pie chart in the top right shows the proportions of genes in each age branch. This figure is also available at </w:t>
      </w:r>
      <w:hyperlink r:id="rId11" w:history="1">
        <w:r>
          <w:rPr>
            <w:rStyle w:val="ac"/>
            <w:rFonts w:ascii="Calibri" w:hAnsi="Calibri" w:cs="Calibri"/>
            <w:sz w:val="24"/>
            <w:szCs w:val="24"/>
          </w:rPr>
          <w:t>http://gentree.ioz.ac.cn/tools/gene_browse.php?selectc=interpro&amp;content=IPR001909</w:t>
        </w:r>
      </w:hyperlink>
      <w:r>
        <w:rPr>
          <w:rFonts w:ascii="Calibri" w:hAnsi="Calibri" w:cs="Calibri"/>
          <w:sz w:val="24"/>
          <w:szCs w:val="24"/>
        </w:rPr>
        <w:t>.</w:t>
      </w:r>
    </w:p>
    <w:p w14:paraId="1FB993F1"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2D6D594C" w14:textId="61F6F7E1" w:rsidR="004C2378" w:rsidRDefault="00BD533A">
      <w:pPr>
        <w:spacing w:afterLines="50" w:after="156" w:line="288" w:lineRule="auto"/>
        <w:jc w:val="center"/>
        <w:rPr>
          <w:rFonts w:ascii="Calibri" w:eastAsia="宋体" w:hAnsi="Calibri" w:cs="Calibri"/>
        </w:rPr>
      </w:pPr>
      <w:r>
        <w:rPr>
          <w:rFonts w:ascii="Calibri" w:eastAsia="宋体" w:hAnsi="Calibri" w:cs="Calibri"/>
          <w:noProof/>
        </w:rPr>
        <w:lastRenderedPageBreak/>
        <w:drawing>
          <wp:inline distT="0" distB="0" distL="0" distR="0" wp14:anchorId="5A905D49" wp14:editId="218DFAD0">
            <wp:extent cx="5274310" cy="3063875"/>
            <wp:effectExtent l="0" t="0" r="254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F4 - 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063875"/>
                    </a:xfrm>
                    <a:prstGeom prst="rect">
                      <a:avLst/>
                    </a:prstGeom>
                  </pic:spPr>
                </pic:pic>
              </a:graphicData>
            </a:graphic>
          </wp:inline>
        </w:drawing>
      </w:r>
    </w:p>
    <w:p w14:paraId="57077CCB" w14:textId="36D4C53D"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S4.</w:t>
      </w:r>
      <w:r>
        <w:rPr>
          <w:rFonts w:ascii="Calibri" w:hAnsi="Calibri" w:cs="Calibri"/>
          <w:sz w:val="24"/>
          <w:szCs w:val="24"/>
        </w:rPr>
        <w:t xml:space="preserve"> </w:t>
      </w:r>
      <w:r>
        <w:rPr>
          <w:rFonts w:ascii="Calibri" w:hAnsi="Calibri" w:cs="Calibri" w:hint="eastAsia"/>
          <w:sz w:val="24"/>
          <w:szCs w:val="24"/>
        </w:rPr>
        <w:t>The b</w:t>
      </w:r>
      <w:r>
        <w:rPr>
          <w:rFonts w:ascii="Calibri" w:hAnsi="Calibri" w:cs="Calibri"/>
          <w:sz w:val="24"/>
          <w:szCs w:val="24"/>
        </w:rPr>
        <w:t xml:space="preserve">ranch view </w:t>
      </w:r>
      <w:r>
        <w:rPr>
          <w:rFonts w:ascii="Calibri" w:hAnsi="Calibri" w:cs="Calibri" w:hint="eastAsia"/>
          <w:sz w:val="24"/>
          <w:szCs w:val="24"/>
        </w:rPr>
        <w:t>of</w:t>
      </w:r>
      <w:r>
        <w:rPr>
          <w:rFonts w:ascii="Calibri" w:hAnsi="Calibri" w:cs="Calibri"/>
          <w:sz w:val="24"/>
          <w:szCs w:val="24"/>
        </w:rPr>
        <w:t xml:space="preserve"> </w:t>
      </w:r>
      <w:r>
        <w:rPr>
          <w:rFonts w:ascii="Calibri" w:hAnsi="Calibri" w:cs="Calibri"/>
          <w:i/>
          <w:sz w:val="24"/>
          <w:szCs w:val="24"/>
        </w:rPr>
        <w:t>MYEOV</w:t>
      </w:r>
      <w:r>
        <w:rPr>
          <w:rFonts w:ascii="Calibri" w:hAnsi="Calibri" w:cs="Calibri"/>
          <w:sz w:val="24"/>
          <w:szCs w:val="24"/>
        </w:rPr>
        <w:t xml:space="preserve">. </w:t>
      </w:r>
    </w:p>
    <w:p w14:paraId="554B5CD3" w14:textId="77777777"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Branch view based on SBP (A), phylostratigraphy (B) and ProteinHistorian (C) for </w:t>
      </w:r>
      <w:r>
        <w:rPr>
          <w:rFonts w:ascii="Calibri" w:hAnsi="Calibri" w:cs="Calibri"/>
          <w:i/>
          <w:sz w:val="24"/>
          <w:szCs w:val="24"/>
        </w:rPr>
        <w:t>MYEOV</w:t>
      </w:r>
      <w:r>
        <w:rPr>
          <w:rFonts w:ascii="Calibri" w:hAnsi="Calibri" w:cs="Calibri"/>
          <w:sz w:val="24"/>
          <w:szCs w:val="24"/>
        </w:rPr>
        <w:t xml:space="preserve">. Different branch specification is used for each method. The corresponding GenTree webpage is available at </w:t>
      </w:r>
      <w:hyperlink r:id="rId13" w:history="1">
        <w:r>
          <w:rPr>
            <w:rStyle w:val="ac"/>
            <w:rFonts w:ascii="Calibri" w:hAnsi="Calibri" w:cs="Calibri"/>
            <w:sz w:val="24"/>
            <w:szCs w:val="24"/>
          </w:rPr>
          <w:t>http://gentree.ioz.ac.cn/tools/viewIDS.php?speciesselect=Human&amp;genename=ENSG00000172927</w:t>
        </w:r>
      </w:hyperlink>
      <w:r>
        <w:rPr>
          <w:rFonts w:ascii="Calibri" w:hAnsi="Calibri" w:cs="Calibri"/>
          <w:sz w:val="24"/>
          <w:szCs w:val="24"/>
        </w:rPr>
        <w:t xml:space="preserve"> .</w:t>
      </w:r>
    </w:p>
    <w:p w14:paraId="4734E5C4"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535F653F" w14:textId="300FC366" w:rsidR="004C2378" w:rsidRDefault="00BD533A">
      <w:pPr>
        <w:widowControl/>
        <w:jc w:val="left"/>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67C7FA6B" wp14:editId="25A8593D">
            <wp:extent cx="5274310" cy="2850515"/>
            <wp:effectExtent l="0" t="0" r="254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F5 - 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50515"/>
                    </a:xfrm>
                    <a:prstGeom prst="rect">
                      <a:avLst/>
                    </a:prstGeom>
                  </pic:spPr>
                </pic:pic>
              </a:graphicData>
            </a:graphic>
          </wp:inline>
        </w:drawing>
      </w:r>
    </w:p>
    <w:p w14:paraId="0DBC01F3" w14:textId="1B9F7D3E"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S5.</w:t>
      </w:r>
      <w:r>
        <w:rPr>
          <w:rFonts w:ascii="Calibri" w:hAnsi="Calibri" w:cs="Calibri"/>
          <w:sz w:val="24"/>
          <w:szCs w:val="24"/>
        </w:rPr>
        <w:t xml:space="preserve"> </w:t>
      </w:r>
      <w:r>
        <w:rPr>
          <w:rFonts w:ascii="Calibri" w:hAnsi="Calibri" w:cs="Calibri" w:hint="eastAsia"/>
          <w:sz w:val="24"/>
          <w:szCs w:val="24"/>
        </w:rPr>
        <w:t>The b</w:t>
      </w:r>
      <w:r>
        <w:rPr>
          <w:rFonts w:ascii="Calibri" w:hAnsi="Calibri" w:cs="Calibri"/>
          <w:sz w:val="24"/>
          <w:szCs w:val="24"/>
        </w:rPr>
        <w:t xml:space="preserve">ranch view of </w:t>
      </w:r>
      <w:r>
        <w:rPr>
          <w:rFonts w:ascii="Calibri" w:hAnsi="Calibri" w:cs="Calibri"/>
          <w:i/>
          <w:sz w:val="24"/>
          <w:szCs w:val="24"/>
        </w:rPr>
        <w:t>GLUD2</w:t>
      </w:r>
      <w:r>
        <w:rPr>
          <w:rFonts w:ascii="Calibri" w:hAnsi="Calibri" w:cs="Calibri"/>
          <w:sz w:val="24"/>
          <w:szCs w:val="24"/>
        </w:rPr>
        <w:t xml:space="preserve">. </w:t>
      </w:r>
    </w:p>
    <w:p w14:paraId="00A37583" w14:textId="50948352" w:rsidR="004C2378" w:rsidRDefault="00D16417">
      <w:pPr>
        <w:spacing w:afterLines="50" w:after="156" w:line="288" w:lineRule="auto"/>
        <w:rPr>
          <w:rFonts w:ascii="Calibri" w:hAnsi="Calibri" w:cs="Calibri"/>
          <w:sz w:val="24"/>
          <w:szCs w:val="24"/>
        </w:rPr>
      </w:pPr>
      <w:r>
        <w:rPr>
          <w:rFonts w:ascii="Calibri" w:hAnsi="Calibri" w:cs="Calibri" w:hint="eastAsia"/>
          <w:sz w:val="24"/>
          <w:szCs w:val="24"/>
        </w:rPr>
        <w:t>The b</w:t>
      </w:r>
      <w:r>
        <w:rPr>
          <w:rFonts w:ascii="Calibri" w:hAnsi="Calibri" w:cs="Calibri"/>
          <w:sz w:val="24"/>
          <w:szCs w:val="24"/>
        </w:rPr>
        <w:t xml:space="preserve">ranch view based on phylostratigraphy (A) and ProteinHistorian (B) for </w:t>
      </w:r>
      <w:r>
        <w:rPr>
          <w:rFonts w:ascii="Calibri" w:hAnsi="Calibri" w:cs="Calibri"/>
          <w:i/>
          <w:sz w:val="24"/>
          <w:szCs w:val="24"/>
        </w:rPr>
        <w:t>GLUD2</w:t>
      </w:r>
      <w:r>
        <w:rPr>
          <w:rFonts w:ascii="Calibri" w:hAnsi="Calibri" w:cs="Calibri"/>
          <w:sz w:val="24"/>
          <w:szCs w:val="24"/>
        </w:rPr>
        <w:t xml:space="preserve">. The corresponding GenTree webpage with the complete figures is available at </w:t>
      </w:r>
      <w:hyperlink r:id="rId15" w:history="1">
        <w:r>
          <w:rPr>
            <w:rStyle w:val="ac"/>
            <w:rFonts w:ascii="Calibri" w:hAnsi="Calibri" w:cs="Calibri"/>
            <w:sz w:val="24"/>
            <w:szCs w:val="24"/>
          </w:rPr>
          <w:t>http://gentree.ioz.ac.cn/tools/viewIDS.php?speciesselect=Human&amp;genename=ENSG00000182890</w:t>
        </w:r>
      </w:hyperlink>
      <w:r>
        <w:rPr>
          <w:rFonts w:ascii="Calibri" w:hAnsi="Calibri" w:cs="Calibri"/>
          <w:sz w:val="24"/>
          <w:szCs w:val="24"/>
        </w:rPr>
        <w:t xml:space="preserve"> .</w:t>
      </w:r>
    </w:p>
    <w:p w14:paraId="19DFD8D7"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3B8E7710" w14:textId="406312A7"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33CF6E1B" wp14:editId="63E4E9DF">
            <wp:extent cx="4861560" cy="3877056"/>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F6 - 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1560" cy="3877056"/>
                    </a:xfrm>
                    <a:prstGeom prst="rect">
                      <a:avLst/>
                    </a:prstGeom>
                  </pic:spPr>
                </pic:pic>
              </a:graphicData>
            </a:graphic>
          </wp:inline>
        </w:drawing>
      </w:r>
    </w:p>
    <w:p w14:paraId="637A86AD" w14:textId="62D91DE8"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S6.</w:t>
      </w:r>
      <w:r>
        <w:rPr>
          <w:rFonts w:ascii="Calibri" w:hAnsi="Calibri" w:cs="Calibri"/>
          <w:sz w:val="24"/>
          <w:szCs w:val="24"/>
        </w:rPr>
        <w:t xml:space="preserve"> </w:t>
      </w:r>
      <w:r>
        <w:rPr>
          <w:rFonts w:ascii="Calibri" w:hAnsi="Calibri" w:cs="Calibri" w:hint="eastAsia"/>
          <w:sz w:val="24"/>
          <w:szCs w:val="24"/>
        </w:rPr>
        <w:t>The b</w:t>
      </w:r>
      <w:r>
        <w:rPr>
          <w:rFonts w:ascii="Calibri" w:hAnsi="Calibri" w:cs="Calibri"/>
          <w:sz w:val="24"/>
          <w:szCs w:val="24"/>
        </w:rPr>
        <w:t xml:space="preserve">ranch view of </w:t>
      </w:r>
      <w:r>
        <w:rPr>
          <w:rFonts w:ascii="Calibri" w:hAnsi="Calibri" w:cs="Calibri"/>
          <w:i/>
          <w:sz w:val="24"/>
          <w:szCs w:val="24"/>
        </w:rPr>
        <w:t>GLUD1</w:t>
      </w:r>
      <w:r>
        <w:rPr>
          <w:rFonts w:ascii="Calibri" w:hAnsi="Calibri" w:cs="Calibri"/>
          <w:sz w:val="24"/>
          <w:szCs w:val="24"/>
        </w:rPr>
        <w:t xml:space="preserve">. </w:t>
      </w:r>
    </w:p>
    <w:p w14:paraId="6E8D858B" w14:textId="1FA32308" w:rsidR="004C2378" w:rsidRDefault="00D16417">
      <w:pPr>
        <w:spacing w:afterLines="50" w:after="156" w:line="288" w:lineRule="auto"/>
        <w:rPr>
          <w:rFonts w:ascii="Calibri" w:hAnsi="Calibri" w:cs="Calibri"/>
          <w:sz w:val="24"/>
          <w:szCs w:val="24"/>
        </w:rPr>
      </w:pPr>
      <w:r>
        <w:rPr>
          <w:rFonts w:ascii="Calibri" w:hAnsi="Calibri" w:cs="Calibri" w:hint="eastAsia"/>
          <w:sz w:val="24"/>
          <w:szCs w:val="24"/>
        </w:rPr>
        <w:t>The b</w:t>
      </w:r>
      <w:r>
        <w:rPr>
          <w:rFonts w:ascii="Calibri" w:hAnsi="Calibri" w:cs="Calibri"/>
          <w:sz w:val="24"/>
          <w:szCs w:val="24"/>
        </w:rPr>
        <w:t xml:space="preserve">ranch view of SBP (A), phylostratigraphy (B) and ProteinHistorian (C) for </w:t>
      </w:r>
      <w:r>
        <w:rPr>
          <w:rFonts w:ascii="Calibri" w:hAnsi="Calibri" w:cs="Calibri"/>
          <w:i/>
          <w:sz w:val="24"/>
          <w:szCs w:val="24"/>
        </w:rPr>
        <w:t>GLUD1</w:t>
      </w:r>
      <w:r>
        <w:rPr>
          <w:rFonts w:ascii="Calibri" w:hAnsi="Calibri" w:cs="Calibri"/>
          <w:sz w:val="24"/>
          <w:szCs w:val="24"/>
        </w:rPr>
        <w:t xml:space="preserve">. The corresponding GenTree webpage is available at </w:t>
      </w:r>
      <w:hyperlink r:id="rId17" w:history="1">
        <w:r>
          <w:rPr>
            <w:rStyle w:val="ac"/>
            <w:rFonts w:ascii="Calibri" w:hAnsi="Calibri" w:cs="Calibri"/>
            <w:sz w:val="24"/>
            <w:szCs w:val="24"/>
          </w:rPr>
          <w:t>http://gentree.ioz.ac.cn/tools/viewIDS.php?speciesselect=Human&amp;genename=ENSG00000148672</w:t>
        </w:r>
      </w:hyperlink>
      <w:r>
        <w:rPr>
          <w:rFonts w:ascii="Calibri" w:hAnsi="Calibri" w:cs="Calibri"/>
          <w:sz w:val="24"/>
          <w:szCs w:val="24"/>
        </w:rPr>
        <w:t xml:space="preserve"> .</w:t>
      </w:r>
    </w:p>
    <w:p w14:paraId="10FE91E8" w14:textId="047307DB" w:rsidR="007C457E" w:rsidRDefault="007C457E">
      <w:pPr>
        <w:widowControl/>
        <w:jc w:val="left"/>
        <w:rPr>
          <w:rFonts w:ascii="Calibri" w:hAnsi="Calibri" w:cs="Calibri"/>
          <w:sz w:val="24"/>
          <w:szCs w:val="24"/>
        </w:rPr>
      </w:pPr>
      <w:r>
        <w:rPr>
          <w:rFonts w:ascii="Calibri" w:hAnsi="Calibri" w:cs="Calibri"/>
          <w:sz w:val="24"/>
          <w:szCs w:val="24"/>
        </w:rPr>
        <w:br w:type="page"/>
      </w:r>
    </w:p>
    <w:p w14:paraId="4C011966" w14:textId="430C165B" w:rsidR="0094034A" w:rsidRDefault="00BD533A">
      <w:pPr>
        <w:spacing w:afterLines="50" w:after="156" w:line="288" w:lineRule="auto"/>
        <w:rPr>
          <w:rFonts w:ascii="Calibri" w:hAnsi="Calibri" w:cs="Calibri"/>
          <w:sz w:val="24"/>
          <w:szCs w:val="24"/>
        </w:rPr>
      </w:pPr>
      <w:r>
        <w:rPr>
          <w:rFonts w:ascii="Calibri" w:hAnsi="Calibri" w:cs="Calibri"/>
          <w:noProof/>
          <w:sz w:val="24"/>
          <w:szCs w:val="24"/>
        </w:rPr>
        <w:lastRenderedPageBreak/>
        <w:drawing>
          <wp:inline distT="0" distB="0" distL="0" distR="0" wp14:anchorId="41C27461" wp14:editId="2EA3FD5F">
            <wp:extent cx="4851400" cy="886333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F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1400" cy="8863330"/>
                    </a:xfrm>
                    <a:prstGeom prst="rect">
                      <a:avLst/>
                    </a:prstGeom>
                  </pic:spPr>
                </pic:pic>
              </a:graphicData>
            </a:graphic>
          </wp:inline>
        </w:drawing>
      </w:r>
    </w:p>
    <w:p w14:paraId="2E0AB06E" w14:textId="6F777A21" w:rsidR="0094034A" w:rsidRDefault="00D16417" w:rsidP="00A9205A">
      <w:pPr>
        <w:spacing w:afterLines="50" w:after="156" w:line="288" w:lineRule="auto"/>
        <w:rPr>
          <w:rFonts w:ascii="Calibri" w:eastAsia="宋体" w:hAnsi="Calibri" w:cs="Calibri"/>
          <w:sz w:val="24"/>
          <w:szCs w:val="24"/>
        </w:rPr>
      </w:pPr>
      <w:r>
        <w:rPr>
          <w:rFonts w:ascii="Calibri" w:hAnsi="Calibri" w:cs="Calibri"/>
          <w:b/>
          <w:sz w:val="24"/>
          <w:szCs w:val="24"/>
        </w:rPr>
        <w:lastRenderedPageBreak/>
        <w:t>Supplemental Figure</w:t>
      </w:r>
      <w:r>
        <w:rPr>
          <w:rFonts w:ascii="Calibri" w:eastAsia="宋体" w:hAnsi="Calibri" w:cs="Calibri"/>
          <w:b/>
          <w:sz w:val="24"/>
          <w:szCs w:val="24"/>
        </w:rPr>
        <w:t xml:space="preserve"> </w:t>
      </w:r>
      <w:r w:rsidR="000E205B">
        <w:rPr>
          <w:rFonts w:ascii="Calibri" w:eastAsia="宋体" w:hAnsi="Calibri" w:cs="Calibri"/>
          <w:b/>
          <w:sz w:val="24"/>
          <w:szCs w:val="24"/>
        </w:rPr>
        <w:t>S</w:t>
      </w:r>
      <w:r w:rsidR="001437B5">
        <w:rPr>
          <w:rFonts w:ascii="Calibri" w:eastAsia="宋体" w:hAnsi="Calibri" w:cs="Calibri"/>
          <w:b/>
          <w:sz w:val="24"/>
          <w:szCs w:val="24"/>
        </w:rPr>
        <w:t>7</w:t>
      </w:r>
      <w:r>
        <w:rPr>
          <w:rFonts w:ascii="Calibri" w:eastAsia="宋体" w:hAnsi="Calibri" w:cs="Calibri"/>
          <w:b/>
          <w:sz w:val="24"/>
          <w:szCs w:val="24"/>
        </w:rPr>
        <w:t>.</w:t>
      </w:r>
      <w:r>
        <w:rPr>
          <w:rFonts w:ascii="Calibri" w:eastAsia="宋体" w:hAnsi="Calibri" w:cs="Calibri"/>
          <w:sz w:val="24"/>
          <w:szCs w:val="24"/>
        </w:rPr>
        <w:t xml:space="preserve"> </w:t>
      </w:r>
      <w:r w:rsidR="00A9205A">
        <w:rPr>
          <w:rFonts w:ascii="Calibri" w:eastAsia="宋体" w:hAnsi="Calibri" w:cs="Calibri"/>
          <w:sz w:val="24"/>
          <w:szCs w:val="24"/>
        </w:rPr>
        <w:t xml:space="preserve">Syntenic view of human </w:t>
      </w:r>
      <w:r w:rsidR="00A9205A">
        <w:rPr>
          <w:rFonts w:ascii="Calibri" w:eastAsia="宋体" w:hAnsi="Calibri" w:cs="Calibri"/>
          <w:i/>
          <w:sz w:val="24"/>
          <w:szCs w:val="24"/>
        </w:rPr>
        <w:t xml:space="preserve">CHRFAM7A </w:t>
      </w:r>
      <w:r w:rsidR="00A9205A">
        <w:rPr>
          <w:rFonts w:ascii="Calibri" w:eastAsia="宋体" w:hAnsi="Calibri" w:cs="Calibri"/>
          <w:sz w:val="24"/>
          <w:szCs w:val="24"/>
        </w:rPr>
        <w:t>locus relative to outgroups.</w:t>
      </w:r>
      <w:r>
        <w:rPr>
          <w:rFonts w:ascii="Calibri" w:eastAsia="宋体" w:hAnsi="Calibri" w:cs="Calibri"/>
          <w:sz w:val="24"/>
          <w:szCs w:val="24"/>
        </w:rPr>
        <w:t xml:space="preserve"> </w:t>
      </w:r>
    </w:p>
    <w:p w14:paraId="39A968F3" w14:textId="07376AEC" w:rsidR="007C457E" w:rsidRDefault="00FE4B3E" w:rsidP="00A9205A">
      <w:pPr>
        <w:spacing w:afterLines="50" w:after="156" w:line="288" w:lineRule="auto"/>
        <w:rPr>
          <w:rFonts w:ascii="Calibri" w:eastAsia="宋体" w:hAnsi="Calibri" w:cs="Calibri"/>
          <w:sz w:val="24"/>
          <w:szCs w:val="24"/>
        </w:rPr>
      </w:pPr>
      <w:r>
        <w:rPr>
          <w:rFonts w:ascii="Calibri" w:eastAsia="宋体" w:hAnsi="Calibri" w:cs="Calibri"/>
          <w:sz w:val="24"/>
          <w:szCs w:val="24"/>
        </w:rPr>
        <w:t xml:space="preserve">UCSC uses the Net track to represent the syntenic information with upper level more likely </w:t>
      </w:r>
      <w:r w:rsidR="00BA44D7">
        <w:rPr>
          <w:rFonts w:ascii="Calibri" w:eastAsia="宋体" w:hAnsi="Calibri" w:cs="Calibri"/>
          <w:sz w:val="24"/>
          <w:szCs w:val="24"/>
        </w:rPr>
        <w:t>orthologous</w:t>
      </w:r>
      <w:r>
        <w:rPr>
          <w:rFonts w:ascii="Calibri" w:eastAsia="宋体" w:hAnsi="Calibri" w:cs="Calibri"/>
          <w:sz w:val="24"/>
          <w:szCs w:val="24"/>
        </w:rPr>
        <w:t xml:space="preserve"> compared </w:t>
      </w:r>
      <w:r w:rsidR="00580963">
        <w:rPr>
          <w:rFonts w:ascii="Calibri" w:eastAsia="宋体" w:hAnsi="Calibri" w:cs="Calibri"/>
          <w:sz w:val="24"/>
          <w:szCs w:val="24"/>
        </w:rPr>
        <w:t>with</w:t>
      </w:r>
      <w:r>
        <w:rPr>
          <w:rFonts w:ascii="Calibri" w:eastAsia="宋体" w:hAnsi="Calibri" w:cs="Calibri"/>
          <w:sz w:val="24"/>
          <w:szCs w:val="24"/>
        </w:rPr>
        <w:t xml:space="preserve"> lower levels. </w:t>
      </w:r>
      <w:r w:rsidR="00115F8D">
        <w:rPr>
          <w:rFonts w:ascii="Calibri" w:eastAsia="宋体" w:hAnsi="Calibri" w:cs="Calibri"/>
          <w:sz w:val="24"/>
          <w:szCs w:val="24"/>
        </w:rPr>
        <w:t xml:space="preserve">In other words, the lower panels often represent one-way </w:t>
      </w:r>
      <w:r w:rsidR="00BA44D7">
        <w:rPr>
          <w:rFonts w:ascii="Calibri" w:eastAsia="宋体" w:hAnsi="Calibri" w:cs="Calibri"/>
          <w:sz w:val="24"/>
          <w:szCs w:val="24"/>
        </w:rPr>
        <w:t>syntenic</w:t>
      </w:r>
      <w:r w:rsidR="00115F8D">
        <w:rPr>
          <w:rFonts w:ascii="Calibri" w:eastAsia="宋体" w:hAnsi="Calibri" w:cs="Calibri"/>
          <w:sz w:val="24"/>
          <w:szCs w:val="24"/>
        </w:rPr>
        <w:t xml:space="preserve"> mapping. </w:t>
      </w:r>
      <w:r>
        <w:rPr>
          <w:rFonts w:ascii="Calibri" w:eastAsia="宋体" w:hAnsi="Calibri" w:cs="Calibri"/>
          <w:sz w:val="24"/>
          <w:szCs w:val="24"/>
        </w:rPr>
        <w:t xml:space="preserve">Panel A and B use human as the focal species, while Panel C uses orangutan as the focal species. </w:t>
      </w:r>
      <w:r w:rsidR="00580963">
        <w:rPr>
          <w:rFonts w:ascii="Calibri" w:eastAsia="宋体" w:hAnsi="Calibri" w:cs="Calibri"/>
          <w:sz w:val="24"/>
          <w:szCs w:val="24"/>
        </w:rPr>
        <w:t xml:space="preserve">For GENCODE tracks, noncoding genes are filtered out for simplicity. </w:t>
      </w:r>
      <w:r w:rsidR="00A9205A">
        <w:rPr>
          <w:rFonts w:ascii="Calibri" w:eastAsia="宋体" w:hAnsi="Calibri" w:cs="Calibri"/>
          <w:sz w:val="24"/>
          <w:szCs w:val="24"/>
        </w:rPr>
        <w:t>In the old version (human hg19/</w:t>
      </w:r>
      <w:r w:rsidR="0094034A">
        <w:rPr>
          <w:rFonts w:ascii="Calibri" w:eastAsia="宋体" w:hAnsi="Calibri" w:cs="Calibri"/>
          <w:sz w:val="24"/>
          <w:szCs w:val="24"/>
        </w:rPr>
        <w:t>o</w:t>
      </w:r>
      <w:r w:rsidR="0094034A" w:rsidRPr="0094034A">
        <w:rPr>
          <w:rFonts w:ascii="Calibri" w:eastAsia="宋体" w:hAnsi="Calibri" w:cs="Calibri"/>
          <w:sz w:val="24"/>
          <w:szCs w:val="24"/>
        </w:rPr>
        <w:t>rangutan</w:t>
      </w:r>
      <w:r w:rsidR="0094034A">
        <w:rPr>
          <w:rFonts w:ascii="Calibri" w:eastAsia="宋体" w:hAnsi="Calibri" w:cs="Calibri"/>
          <w:sz w:val="24"/>
          <w:szCs w:val="24"/>
        </w:rPr>
        <w:t xml:space="preserve"> </w:t>
      </w:r>
      <w:r w:rsidR="0094034A" w:rsidRPr="0094034A">
        <w:rPr>
          <w:rFonts w:ascii="Calibri" w:eastAsia="宋体" w:hAnsi="Calibri" w:cs="Calibri"/>
          <w:sz w:val="24"/>
          <w:szCs w:val="24"/>
        </w:rPr>
        <w:t>ponAbe2</w:t>
      </w:r>
      <w:r w:rsidR="00A9205A">
        <w:rPr>
          <w:rFonts w:ascii="Calibri" w:eastAsia="宋体" w:hAnsi="Calibri" w:cs="Calibri"/>
          <w:sz w:val="24"/>
          <w:szCs w:val="24"/>
        </w:rPr>
        <w:t>, Panel A</w:t>
      </w:r>
      <w:r>
        <w:rPr>
          <w:rFonts w:ascii="Calibri" w:eastAsia="宋体" w:hAnsi="Calibri" w:cs="Calibri"/>
          <w:sz w:val="24"/>
          <w:szCs w:val="24"/>
        </w:rPr>
        <w:t>, C</w:t>
      </w:r>
      <w:r w:rsidR="00A9205A">
        <w:rPr>
          <w:rFonts w:ascii="Calibri" w:eastAsia="宋体" w:hAnsi="Calibri" w:cs="Calibri"/>
          <w:sz w:val="24"/>
          <w:szCs w:val="24"/>
        </w:rPr>
        <w:t xml:space="preserve">) used in GenTree, exons at the </w:t>
      </w:r>
      <w:r w:rsidR="0094034A">
        <w:rPr>
          <w:rFonts w:ascii="Calibri" w:eastAsia="宋体" w:hAnsi="Calibri" w:cs="Calibri"/>
          <w:sz w:val="24"/>
          <w:szCs w:val="24"/>
        </w:rPr>
        <w:t>5</w:t>
      </w:r>
      <w:r w:rsidR="00A9205A">
        <w:rPr>
          <w:rFonts w:ascii="Calibri" w:eastAsia="宋体" w:hAnsi="Calibri" w:cs="Calibri"/>
          <w:sz w:val="24"/>
          <w:szCs w:val="24"/>
        </w:rPr>
        <w:t xml:space="preserve">’-terminal (right) is </w:t>
      </w:r>
      <w:r w:rsidR="00BA44D7">
        <w:rPr>
          <w:rFonts w:ascii="Calibri" w:eastAsia="宋体" w:hAnsi="Calibri" w:cs="Calibri"/>
          <w:sz w:val="24"/>
          <w:szCs w:val="24"/>
        </w:rPr>
        <w:t xml:space="preserve">two-way </w:t>
      </w:r>
      <w:r w:rsidR="00A9205A">
        <w:rPr>
          <w:rFonts w:ascii="Calibri" w:eastAsia="宋体" w:hAnsi="Calibri" w:cs="Calibri"/>
          <w:sz w:val="24"/>
          <w:szCs w:val="24"/>
        </w:rPr>
        <w:t>syntenic</w:t>
      </w:r>
      <w:r w:rsidR="0094034A">
        <w:rPr>
          <w:rFonts w:ascii="Calibri" w:eastAsia="宋体" w:hAnsi="Calibri" w:cs="Calibri"/>
          <w:sz w:val="24"/>
          <w:szCs w:val="24"/>
        </w:rPr>
        <w:t xml:space="preserve"> (level 1)</w:t>
      </w:r>
      <w:r w:rsidR="00A9205A">
        <w:rPr>
          <w:rFonts w:ascii="Calibri" w:eastAsia="宋体" w:hAnsi="Calibri" w:cs="Calibri"/>
          <w:sz w:val="24"/>
          <w:szCs w:val="24"/>
        </w:rPr>
        <w:t xml:space="preserve"> with </w:t>
      </w:r>
      <w:r w:rsidR="0094034A">
        <w:rPr>
          <w:rFonts w:ascii="Calibri" w:eastAsia="宋体" w:hAnsi="Calibri" w:cs="Calibri"/>
          <w:sz w:val="24"/>
          <w:szCs w:val="24"/>
        </w:rPr>
        <w:t>o</w:t>
      </w:r>
      <w:r w:rsidR="0094034A" w:rsidRPr="0094034A">
        <w:rPr>
          <w:rFonts w:ascii="Calibri" w:eastAsia="宋体" w:hAnsi="Calibri" w:cs="Calibri"/>
          <w:sz w:val="24"/>
          <w:szCs w:val="24"/>
        </w:rPr>
        <w:t>rangutan</w:t>
      </w:r>
      <w:r w:rsidR="00A9205A">
        <w:rPr>
          <w:rFonts w:ascii="Calibri" w:eastAsia="宋体" w:hAnsi="Calibri" w:cs="Calibri"/>
          <w:sz w:val="24"/>
          <w:szCs w:val="24"/>
        </w:rPr>
        <w:t>. In the new version (hg38/</w:t>
      </w:r>
      <w:r w:rsidR="0094034A">
        <w:rPr>
          <w:rFonts w:ascii="Calibri" w:eastAsia="宋体" w:hAnsi="Calibri" w:cs="Calibri"/>
          <w:sz w:val="24"/>
          <w:szCs w:val="24"/>
        </w:rPr>
        <w:t>ponAbe3</w:t>
      </w:r>
      <w:r w:rsidR="00A9205A">
        <w:rPr>
          <w:rFonts w:ascii="Calibri" w:eastAsia="宋体" w:hAnsi="Calibri" w:cs="Calibri"/>
          <w:sz w:val="24"/>
          <w:szCs w:val="24"/>
        </w:rPr>
        <w:t xml:space="preserve">, Panel </w:t>
      </w:r>
      <w:r w:rsidR="0094034A">
        <w:rPr>
          <w:rFonts w:ascii="Calibri" w:eastAsia="宋体" w:hAnsi="Calibri" w:cs="Calibri"/>
          <w:sz w:val="24"/>
          <w:szCs w:val="24"/>
        </w:rPr>
        <w:t>B</w:t>
      </w:r>
      <w:r w:rsidR="00A9205A">
        <w:rPr>
          <w:rFonts w:ascii="Calibri" w:eastAsia="宋体" w:hAnsi="Calibri" w:cs="Calibri"/>
          <w:sz w:val="24"/>
          <w:szCs w:val="24"/>
        </w:rPr>
        <w:t xml:space="preserve">), the </w:t>
      </w:r>
      <w:r w:rsidR="00BA44D7">
        <w:rPr>
          <w:rFonts w:ascii="Calibri" w:eastAsia="宋体" w:hAnsi="Calibri" w:cs="Calibri"/>
          <w:sz w:val="24"/>
          <w:szCs w:val="24"/>
        </w:rPr>
        <w:t xml:space="preserve">two-way </w:t>
      </w:r>
      <w:r w:rsidR="00A9205A">
        <w:rPr>
          <w:rFonts w:ascii="Calibri" w:eastAsia="宋体" w:hAnsi="Calibri" w:cs="Calibri"/>
          <w:sz w:val="24"/>
          <w:szCs w:val="24"/>
        </w:rPr>
        <w:t>synteny</w:t>
      </w:r>
      <w:r w:rsidR="0094034A">
        <w:rPr>
          <w:rFonts w:ascii="Calibri" w:eastAsia="宋体" w:hAnsi="Calibri" w:cs="Calibri"/>
          <w:sz w:val="24"/>
          <w:szCs w:val="24"/>
        </w:rPr>
        <w:t xml:space="preserve"> disappears</w:t>
      </w:r>
      <w:r w:rsidR="00686E1B">
        <w:rPr>
          <w:rFonts w:ascii="Calibri" w:eastAsia="宋体" w:hAnsi="Calibri" w:cs="Calibri"/>
          <w:sz w:val="24"/>
          <w:szCs w:val="24"/>
        </w:rPr>
        <w:t xml:space="preserve"> where only level 3 Net is generated (largely corresponding to parental genes). </w:t>
      </w:r>
      <w:r w:rsidR="00A9205A">
        <w:rPr>
          <w:rFonts w:ascii="Calibri" w:eastAsia="宋体" w:hAnsi="Calibri" w:cs="Calibri"/>
          <w:sz w:val="24"/>
          <w:szCs w:val="24"/>
        </w:rPr>
        <w:t xml:space="preserve">The </w:t>
      </w:r>
      <w:r w:rsidR="0094034A">
        <w:rPr>
          <w:rFonts w:ascii="Calibri" w:eastAsia="宋体" w:hAnsi="Calibri" w:cs="Calibri"/>
          <w:sz w:val="24"/>
          <w:szCs w:val="24"/>
        </w:rPr>
        <w:t xml:space="preserve">misalignment is likely caused by a sequencing gap in the old assembly, </w:t>
      </w:r>
      <w:r w:rsidR="0094034A" w:rsidRPr="00580963">
        <w:rPr>
          <w:rFonts w:ascii="Calibri" w:eastAsia="宋体" w:hAnsi="Calibri" w:cs="Calibri"/>
          <w:i/>
          <w:sz w:val="24"/>
          <w:szCs w:val="24"/>
        </w:rPr>
        <w:t>i.e.</w:t>
      </w:r>
      <w:r w:rsidR="0094034A">
        <w:rPr>
          <w:rFonts w:ascii="Calibri" w:eastAsia="宋体" w:hAnsi="Calibri" w:cs="Calibri"/>
          <w:sz w:val="24"/>
          <w:szCs w:val="24"/>
        </w:rPr>
        <w:t xml:space="preserve">, </w:t>
      </w:r>
      <w:r w:rsidR="0094034A" w:rsidRPr="0094034A">
        <w:rPr>
          <w:rFonts w:ascii="Calibri" w:eastAsia="宋体" w:hAnsi="Calibri" w:cs="Calibri"/>
          <w:sz w:val="24"/>
          <w:szCs w:val="24"/>
        </w:rPr>
        <w:t>ponAbe2</w:t>
      </w:r>
      <w:r w:rsidR="0094034A">
        <w:rPr>
          <w:rFonts w:ascii="Calibri" w:eastAsia="宋体" w:hAnsi="Calibri" w:cs="Calibri"/>
          <w:sz w:val="24"/>
          <w:szCs w:val="24"/>
        </w:rPr>
        <w:t xml:space="preserve"> (Panel C). </w:t>
      </w:r>
    </w:p>
    <w:p w14:paraId="13443450" w14:textId="77777777" w:rsidR="007C457E" w:rsidRDefault="007C457E">
      <w:pPr>
        <w:widowControl/>
        <w:jc w:val="left"/>
        <w:rPr>
          <w:rFonts w:ascii="Calibri" w:eastAsia="宋体" w:hAnsi="Calibri" w:cs="Calibri"/>
          <w:sz w:val="24"/>
          <w:szCs w:val="24"/>
        </w:rPr>
      </w:pPr>
      <w:r>
        <w:rPr>
          <w:rFonts w:ascii="Calibri" w:eastAsia="宋体" w:hAnsi="Calibri" w:cs="Calibri"/>
          <w:sz w:val="24"/>
          <w:szCs w:val="24"/>
        </w:rPr>
        <w:br w:type="page"/>
      </w:r>
    </w:p>
    <w:p w14:paraId="3CD519D6" w14:textId="7AFBAA2F" w:rsidR="004C2378" w:rsidRDefault="004C41C1">
      <w:pPr>
        <w:spacing w:afterLines="50" w:after="156" w:line="288" w:lineRule="auto"/>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78F00AD4" wp14:editId="73DB4924">
            <wp:extent cx="5274310" cy="58140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5814060"/>
                    </a:xfrm>
                    <a:prstGeom prst="rect">
                      <a:avLst/>
                    </a:prstGeom>
                  </pic:spPr>
                </pic:pic>
              </a:graphicData>
            </a:graphic>
          </wp:inline>
        </w:drawing>
      </w:r>
    </w:p>
    <w:p w14:paraId="564CFB7C" w14:textId="6A6BF3C1" w:rsidR="004C2378" w:rsidRDefault="00D16417">
      <w:pPr>
        <w:spacing w:afterLines="50" w:after="156" w:line="288" w:lineRule="auto"/>
        <w:rPr>
          <w:rFonts w:ascii="Calibri" w:eastAsia="宋体" w:hAnsi="Calibri" w:cs="Calibri"/>
          <w:sz w:val="24"/>
          <w:szCs w:val="24"/>
        </w:rPr>
      </w:pPr>
      <w:r>
        <w:rPr>
          <w:rFonts w:ascii="Calibri" w:hAnsi="Calibri" w:cs="Calibri"/>
          <w:b/>
          <w:sz w:val="24"/>
          <w:szCs w:val="24"/>
        </w:rPr>
        <w:t>Supplemental Figure</w:t>
      </w:r>
      <w:r>
        <w:rPr>
          <w:rFonts w:ascii="Calibri" w:eastAsia="宋体" w:hAnsi="Calibri" w:cs="Calibri"/>
          <w:sz w:val="24"/>
          <w:szCs w:val="24"/>
        </w:rPr>
        <w:t xml:space="preserve"> </w:t>
      </w:r>
      <w:r>
        <w:rPr>
          <w:rFonts w:ascii="Calibri" w:eastAsia="宋体" w:hAnsi="Calibri" w:cs="Calibri"/>
          <w:b/>
          <w:sz w:val="24"/>
          <w:szCs w:val="24"/>
        </w:rPr>
        <w:t>S8.</w:t>
      </w:r>
      <w:r w:rsidR="00DA7C30" w:rsidRPr="00DA7C30">
        <w:rPr>
          <w:rFonts w:ascii="Calibri" w:eastAsia="宋体" w:hAnsi="Calibri"/>
          <w:kern w:val="0"/>
          <w:sz w:val="24"/>
          <w:szCs w:val="24"/>
        </w:rPr>
        <w:t xml:space="preserve"> Two independent retropositions of </w:t>
      </w:r>
      <w:r w:rsidR="00DA7C30" w:rsidRPr="00DA7C30">
        <w:rPr>
          <w:rFonts w:ascii="Calibri" w:eastAsia="宋体" w:hAnsi="Calibri"/>
          <w:i/>
          <w:kern w:val="0"/>
          <w:sz w:val="24"/>
          <w:szCs w:val="24"/>
        </w:rPr>
        <w:t>GLUD1</w:t>
      </w:r>
      <w:r w:rsidR="00DA7C30" w:rsidRPr="00DA7C30">
        <w:rPr>
          <w:rFonts w:ascii="Calibri" w:eastAsia="宋体" w:hAnsi="Calibri"/>
          <w:kern w:val="0"/>
          <w:sz w:val="24"/>
          <w:szCs w:val="24"/>
        </w:rPr>
        <w:t xml:space="preserve"> in primate evolution.</w:t>
      </w:r>
    </w:p>
    <w:p w14:paraId="6258AE98" w14:textId="1B19DF59" w:rsidR="004C2378" w:rsidRDefault="00DA7C30">
      <w:pPr>
        <w:spacing w:afterLines="50" w:after="156" w:line="288" w:lineRule="auto"/>
        <w:rPr>
          <w:rFonts w:ascii="Calibri" w:eastAsia="宋体" w:hAnsi="Calibri" w:cs="Calibri"/>
          <w:sz w:val="24"/>
          <w:szCs w:val="24"/>
        </w:rPr>
      </w:pPr>
      <w:r w:rsidRPr="00DA7C30">
        <w:rPr>
          <w:rFonts w:ascii="Calibri" w:eastAsia="宋体" w:hAnsi="Calibri"/>
          <w:kern w:val="0"/>
          <w:sz w:val="24"/>
          <w:szCs w:val="24"/>
        </w:rPr>
        <w:t xml:space="preserve">(A) Side-to-side syntenic view of </w:t>
      </w:r>
      <w:r w:rsidRPr="00DA7C30">
        <w:rPr>
          <w:rFonts w:ascii="Calibri" w:eastAsia="宋体" w:hAnsi="Calibri"/>
          <w:i/>
          <w:kern w:val="0"/>
          <w:sz w:val="24"/>
          <w:szCs w:val="24"/>
        </w:rPr>
        <w:t>GLUD1</w:t>
      </w:r>
      <w:r w:rsidRPr="00DA7C30">
        <w:rPr>
          <w:rFonts w:ascii="Calibri" w:eastAsia="宋体" w:hAnsi="Calibri"/>
          <w:kern w:val="0"/>
          <w:sz w:val="24"/>
          <w:szCs w:val="24"/>
        </w:rPr>
        <w:t xml:space="preserve"> (left) and </w:t>
      </w:r>
      <w:r w:rsidRPr="00DA7C30">
        <w:rPr>
          <w:rFonts w:ascii="Calibri" w:eastAsia="宋体" w:hAnsi="Calibri"/>
          <w:i/>
          <w:kern w:val="0"/>
          <w:sz w:val="24"/>
          <w:szCs w:val="24"/>
        </w:rPr>
        <w:t>GLUD2</w:t>
      </w:r>
      <w:r w:rsidRPr="00DA7C30">
        <w:rPr>
          <w:rFonts w:ascii="Calibri" w:eastAsia="宋体" w:hAnsi="Calibri"/>
          <w:kern w:val="0"/>
          <w:sz w:val="24"/>
          <w:szCs w:val="24"/>
        </w:rPr>
        <w:t xml:space="preserve"> (right) between human and other species. The region harboring both genes is highlighted in light blue. For the GENCODE gene annotation track, all noncoding transcripts have been turned off for simplicity. Wider boxes, narrower boxes and lines represent coding exons, untranslated regions and introns, respectively. Different colors in synteny tracks (Net) show different chromosomes with the specific chromosome ID marked on the figure. Continuous tracks show better synteny. The rhesus monkey synteny is of low quality because this region harbors multiple sequencing gaps. The </w:t>
      </w:r>
      <w:r w:rsidR="00D673EE">
        <w:rPr>
          <w:rFonts w:ascii="Calibri" w:eastAsia="宋体" w:hAnsi="Calibri"/>
          <w:kern w:val="0"/>
          <w:sz w:val="24"/>
          <w:szCs w:val="24"/>
        </w:rPr>
        <w:t>upper</w:t>
      </w:r>
      <w:r w:rsidRPr="00DA7C30">
        <w:rPr>
          <w:rFonts w:ascii="Calibri" w:eastAsia="宋体" w:hAnsi="Calibri"/>
          <w:kern w:val="0"/>
          <w:sz w:val="24"/>
          <w:szCs w:val="24"/>
        </w:rPr>
        <w:t xml:space="preserve">-level chain is </w:t>
      </w:r>
      <w:r w:rsidR="00D673EE">
        <w:rPr>
          <w:rFonts w:ascii="Calibri" w:eastAsia="宋体" w:hAnsi="Calibri"/>
          <w:kern w:val="0"/>
          <w:sz w:val="24"/>
          <w:szCs w:val="24"/>
        </w:rPr>
        <w:t xml:space="preserve">more likely </w:t>
      </w:r>
      <w:r w:rsidRPr="00DA7C30">
        <w:rPr>
          <w:rFonts w:ascii="Calibri" w:eastAsia="宋体" w:hAnsi="Calibri"/>
          <w:kern w:val="0"/>
          <w:sz w:val="24"/>
          <w:szCs w:val="24"/>
        </w:rPr>
        <w:t>syntenic</w:t>
      </w:r>
      <w:r w:rsidR="00D673EE">
        <w:rPr>
          <w:rFonts w:ascii="Calibri" w:eastAsia="宋体" w:hAnsi="Calibri"/>
          <w:kern w:val="0"/>
          <w:sz w:val="24"/>
          <w:szCs w:val="24"/>
        </w:rPr>
        <w:t>, which</w:t>
      </w:r>
      <w:r w:rsidRPr="00DA7C30">
        <w:rPr>
          <w:rFonts w:ascii="Calibri" w:eastAsia="宋体" w:hAnsi="Calibri"/>
          <w:kern w:val="0"/>
          <w:sz w:val="24"/>
          <w:szCs w:val="24"/>
        </w:rPr>
        <w:t xml:space="preserve"> is further filled with lower-level chains. For example, human </w:t>
      </w:r>
      <w:r w:rsidRPr="00DA7C30">
        <w:rPr>
          <w:rFonts w:ascii="Calibri" w:eastAsia="宋体" w:hAnsi="Calibri"/>
          <w:i/>
          <w:kern w:val="0"/>
          <w:sz w:val="24"/>
          <w:szCs w:val="24"/>
        </w:rPr>
        <w:lastRenderedPageBreak/>
        <w:t>GLUD1</w:t>
      </w:r>
      <w:r w:rsidRPr="00DA7C30">
        <w:rPr>
          <w:rFonts w:ascii="Calibri" w:eastAsia="宋体" w:hAnsi="Calibri"/>
          <w:kern w:val="0"/>
          <w:sz w:val="24"/>
          <w:szCs w:val="24"/>
        </w:rPr>
        <w:t xml:space="preserve"> map</w:t>
      </w:r>
      <w:r w:rsidR="00D673EE">
        <w:rPr>
          <w:rFonts w:ascii="Calibri" w:eastAsia="宋体" w:hAnsi="Calibri"/>
          <w:kern w:val="0"/>
          <w:sz w:val="24"/>
          <w:szCs w:val="24"/>
        </w:rPr>
        <w:t>s</w:t>
      </w:r>
      <w:r w:rsidRPr="00DA7C30">
        <w:rPr>
          <w:rFonts w:ascii="Calibri" w:eastAsia="宋体" w:hAnsi="Calibri"/>
          <w:kern w:val="0"/>
          <w:sz w:val="24"/>
          <w:szCs w:val="24"/>
        </w:rPr>
        <w:t xml:space="preserve"> to </w:t>
      </w:r>
      <w:r w:rsidR="00D673EE">
        <w:rPr>
          <w:rFonts w:ascii="Calibri" w:eastAsia="宋体" w:hAnsi="Calibri"/>
          <w:kern w:val="0"/>
          <w:sz w:val="24"/>
          <w:szCs w:val="24"/>
        </w:rPr>
        <w:t>two-way orthologous</w:t>
      </w:r>
      <w:r w:rsidR="00884336">
        <w:rPr>
          <w:rFonts w:ascii="Calibri" w:eastAsia="宋体" w:hAnsi="Calibri"/>
          <w:kern w:val="0"/>
          <w:sz w:val="24"/>
          <w:szCs w:val="24"/>
        </w:rPr>
        <w:t xml:space="preserve"> region of</w:t>
      </w:r>
      <w:r w:rsidR="00D673EE" w:rsidRPr="00DA7C30">
        <w:rPr>
          <w:rFonts w:ascii="Calibri" w:eastAsia="宋体" w:hAnsi="Calibri"/>
          <w:kern w:val="0"/>
          <w:sz w:val="24"/>
          <w:szCs w:val="24"/>
        </w:rPr>
        <w:t xml:space="preserve"> </w:t>
      </w:r>
      <w:r w:rsidR="00884336">
        <w:rPr>
          <w:rFonts w:ascii="Calibri" w:eastAsia="宋体" w:hAnsi="Calibri"/>
          <w:kern w:val="0"/>
          <w:sz w:val="24"/>
          <w:szCs w:val="24"/>
        </w:rPr>
        <w:t>Chr</w:t>
      </w:r>
      <w:r w:rsidR="00884336" w:rsidRPr="00DA7C30">
        <w:rPr>
          <w:rFonts w:ascii="Calibri" w:eastAsia="宋体" w:hAnsi="Calibri"/>
          <w:kern w:val="0"/>
          <w:sz w:val="24"/>
          <w:szCs w:val="24"/>
        </w:rPr>
        <w:t xml:space="preserve">12 </w:t>
      </w:r>
      <w:r w:rsidRPr="00DA7C30">
        <w:rPr>
          <w:rFonts w:ascii="Calibri" w:eastAsia="宋体" w:hAnsi="Calibri"/>
          <w:kern w:val="0"/>
          <w:sz w:val="24"/>
          <w:szCs w:val="24"/>
        </w:rPr>
        <w:t>(green</w:t>
      </w:r>
      <w:r w:rsidR="00E7365F">
        <w:rPr>
          <w:rFonts w:ascii="Calibri" w:eastAsia="宋体" w:hAnsi="Calibri"/>
          <w:kern w:val="0"/>
          <w:sz w:val="24"/>
          <w:szCs w:val="24"/>
        </w:rPr>
        <w:t>, left panel</w:t>
      </w:r>
      <w:r w:rsidRPr="00DA7C30">
        <w:rPr>
          <w:rFonts w:ascii="Calibri" w:eastAsia="宋体" w:hAnsi="Calibri"/>
          <w:kern w:val="0"/>
          <w:sz w:val="24"/>
          <w:szCs w:val="24"/>
        </w:rPr>
        <w:t>) in marmoset</w:t>
      </w:r>
      <w:r w:rsidR="00D673EE">
        <w:rPr>
          <w:rFonts w:ascii="Calibri" w:eastAsia="宋体" w:hAnsi="Calibri"/>
          <w:kern w:val="0"/>
          <w:sz w:val="24"/>
          <w:szCs w:val="24"/>
        </w:rPr>
        <w:t>, which encodes the orthologous locus</w:t>
      </w:r>
      <w:r w:rsidR="00126CDD">
        <w:rPr>
          <w:rFonts w:ascii="Calibri" w:eastAsia="宋体" w:hAnsi="Calibri"/>
          <w:kern w:val="0"/>
          <w:sz w:val="24"/>
          <w:szCs w:val="24"/>
        </w:rPr>
        <w:t xml:space="preserve"> of </w:t>
      </w:r>
      <w:r w:rsidR="00126CDD" w:rsidRPr="007961D6">
        <w:rPr>
          <w:rFonts w:ascii="Calibri" w:eastAsia="宋体" w:hAnsi="Calibri"/>
          <w:i/>
          <w:kern w:val="0"/>
          <w:sz w:val="24"/>
          <w:szCs w:val="24"/>
        </w:rPr>
        <w:t>GLUD1</w:t>
      </w:r>
      <w:r w:rsidR="00D673EE">
        <w:rPr>
          <w:rFonts w:ascii="Calibri" w:eastAsia="宋体" w:hAnsi="Calibri"/>
          <w:kern w:val="0"/>
          <w:sz w:val="24"/>
          <w:szCs w:val="24"/>
        </w:rPr>
        <w:t xml:space="preserve"> in this species. Human </w:t>
      </w:r>
      <w:r w:rsidR="00D673EE" w:rsidRPr="007961D6">
        <w:rPr>
          <w:rFonts w:ascii="Calibri" w:eastAsia="宋体" w:hAnsi="Calibri"/>
          <w:i/>
          <w:kern w:val="0"/>
          <w:sz w:val="24"/>
          <w:szCs w:val="24"/>
        </w:rPr>
        <w:t>GLUD2</w:t>
      </w:r>
      <w:r w:rsidR="00D673EE">
        <w:rPr>
          <w:rFonts w:ascii="Calibri" w:eastAsia="宋体" w:hAnsi="Calibri"/>
          <w:kern w:val="0"/>
          <w:sz w:val="24"/>
          <w:szCs w:val="24"/>
        </w:rPr>
        <w:t xml:space="preserve"> maps to the same region</w:t>
      </w:r>
      <w:r w:rsidR="00126CDD">
        <w:rPr>
          <w:rFonts w:ascii="Calibri" w:eastAsia="宋体" w:hAnsi="Calibri"/>
          <w:kern w:val="0"/>
          <w:sz w:val="24"/>
          <w:szCs w:val="24"/>
        </w:rPr>
        <w:t xml:space="preserve"> of marmoset</w:t>
      </w:r>
      <w:r w:rsidR="00E7365F">
        <w:rPr>
          <w:rFonts w:ascii="Calibri" w:eastAsia="宋体" w:hAnsi="Calibri"/>
          <w:kern w:val="0"/>
          <w:sz w:val="24"/>
          <w:szCs w:val="24"/>
        </w:rPr>
        <w:t xml:space="preserve"> (right panel)</w:t>
      </w:r>
      <w:r w:rsidR="00D673EE">
        <w:rPr>
          <w:rFonts w:ascii="Calibri" w:eastAsia="宋体" w:hAnsi="Calibri"/>
          <w:kern w:val="0"/>
          <w:sz w:val="24"/>
          <w:szCs w:val="24"/>
        </w:rPr>
        <w:t xml:space="preserve">, which is not </w:t>
      </w:r>
      <w:r w:rsidR="00126CDD">
        <w:rPr>
          <w:rFonts w:ascii="Calibri" w:eastAsia="宋体" w:hAnsi="Calibri"/>
          <w:kern w:val="0"/>
          <w:sz w:val="24"/>
          <w:szCs w:val="24"/>
        </w:rPr>
        <w:t xml:space="preserve">an </w:t>
      </w:r>
      <w:r w:rsidR="00D673EE">
        <w:rPr>
          <w:rFonts w:ascii="Calibri" w:eastAsia="宋体" w:hAnsi="Calibri"/>
          <w:kern w:val="0"/>
          <w:sz w:val="24"/>
          <w:szCs w:val="24"/>
        </w:rPr>
        <w:t>orthologous</w:t>
      </w:r>
      <w:r w:rsidR="00126CDD">
        <w:rPr>
          <w:rFonts w:ascii="Calibri" w:eastAsia="宋体" w:hAnsi="Calibri"/>
          <w:kern w:val="0"/>
          <w:sz w:val="24"/>
          <w:szCs w:val="24"/>
        </w:rPr>
        <w:t xml:space="preserve"> mapping</w:t>
      </w:r>
      <w:r w:rsidRPr="00DA7C30">
        <w:rPr>
          <w:rFonts w:ascii="Calibri" w:eastAsia="宋体" w:hAnsi="Calibri"/>
          <w:kern w:val="0"/>
          <w:sz w:val="24"/>
          <w:szCs w:val="24"/>
        </w:rPr>
        <w:t>. (B)</w:t>
      </w:r>
      <w:r>
        <w:rPr>
          <w:rFonts w:ascii="Calibri" w:eastAsia="宋体" w:hAnsi="Calibri" w:cs="Calibri"/>
          <w:sz w:val="24"/>
          <w:szCs w:val="24"/>
        </w:rPr>
        <w:t xml:space="preserve"> </w:t>
      </w:r>
      <w:r w:rsidR="00D16417">
        <w:rPr>
          <w:rFonts w:ascii="Calibri" w:eastAsia="宋体" w:hAnsi="Calibri" w:cs="Calibri"/>
          <w:sz w:val="24"/>
          <w:szCs w:val="24"/>
        </w:rPr>
        <w:t>Syntenic view between rhesus monkey and human</w:t>
      </w:r>
      <w:r w:rsidR="0091745A">
        <w:rPr>
          <w:rFonts w:ascii="Calibri" w:eastAsia="宋体" w:hAnsi="Calibri" w:cs="Calibri"/>
          <w:sz w:val="24"/>
          <w:szCs w:val="24"/>
        </w:rPr>
        <w:t xml:space="preserve"> with rhesus monkey as the focal species</w:t>
      </w:r>
      <w:r w:rsidR="00D16417">
        <w:rPr>
          <w:rFonts w:ascii="Calibri" w:eastAsia="宋体" w:hAnsi="Calibri" w:cs="Calibri"/>
          <w:sz w:val="24"/>
          <w:szCs w:val="24"/>
        </w:rPr>
        <w:t xml:space="preserve">. </w:t>
      </w:r>
      <w:r w:rsidR="00BA44D7">
        <w:rPr>
          <w:rFonts w:ascii="Calibri" w:eastAsia="宋体" w:hAnsi="Calibri" w:cs="Calibri"/>
          <w:sz w:val="24"/>
          <w:szCs w:val="24"/>
        </w:rPr>
        <w:t>In Net track, t</w:t>
      </w:r>
      <w:r w:rsidR="00D16417">
        <w:rPr>
          <w:rFonts w:ascii="Calibri" w:eastAsia="宋体" w:hAnsi="Calibri" w:cs="Calibri"/>
          <w:sz w:val="24"/>
          <w:szCs w:val="24"/>
        </w:rPr>
        <w:t>he candidate orthologous region in rhesus monkey (</w:t>
      </w:r>
      <w:r w:rsidR="006100B4">
        <w:rPr>
          <w:rFonts w:ascii="Calibri" w:eastAsia="宋体" w:hAnsi="Calibri" w:cs="Calibri"/>
          <w:sz w:val="24"/>
          <w:szCs w:val="24"/>
        </w:rPr>
        <w:t>Chr12</w:t>
      </w:r>
      <w:r w:rsidR="00D16417">
        <w:rPr>
          <w:rFonts w:ascii="Calibri" w:eastAsia="宋体" w:hAnsi="Calibri" w:cs="Calibri"/>
          <w:sz w:val="24"/>
          <w:szCs w:val="24"/>
        </w:rPr>
        <w:t xml:space="preserve">) is largely mapped to the human X </w:t>
      </w:r>
      <w:r w:rsidR="006100B4">
        <w:rPr>
          <w:rFonts w:ascii="Calibri" w:eastAsia="宋体" w:hAnsi="Calibri" w:cs="Calibri"/>
          <w:sz w:val="24"/>
          <w:szCs w:val="24"/>
        </w:rPr>
        <w:t xml:space="preserve">Chromosome </w:t>
      </w:r>
      <w:r w:rsidR="00D16417">
        <w:rPr>
          <w:rFonts w:ascii="Calibri" w:eastAsia="宋体" w:hAnsi="Calibri" w:cs="Calibri"/>
          <w:sz w:val="24"/>
          <w:szCs w:val="24"/>
        </w:rPr>
        <w:t xml:space="preserve">(gray), which encodes </w:t>
      </w:r>
      <w:r w:rsidR="00D16417">
        <w:rPr>
          <w:rFonts w:ascii="Calibri" w:eastAsia="宋体" w:hAnsi="Calibri" w:cs="Calibri"/>
          <w:i/>
          <w:sz w:val="24"/>
          <w:szCs w:val="24"/>
        </w:rPr>
        <w:t>GLUD2</w:t>
      </w:r>
      <w:r w:rsidR="00D16417">
        <w:rPr>
          <w:rFonts w:ascii="Calibri" w:eastAsia="宋体" w:hAnsi="Calibri" w:cs="Calibri"/>
          <w:sz w:val="24"/>
          <w:szCs w:val="24"/>
        </w:rPr>
        <w:t xml:space="preserve">. Notably, a small region is mapped to human </w:t>
      </w:r>
      <w:r w:rsidR="006100B4">
        <w:rPr>
          <w:rFonts w:ascii="Calibri" w:eastAsia="宋体" w:hAnsi="Calibri" w:cs="Calibri"/>
          <w:sz w:val="24"/>
          <w:szCs w:val="24"/>
        </w:rPr>
        <w:t>Chr10</w:t>
      </w:r>
      <w:r w:rsidR="00D16417">
        <w:rPr>
          <w:rFonts w:ascii="Calibri" w:eastAsia="宋体" w:hAnsi="Calibri" w:cs="Calibri"/>
          <w:sz w:val="24"/>
          <w:szCs w:val="24"/>
        </w:rPr>
        <w:t xml:space="preserve">, which encodes </w:t>
      </w:r>
      <w:r w:rsidR="00D16417">
        <w:rPr>
          <w:rFonts w:ascii="Calibri" w:eastAsia="宋体" w:hAnsi="Calibri" w:cs="Calibri"/>
          <w:i/>
          <w:sz w:val="24"/>
          <w:szCs w:val="24"/>
        </w:rPr>
        <w:t>GLUD1</w:t>
      </w:r>
      <w:r w:rsidR="00D16417">
        <w:rPr>
          <w:rFonts w:ascii="Calibri" w:eastAsia="宋体" w:hAnsi="Calibri" w:cs="Calibri"/>
          <w:sz w:val="24"/>
          <w:szCs w:val="24"/>
        </w:rPr>
        <w:t xml:space="preserve">. </w:t>
      </w:r>
      <w:r>
        <w:rPr>
          <w:rFonts w:ascii="Calibri" w:eastAsia="宋体" w:hAnsi="Calibri" w:cs="Calibri" w:hint="eastAsia"/>
          <w:sz w:val="24"/>
          <w:szCs w:val="24"/>
        </w:rPr>
        <w:t>(</w:t>
      </w:r>
      <w:r>
        <w:rPr>
          <w:rFonts w:ascii="Calibri" w:eastAsia="宋体" w:hAnsi="Calibri" w:cs="Calibri"/>
          <w:sz w:val="24"/>
          <w:szCs w:val="24"/>
        </w:rPr>
        <w:t>C)</w:t>
      </w:r>
      <w:r w:rsidR="00D16417">
        <w:rPr>
          <w:rFonts w:ascii="Calibri" w:eastAsia="宋体" w:hAnsi="Calibri" w:cs="Calibri"/>
          <w:sz w:val="24"/>
          <w:szCs w:val="24"/>
        </w:rPr>
        <w:t xml:space="preserve"> BLAT alignment results with the rhesus </w:t>
      </w:r>
      <w:r w:rsidR="006100B4">
        <w:rPr>
          <w:rFonts w:ascii="Calibri" w:eastAsia="宋体" w:hAnsi="Calibri" w:cs="Calibri"/>
          <w:sz w:val="24"/>
          <w:szCs w:val="24"/>
        </w:rPr>
        <w:t xml:space="preserve">Chr12 </w:t>
      </w:r>
      <w:r w:rsidR="00D16417">
        <w:rPr>
          <w:rFonts w:ascii="Calibri" w:eastAsia="宋体" w:hAnsi="Calibri" w:cs="Calibri"/>
          <w:sz w:val="24"/>
          <w:szCs w:val="24"/>
        </w:rPr>
        <w:t xml:space="preserve">region against the human genome. Only the top 2 hits are shown since the other hits are much less significant. The first and second hits correspond to human </w:t>
      </w:r>
      <w:r w:rsidR="00D16417">
        <w:rPr>
          <w:rFonts w:ascii="Calibri" w:eastAsia="宋体" w:hAnsi="Calibri" w:cs="Calibri"/>
          <w:i/>
          <w:sz w:val="24"/>
          <w:szCs w:val="24"/>
        </w:rPr>
        <w:t>GLUD1</w:t>
      </w:r>
      <w:r w:rsidR="00D16417">
        <w:rPr>
          <w:rFonts w:ascii="Calibri" w:eastAsia="宋体" w:hAnsi="Calibri" w:cs="Calibri"/>
          <w:sz w:val="24"/>
          <w:szCs w:val="24"/>
        </w:rPr>
        <w:t xml:space="preserve"> and </w:t>
      </w:r>
      <w:r w:rsidR="00D16417">
        <w:rPr>
          <w:rFonts w:ascii="Calibri" w:eastAsia="宋体" w:hAnsi="Calibri" w:cs="Calibri"/>
          <w:i/>
          <w:sz w:val="24"/>
          <w:szCs w:val="24"/>
        </w:rPr>
        <w:t>GLUD2</w:t>
      </w:r>
      <w:r>
        <w:rPr>
          <w:rFonts w:ascii="Calibri" w:eastAsia="宋体" w:hAnsi="Calibri" w:cs="Calibri"/>
          <w:sz w:val="24"/>
          <w:szCs w:val="24"/>
        </w:rPr>
        <w:t>, respectively. (D)</w:t>
      </w:r>
      <w:r w:rsidR="00D16417">
        <w:rPr>
          <w:rFonts w:ascii="Calibri" w:eastAsia="宋体" w:hAnsi="Calibri" w:cs="Calibri"/>
          <w:sz w:val="24"/>
          <w:szCs w:val="24"/>
        </w:rPr>
        <w:t xml:space="preserve"> Genome browser view of the top 1 hit</w:t>
      </w:r>
      <w:r w:rsidR="00E7365F">
        <w:rPr>
          <w:rFonts w:ascii="Calibri" w:eastAsia="宋体" w:hAnsi="Calibri" w:cs="Calibri"/>
          <w:sz w:val="24"/>
          <w:szCs w:val="24"/>
        </w:rPr>
        <w:t xml:space="preserve"> </w:t>
      </w:r>
      <w:r w:rsidR="00D16417">
        <w:rPr>
          <w:rFonts w:ascii="Calibri" w:eastAsia="宋体" w:hAnsi="Calibri" w:cs="Calibri"/>
          <w:sz w:val="24"/>
          <w:szCs w:val="24"/>
        </w:rPr>
        <w:t xml:space="preserve">shows that an intronless gene of rhesus monkey is mapped to human </w:t>
      </w:r>
      <w:r w:rsidR="00D16417">
        <w:rPr>
          <w:rFonts w:ascii="Calibri" w:eastAsia="宋体" w:hAnsi="Calibri" w:cs="Calibri"/>
          <w:i/>
          <w:sz w:val="24"/>
          <w:szCs w:val="24"/>
        </w:rPr>
        <w:t>GLUD1</w:t>
      </w:r>
      <w:r w:rsidR="00D16417">
        <w:rPr>
          <w:rFonts w:ascii="Calibri" w:eastAsia="宋体" w:hAnsi="Calibri" w:cs="Calibri"/>
          <w:sz w:val="24"/>
          <w:szCs w:val="24"/>
        </w:rPr>
        <w:t xml:space="preserve"> locus. </w:t>
      </w:r>
      <w:r w:rsidR="00D16417">
        <w:rPr>
          <w:rFonts w:ascii="Calibri" w:eastAsia="宋体" w:hAnsi="Calibri" w:cs="Calibri"/>
          <w:sz w:val="24"/>
          <w:szCs w:val="24"/>
        </w:rPr>
        <w:br w:type="page"/>
      </w:r>
    </w:p>
    <w:p w14:paraId="7F2EE24B" w14:textId="097D77F7" w:rsidR="004C2378" w:rsidRDefault="00BD533A">
      <w:pPr>
        <w:spacing w:afterLines="50" w:after="156" w:line="288" w:lineRule="auto"/>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2D7006AA" wp14:editId="2DD20AB5">
            <wp:extent cx="5274310" cy="425640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F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256405"/>
                    </a:xfrm>
                    <a:prstGeom prst="rect">
                      <a:avLst/>
                    </a:prstGeom>
                  </pic:spPr>
                </pic:pic>
              </a:graphicData>
            </a:graphic>
          </wp:inline>
        </w:drawing>
      </w:r>
    </w:p>
    <w:p w14:paraId="44AC58B9" w14:textId="77777777" w:rsidR="004C2378" w:rsidRDefault="00D16417">
      <w:pPr>
        <w:spacing w:afterLines="50" w:after="156" w:line="288" w:lineRule="auto"/>
        <w:rPr>
          <w:rFonts w:ascii="Calibri" w:eastAsia="宋体" w:hAnsi="Calibri" w:cs="Calibri"/>
          <w:sz w:val="24"/>
          <w:szCs w:val="24"/>
        </w:rPr>
      </w:pPr>
      <w:r>
        <w:rPr>
          <w:rFonts w:ascii="Calibri" w:hAnsi="Calibri" w:cs="Calibri"/>
          <w:b/>
          <w:sz w:val="24"/>
          <w:szCs w:val="24"/>
        </w:rPr>
        <w:t>Supplemental Figure</w:t>
      </w:r>
      <w:r>
        <w:rPr>
          <w:rFonts w:ascii="Calibri" w:eastAsia="宋体" w:hAnsi="Calibri" w:cs="Calibri"/>
          <w:sz w:val="24"/>
          <w:szCs w:val="24"/>
        </w:rPr>
        <w:t xml:space="preserve"> </w:t>
      </w:r>
      <w:r>
        <w:rPr>
          <w:rFonts w:ascii="Calibri" w:eastAsia="宋体" w:hAnsi="Calibri" w:cs="Calibri"/>
          <w:b/>
          <w:sz w:val="24"/>
          <w:szCs w:val="24"/>
        </w:rPr>
        <w:t>S9.</w:t>
      </w:r>
      <w:r>
        <w:rPr>
          <w:rFonts w:ascii="Calibri" w:eastAsia="宋体" w:hAnsi="Calibri" w:cs="Calibri"/>
          <w:sz w:val="24"/>
          <w:szCs w:val="24"/>
        </w:rPr>
        <w:t xml:space="preserve"> Syntenic view of human </w:t>
      </w:r>
      <w:r>
        <w:rPr>
          <w:rFonts w:ascii="Calibri" w:eastAsia="宋体" w:hAnsi="Calibri" w:cs="Calibri"/>
          <w:i/>
          <w:sz w:val="24"/>
          <w:szCs w:val="24"/>
        </w:rPr>
        <w:t xml:space="preserve">ANKRD20A2 </w:t>
      </w:r>
      <w:r>
        <w:rPr>
          <w:rFonts w:ascii="Calibri" w:eastAsia="宋体" w:hAnsi="Calibri" w:cs="Calibri"/>
          <w:sz w:val="24"/>
          <w:szCs w:val="24"/>
        </w:rPr>
        <w:t xml:space="preserve">locus relative to chimpanzee. </w:t>
      </w:r>
    </w:p>
    <w:p w14:paraId="22D48641" w14:textId="60F147A0" w:rsidR="004C2378" w:rsidRDefault="0091745A">
      <w:pPr>
        <w:spacing w:afterLines="50" w:after="156" w:line="288" w:lineRule="auto"/>
        <w:rPr>
          <w:rFonts w:ascii="Calibri" w:eastAsia="宋体" w:hAnsi="Calibri" w:cs="Calibri"/>
          <w:sz w:val="24"/>
          <w:szCs w:val="24"/>
        </w:rPr>
      </w:pPr>
      <w:r>
        <w:rPr>
          <w:rFonts w:ascii="Calibri" w:eastAsia="宋体" w:hAnsi="Calibri" w:cs="Calibri"/>
          <w:sz w:val="24"/>
          <w:szCs w:val="24"/>
        </w:rPr>
        <w:t xml:space="preserve">Panel A and C takes human as the focal species, while Panel B and D take chimpanzee as the focal species. </w:t>
      </w:r>
      <w:r w:rsidR="00D16417">
        <w:rPr>
          <w:rFonts w:ascii="Calibri" w:eastAsia="宋体" w:hAnsi="Calibri" w:cs="Calibri"/>
          <w:sz w:val="24"/>
          <w:szCs w:val="24"/>
        </w:rPr>
        <w:t>In the old version (human hg19/chimpanzee panTro4, Panel A), four exons at the 3’-terminal (right) is syntenic with chimpanzee. In the new version (hg38/panTro6, Panel C), the synteny gets better by including both 5’- and 3’-terminal exon</w:t>
      </w:r>
      <w:r w:rsidR="00D16417">
        <w:rPr>
          <w:rFonts w:ascii="Calibri" w:eastAsia="宋体" w:hAnsi="Calibri" w:cs="Calibri" w:hint="eastAsia"/>
          <w:sz w:val="24"/>
          <w:szCs w:val="24"/>
        </w:rPr>
        <w:t>s</w:t>
      </w:r>
      <w:r w:rsidR="00D16417">
        <w:rPr>
          <w:rFonts w:ascii="Calibri" w:eastAsia="宋体" w:hAnsi="Calibri" w:cs="Calibri"/>
          <w:sz w:val="24"/>
          <w:szCs w:val="24"/>
        </w:rPr>
        <w:t>. The syntenic gap in the middle is likely caused by sequencing gap(s) in chimpanzee assemblies (</w:t>
      </w:r>
      <w:r w:rsidR="00ED54B0">
        <w:rPr>
          <w:rFonts w:ascii="Calibri" w:eastAsia="宋体" w:hAnsi="Calibri" w:cs="Calibri"/>
          <w:sz w:val="24"/>
          <w:szCs w:val="24"/>
        </w:rPr>
        <w:t xml:space="preserve">old assembly in </w:t>
      </w:r>
      <w:r w:rsidR="00D16417">
        <w:rPr>
          <w:rFonts w:ascii="Calibri" w:eastAsia="宋体" w:hAnsi="Calibri" w:cs="Calibri"/>
          <w:sz w:val="24"/>
          <w:szCs w:val="24"/>
        </w:rPr>
        <w:t xml:space="preserve">Panel B, </w:t>
      </w:r>
      <w:r w:rsidR="00ED54B0">
        <w:rPr>
          <w:rFonts w:ascii="Calibri" w:eastAsia="宋体" w:hAnsi="Calibri" w:cs="Calibri"/>
          <w:sz w:val="24"/>
          <w:szCs w:val="24"/>
        </w:rPr>
        <w:t xml:space="preserve">new assembly in Panel </w:t>
      </w:r>
      <w:r w:rsidR="00D16417">
        <w:rPr>
          <w:rFonts w:ascii="Calibri" w:eastAsia="宋体" w:hAnsi="Calibri" w:cs="Calibri"/>
          <w:sz w:val="24"/>
          <w:szCs w:val="24"/>
        </w:rPr>
        <w:t xml:space="preserve">D). </w:t>
      </w:r>
    </w:p>
    <w:p w14:paraId="4E2F254F" w14:textId="77777777" w:rsidR="004C2378" w:rsidRDefault="004C2378">
      <w:pPr>
        <w:spacing w:afterLines="50" w:after="156" w:line="288" w:lineRule="auto"/>
        <w:rPr>
          <w:rFonts w:ascii="Calibri" w:eastAsia="宋体" w:hAnsi="Calibri" w:cs="Calibri"/>
          <w:sz w:val="24"/>
          <w:szCs w:val="24"/>
        </w:rPr>
      </w:pPr>
    </w:p>
    <w:p w14:paraId="01B71C4C"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68C545DB" w14:textId="77E439EA"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098EC53D" wp14:editId="29000BCD">
            <wp:extent cx="4287520" cy="88633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F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7520" cy="8863330"/>
                    </a:xfrm>
                    <a:prstGeom prst="rect">
                      <a:avLst/>
                    </a:prstGeom>
                  </pic:spPr>
                </pic:pic>
              </a:graphicData>
            </a:graphic>
          </wp:inline>
        </w:drawing>
      </w:r>
    </w:p>
    <w:p w14:paraId="7315CFE1" w14:textId="1EDE6F18" w:rsidR="004C2378" w:rsidRDefault="00D16417">
      <w:pPr>
        <w:spacing w:afterLines="50" w:after="156" w:line="288" w:lineRule="auto"/>
        <w:rPr>
          <w:rFonts w:ascii="Calibri" w:hAnsi="Calibri" w:cs="Calibri"/>
          <w:sz w:val="24"/>
          <w:szCs w:val="24"/>
        </w:rPr>
      </w:pPr>
      <w:r>
        <w:rPr>
          <w:rFonts w:ascii="Calibri" w:hAnsi="Calibri" w:cs="Calibri"/>
          <w:b/>
          <w:sz w:val="24"/>
          <w:szCs w:val="24"/>
        </w:rPr>
        <w:lastRenderedPageBreak/>
        <w:t>Supplemental Figure S10.</w:t>
      </w:r>
      <w:r>
        <w:rPr>
          <w:rFonts w:ascii="Calibri" w:hAnsi="Calibri" w:cs="Calibri"/>
          <w:sz w:val="24"/>
          <w:szCs w:val="24"/>
        </w:rPr>
        <w:t xml:space="preserve"> </w:t>
      </w:r>
      <w:r>
        <w:rPr>
          <w:rFonts w:ascii="Calibri" w:hAnsi="Calibri" w:cs="Calibri" w:hint="eastAsia"/>
          <w:sz w:val="24"/>
          <w:szCs w:val="24"/>
        </w:rPr>
        <w:t>P</w:t>
      </w:r>
      <w:r>
        <w:rPr>
          <w:rFonts w:ascii="Calibri" w:hAnsi="Calibri" w:cs="Calibri"/>
          <w:sz w:val="24"/>
          <w:szCs w:val="24"/>
        </w:rPr>
        <w:t>rotein expression</w:t>
      </w:r>
      <w:r>
        <w:rPr>
          <w:rFonts w:ascii="Calibri" w:hAnsi="Calibri" w:cs="Calibri" w:hint="eastAsia"/>
          <w:sz w:val="24"/>
          <w:szCs w:val="24"/>
        </w:rPr>
        <w:t xml:space="preserve"> h</w:t>
      </w:r>
      <w:r>
        <w:rPr>
          <w:rFonts w:ascii="Calibri" w:hAnsi="Calibri" w:cs="Calibri"/>
          <w:sz w:val="24"/>
          <w:szCs w:val="24"/>
        </w:rPr>
        <w:t xml:space="preserve">eatmap of PSGs. </w:t>
      </w:r>
    </w:p>
    <w:p w14:paraId="26D4DC1B" w14:textId="08E60323" w:rsidR="004C2378" w:rsidRDefault="003B46AD">
      <w:pPr>
        <w:spacing w:afterLines="50" w:after="156" w:line="288" w:lineRule="auto"/>
        <w:rPr>
          <w:rFonts w:ascii="Calibri" w:hAnsi="Calibri" w:cs="Calibri"/>
          <w:sz w:val="24"/>
          <w:szCs w:val="24"/>
        </w:rPr>
      </w:pPr>
      <w:r>
        <w:rPr>
          <w:rFonts w:ascii="Calibri" w:hAnsi="Calibri" w:cs="Calibri"/>
          <w:sz w:val="24"/>
          <w:szCs w:val="24"/>
        </w:rPr>
        <w:t>H</w:t>
      </w:r>
      <w:r w:rsidR="00D16417">
        <w:rPr>
          <w:rFonts w:ascii="Calibri" w:hAnsi="Calibri" w:cs="Calibri"/>
          <w:sz w:val="24"/>
          <w:szCs w:val="24"/>
        </w:rPr>
        <w:t>eatmap</w:t>
      </w:r>
      <w:r w:rsidR="00964ECB">
        <w:rPr>
          <w:rFonts w:ascii="Calibri" w:hAnsi="Calibri" w:cs="Calibri"/>
          <w:sz w:val="24"/>
          <w:szCs w:val="24"/>
        </w:rPr>
        <w:t>s</w:t>
      </w:r>
      <w:r>
        <w:rPr>
          <w:rFonts w:ascii="Calibri" w:hAnsi="Calibri" w:cs="Calibri"/>
          <w:sz w:val="24"/>
          <w:szCs w:val="24"/>
        </w:rPr>
        <w:t xml:space="preserve"> are</w:t>
      </w:r>
      <w:r w:rsidR="00D16417">
        <w:rPr>
          <w:rFonts w:ascii="Calibri" w:hAnsi="Calibri" w:cs="Calibri"/>
          <w:sz w:val="24"/>
          <w:szCs w:val="24"/>
        </w:rPr>
        <w:t xml:space="preserve"> generated </w:t>
      </w:r>
      <w:r>
        <w:rPr>
          <w:rFonts w:ascii="Calibri" w:hAnsi="Calibri" w:cs="Calibri"/>
          <w:sz w:val="24"/>
          <w:szCs w:val="24"/>
        </w:rPr>
        <w:t xml:space="preserve">based on mapping results of </w:t>
      </w:r>
      <w:r w:rsidR="00D16417">
        <w:rPr>
          <w:rFonts w:ascii="Calibri" w:hAnsi="Calibri" w:cs="Calibri"/>
          <w:sz w:val="24"/>
          <w:szCs w:val="24"/>
        </w:rPr>
        <w:t>MaxQuant (A) and pFind (B)</w:t>
      </w:r>
      <w:r>
        <w:rPr>
          <w:rFonts w:ascii="Calibri" w:hAnsi="Calibri" w:cs="Calibri"/>
          <w:sz w:val="24"/>
          <w:szCs w:val="24"/>
        </w:rPr>
        <w:t>, respectively</w:t>
      </w:r>
      <w:r w:rsidR="00D16417">
        <w:rPr>
          <w:rFonts w:ascii="Calibri" w:hAnsi="Calibri" w:cs="Calibri"/>
          <w:sz w:val="24"/>
          <w:szCs w:val="24"/>
        </w:rPr>
        <w:t>. We used spectra count values as the input, which are further scaled by the pheatmap function of R in order to highlight the difference between genes. The 11 testis-dominant protein-coding genes (10 genes for each dataset with 9 genes overlapping) are indicated in red, which are clustered as a single group in both panels.</w:t>
      </w:r>
    </w:p>
    <w:p w14:paraId="4F0CCAE7"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38D0EA9E" w14:textId="08ED42A6" w:rsidR="004C2378" w:rsidRDefault="00D16417">
      <w:pPr>
        <w:spacing w:afterLines="50" w:after="156" w:line="288" w:lineRule="auto"/>
        <w:jc w:val="center"/>
        <w:rPr>
          <w:rFonts w:ascii="Calibri" w:eastAsia="宋体" w:hAnsi="Calibri" w:cs="Calibri"/>
          <w:sz w:val="24"/>
          <w:szCs w:val="24"/>
        </w:rPr>
      </w:pPr>
      <w:r>
        <w:rPr>
          <w:rFonts w:ascii="Calibri" w:hAnsi="Calibri" w:cs="Calibri"/>
          <w:sz w:val="24"/>
          <w:szCs w:val="24"/>
        </w:rPr>
        <w:lastRenderedPageBreak/>
        <w:t xml:space="preserve"> </w:t>
      </w:r>
      <w:r w:rsidR="001C07C9">
        <w:rPr>
          <w:noProof/>
          <w:szCs w:val="21"/>
        </w:rPr>
        <w:drawing>
          <wp:inline distT="0" distB="0" distL="0" distR="0" wp14:anchorId="11227F8C" wp14:editId="76388EBD">
            <wp:extent cx="5274310" cy="55632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5563235"/>
                    </a:xfrm>
                    <a:prstGeom prst="rect">
                      <a:avLst/>
                    </a:prstGeom>
                  </pic:spPr>
                </pic:pic>
              </a:graphicData>
            </a:graphic>
          </wp:inline>
        </w:drawing>
      </w:r>
    </w:p>
    <w:p w14:paraId="41C57C0D" w14:textId="77777777" w:rsidR="004C2378" w:rsidRDefault="00D16417">
      <w:pPr>
        <w:spacing w:afterLines="50" w:after="156" w:line="288" w:lineRule="auto"/>
        <w:rPr>
          <w:rFonts w:ascii="Calibri" w:hAnsi="Calibri" w:cs="Calibri"/>
          <w:sz w:val="24"/>
          <w:szCs w:val="24"/>
        </w:rPr>
      </w:pPr>
      <w:bookmarkStart w:id="0" w:name="OLE_LINK22"/>
      <w:bookmarkStart w:id="1" w:name="OLE_LINK25"/>
      <w:bookmarkStart w:id="2" w:name="OLE_LINK26"/>
      <w:bookmarkStart w:id="3" w:name="OLE_LINK27"/>
      <w:bookmarkStart w:id="4" w:name="OLE_LINK28"/>
      <w:r>
        <w:rPr>
          <w:rFonts w:ascii="Calibri" w:hAnsi="Calibri" w:cs="Calibri"/>
          <w:b/>
          <w:sz w:val="24"/>
          <w:szCs w:val="24"/>
        </w:rPr>
        <w:t>Supplemental Figure S11.</w:t>
      </w:r>
      <w:r>
        <w:rPr>
          <w:rFonts w:ascii="Calibri" w:hAnsi="Calibri" w:cs="Calibri"/>
          <w:sz w:val="24"/>
          <w:szCs w:val="24"/>
        </w:rPr>
        <w:t xml:space="preserve"> Pie chart of PSGs with coding evidence.</w:t>
      </w:r>
    </w:p>
    <w:p w14:paraId="5034D198" w14:textId="77777777" w:rsidR="004C2378" w:rsidRDefault="00D16417">
      <w:pPr>
        <w:widowControl/>
        <w:jc w:val="left"/>
        <w:rPr>
          <w:rFonts w:ascii="Calibri" w:hAnsi="Calibri" w:cs="Calibri"/>
          <w:sz w:val="24"/>
          <w:szCs w:val="24"/>
        </w:rPr>
      </w:pPr>
      <w:r>
        <w:rPr>
          <w:rFonts w:ascii="Calibri" w:hAnsi="Calibri" w:cs="Calibri"/>
          <w:sz w:val="24"/>
          <w:szCs w:val="24"/>
        </w:rPr>
        <w:br w:type="page"/>
      </w:r>
    </w:p>
    <w:bookmarkEnd w:id="0"/>
    <w:bookmarkEnd w:id="1"/>
    <w:bookmarkEnd w:id="2"/>
    <w:bookmarkEnd w:id="3"/>
    <w:bookmarkEnd w:id="4"/>
    <w:p w14:paraId="15598A04" w14:textId="6E470CC2"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36C15727" wp14:editId="02741252">
            <wp:extent cx="5274310" cy="211455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F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114550"/>
                    </a:xfrm>
                    <a:prstGeom prst="rect">
                      <a:avLst/>
                    </a:prstGeom>
                  </pic:spPr>
                </pic:pic>
              </a:graphicData>
            </a:graphic>
          </wp:inline>
        </w:drawing>
      </w:r>
    </w:p>
    <w:p w14:paraId="27106E1B" w14:textId="77777777" w:rsidR="004C2378" w:rsidRDefault="00D16417">
      <w:pPr>
        <w:spacing w:afterLines="50" w:after="156" w:line="288" w:lineRule="auto"/>
        <w:rPr>
          <w:rFonts w:ascii="Calibri" w:hAnsi="Calibri" w:cs="Calibri"/>
          <w:sz w:val="24"/>
          <w:szCs w:val="24"/>
        </w:rPr>
      </w:pPr>
      <w:bookmarkStart w:id="5" w:name="OLE_LINK29"/>
      <w:bookmarkStart w:id="6" w:name="OLE_LINK30"/>
      <w:r>
        <w:rPr>
          <w:rFonts w:ascii="Calibri" w:hAnsi="Calibri" w:cs="Calibri"/>
          <w:b/>
          <w:sz w:val="24"/>
          <w:szCs w:val="24"/>
        </w:rPr>
        <w:t>Supplemental Figure S12.</w:t>
      </w:r>
      <w:r>
        <w:rPr>
          <w:rFonts w:ascii="Calibri" w:hAnsi="Calibri" w:cs="Calibri"/>
          <w:sz w:val="24"/>
          <w:szCs w:val="24"/>
        </w:rPr>
        <w:t xml:space="preserve"> Gene structure and expression of </w:t>
      </w:r>
      <w:r>
        <w:rPr>
          <w:rFonts w:ascii="Calibri" w:hAnsi="Calibri" w:cs="Calibri"/>
          <w:i/>
          <w:sz w:val="24"/>
          <w:szCs w:val="24"/>
        </w:rPr>
        <w:t>RPL18P13</w:t>
      </w:r>
      <w:r>
        <w:rPr>
          <w:rFonts w:ascii="Calibri" w:hAnsi="Calibri" w:cs="Calibri"/>
          <w:sz w:val="24"/>
          <w:szCs w:val="24"/>
        </w:rPr>
        <w:t xml:space="preserve">. </w:t>
      </w:r>
    </w:p>
    <w:p w14:paraId="3C5CD38E" w14:textId="77777777" w:rsidR="004C2378" w:rsidRDefault="00D16417">
      <w:pPr>
        <w:spacing w:afterLines="50" w:after="156" w:line="288" w:lineRule="auto"/>
        <w:rPr>
          <w:rFonts w:ascii="Calibri" w:eastAsia="宋体" w:hAnsi="Calibri" w:cs="Calibri"/>
          <w:sz w:val="24"/>
          <w:szCs w:val="24"/>
        </w:rPr>
      </w:pPr>
      <w:r>
        <w:rPr>
          <w:rFonts w:ascii="Calibri" w:hAnsi="Calibri" w:cs="Calibri"/>
          <w:sz w:val="24"/>
          <w:szCs w:val="24"/>
        </w:rPr>
        <w:t xml:space="preserve">This figure follows the convention of Fig. 6 in main text, except that the UCSC retrogene track is shown below the GENCODE (Ensembl) annotation. This track shows that </w:t>
      </w:r>
      <w:r>
        <w:rPr>
          <w:rFonts w:ascii="Calibri" w:hAnsi="Calibri" w:cs="Calibri"/>
          <w:i/>
          <w:sz w:val="24"/>
          <w:szCs w:val="24"/>
        </w:rPr>
        <w:t>RPL18P13</w:t>
      </w:r>
      <w:r>
        <w:rPr>
          <w:rFonts w:ascii="Calibri" w:hAnsi="Calibri" w:cs="Calibri"/>
          <w:sz w:val="24"/>
          <w:szCs w:val="24"/>
        </w:rPr>
        <w:t xml:space="preserve"> emerged from the retroposition of multi-exonic </w:t>
      </w:r>
      <w:r>
        <w:rPr>
          <w:rFonts w:ascii="Calibri" w:hAnsi="Calibri" w:cs="Calibri"/>
          <w:i/>
          <w:sz w:val="24"/>
          <w:szCs w:val="24"/>
        </w:rPr>
        <w:t xml:space="preserve">RPL18 </w:t>
      </w:r>
      <w:r>
        <w:rPr>
          <w:rFonts w:ascii="Calibri" w:hAnsi="Calibri" w:cs="Calibri"/>
          <w:sz w:val="24"/>
          <w:szCs w:val="24"/>
        </w:rPr>
        <w:t xml:space="preserve">(ribosomal protein L18). All these tracks suggest that the </w:t>
      </w:r>
      <w:r>
        <w:rPr>
          <w:rFonts w:ascii="Calibri" w:hAnsi="Calibri" w:cs="Calibri"/>
          <w:i/>
          <w:sz w:val="24"/>
          <w:szCs w:val="24"/>
        </w:rPr>
        <w:t>RPL18P13</w:t>
      </w:r>
      <w:r>
        <w:rPr>
          <w:rFonts w:ascii="Calibri" w:hAnsi="Calibri" w:cs="Calibri"/>
          <w:sz w:val="24"/>
          <w:szCs w:val="24"/>
        </w:rPr>
        <w:t xml:space="preserve"> locus is transcribed, based on the evidence of one EST and several mRNA records. Subsequently, one ORF (ORF_1) is expressed, with one peptide being called by both MaxQuant and pFind. Note that for both algorithms, this peptide was supported by at least two different mass spectra.</w:t>
      </w:r>
      <w:r>
        <w:rPr>
          <w:rFonts w:ascii="Calibri" w:eastAsia="宋体" w:hAnsi="Calibri" w:cs="Calibri"/>
          <w:sz w:val="24"/>
          <w:szCs w:val="24"/>
        </w:rPr>
        <w:t xml:space="preserve"> </w:t>
      </w:r>
    </w:p>
    <w:p w14:paraId="502CCEF1" w14:textId="77777777" w:rsidR="004C2378" w:rsidRDefault="004C2378">
      <w:pPr>
        <w:spacing w:afterLines="50" w:after="156" w:line="288" w:lineRule="auto"/>
        <w:rPr>
          <w:rFonts w:ascii="Calibri" w:eastAsia="宋体" w:hAnsi="Calibri" w:cs="Calibri"/>
          <w:sz w:val="24"/>
          <w:szCs w:val="24"/>
        </w:rPr>
      </w:pPr>
    </w:p>
    <w:p w14:paraId="620BE404" w14:textId="39EF89AA" w:rsidR="004C2378" w:rsidRDefault="00D16417">
      <w:pPr>
        <w:widowControl/>
        <w:jc w:val="center"/>
        <w:rPr>
          <w:rFonts w:ascii="Calibri" w:eastAsia="宋体" w:hAnsi="Calibri" w:cs="Calibri"/>
          <w:sz w:val="24"/>
          <w:szCs w:val="24"/>
        </w:rPr>
      </w:pPr>
      <w:r>
        <w:rPr>
          <w:rFonts w:ascii="Calibri" w:eastAsia="宋体" w:hAnsi="Calibri" w:cs="Calibri"/>
          <w:sz w:val="24"/>
          <w:szCs w:val="24"/>
        </w:rPr>
        <w:br w:type="page"/>
      </w:r>
    </w:p>
    <w:p w14:paraId="3FEC1BCD" w14:textId="77777777" w:rsidR="00BD533A" w:rsidRDefault="00BD533A" w:rsidP="00BD533A">
      <w:pPr>
        <w:spacing w:afterLines="50" w:after="156" w:line="288" w:lineRule="auto"/>
        <w:jc w:val="center"/>
        <w:rPr>
          <w:rFonts w:ascii="Calibri" w:hAnsi="Calibri" w:cs="Calibri"/>
          <w:b/>
          <w:sz w:val="24"/>
          <w:szCs w:val="24"/>
        </w:rPr>
      </w:pPr>
      <w:r>
        <w:rPr>
          <w:rFonts w:ascii="Calibri" w:hAnsi="Calibri" w:cs="Calibri"/>
          <w:b/>
          <w:noProof/>
          <w:sz w:val="24"/>
          <w:szCs w:val="24"/>
        </w:rPr>
        <w:lastRenderedPageBreak/>
        <w:drawing>
          <wp:inline distT="0" distB="0" distL="0" distR="0" wp14:anchorId="33907EB7" wp14:editId="2DC9CD92">
            <wp:extent cx="1130843" cy="286115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F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8334" cy="2905406"/>
                    </a:xfrm>
                    <a:prstGeom prst="rect">
                      <a:avLst/>
                    </a:prstGeom>
                  </pic:spPr>
                </pic:pic>
              </a:graphicData>
            </a:graphic>
          </wp:inline>
        </w:drawing>
      </w:r>
    </w:p>
    <w:p w14:paraId="7D375FF1" w14:textId="3DECC91C" w:rsidR="004C2378" w:rsidRDefault="00D16417">
      <w:pPr>
        <w:spacing w:afterLines="50" w:after="156" w:line="288" w:lineRule="auto"/>
        <w:rPr>
          <w:rFonts w:ascii="Calibri" w:hAnsi="Calibri" w:cs="Calibri"/>
          <w:sz w:val="24"/>
          <w:szCs w:val="24"/>
        </w:rPr>
      </w:pPr>
      <w:r>
        <w:rPr>
          <w:rFonts w:ascii="Calibri" w:hAnsi="Calibri" w:cs="Calibri"/>
          <w:b/>
          <w:sz w:val="24"/>
          <w:szCs w:val="24"/>
        </w:rPr>
        <w:t xml:space="preserve">Supplemental Figure S13. </w:t>
      </w:r>
      <w:r w:rsidRPr="003B46AD">
        <w:rPr>
          <w:rFonts w:ascii="Calibri" w:hAnsi="Calibri" w:cs="Calibri" w:hint="eastAsia"/>
          <w:sz w:val="24"/>
          <w:szCs w:val="24"/>
        </w:rPr>
        <w:t>The</w:t>
      </w:r>
      <w:r>
        <w:rPr>
          <w:rFonts w:ascii="Calibri" w:hAnsi="Calibri" w:cs="Calibri"/>
          <w:sz w:val="24"/>
          <w:szCs w:val="24"/>
        </w:rPr>
        <w:t xml:space="preserve"> length distribution </w:t>
      </w:r>
      <w:r>
        <w:rPr>
          <w:rFonts w:ascii="Calibri" w:hAnsi="Calibri" w:cs="Calibri" w:hint="eastAsia"/>
          <w:sz w:val="24"/>
          <w:szCs w:val="24"/>
        </w:rPr>
        <w:t xml:space="preserve">of </w:t>
      </w:r>
      <w:r w:rsidR="003B46AD">
        <w:rPr>
          <w:rFonts w:ascii="Calibri" w:hAnsi="Calibri" w:cs="Calibri"/>
          <w:sz w:val="24"/>
          <w:szCs w:val="24"/>
        </w:rPr>
        <w:t>open-reading-frame (</w:t>
      </w:r>
      <w:r>
        <w:rPr>
          <w:rFonts w:ascii="Calibri" w:hAnsi="Calibri" w:cs="Calibri"/>
          <w:sz w:val="24"/>
          <w:szCs w:val="24"/>
        </w:rPr>
        <w:t>ORF</w:t>
      </w:r>
      <w:r w:rsidR="003B46AD">
        <w:rPr>
          <w:rFonts w:ascii="Calibri" w:hAnsi="Calibri" w:cs="Calibri"/>
          <w:sz w:val="24"/>
          <w:szCs w:val="24"/>
        </w:rPr>
        <w:t>)</w:t>
      </w:r>
      <w:r>
        <w:rPr>
          <w:rFonts w:ascii="Calibri" w:hAnsi="Calibri" w:cs="Calibri" w:hint="eastAsia"/>
          <w:sz w:val="24"/>
          <w:szCs w:val="24"/>
        </w:rPr>
        <w:t xml:space="preserve"> </w:t>
      </w:r>
      <w:r>
        <w:rPr>
          <w:rFonts w:ascii="Calibri" w:hAnsi="Calibri" w:cs="Calibri"/>
          <w:sz w:val="24"/>
          <w:szCs w:val="24"/>
        </w:rPr>
        <w:t xml:space="preserve">across different gene lists. </w:t>
      </w:r>
    </w:p>
    <w:p w14:paraId="50688F5E" w14:textId="31E02711" w:rsidR="004C2378" w:rsidRDefault="00D16417">
      <w:pPr>
        <w:widowControl/>
        <w:jc w:val="left"/>
        <w:rPr>
          <w:rFonts w:ascii="Calibri" w:hAnsi="Calibri" w:cs="Calibri"/>
        </w:rPr>
      </w:pPr>
      <w:r>
        <w:rPr>
          <w:rFonts w:ascii="Calibri" w:eastAsia="宋体" w:hAnsi="Calibri" w:cs="Calibri"/>
          <w:sz w:val="24"/>
          <w:szCs w:val="24"/>
        </w:rPr>
        <w:br w:type="page"/>
      </w:r>
      <w:bookmarkStart w:id="7" w:name="OLE_LINK12"/>
      <w:bookmarkStart w:id="8" w:name="OLE_LINK13"/>
      <w:bookmarkEnd w:id="5"/>
      <w:bookmarkEnd w:id="6"/>
    </w:p>
    <w:bookmarkEnd w:id="7"/>
    <w:bookmarkEnd w:id="8"/>
    <w:p w14:paraId="116A1AAF" w14:textId="00B2EEFE" w:rsidR="00BD533A" w:rsidRDefault="00BA600E">
      <w:pPr>
        <w:spacing w:afterLines="50" w:after="156" w:line="288" w:lineRule="auto"/>
        <w:rPr>
          <w:rFonts w:ascii="Calibri" w:hAnsi="Calibri" w:cs="Calibri"/>
          <w:b/>
          <w:sz w:val="24"/>
          <w:szCs w:val="24"/>
        </w:rPr>
      </w:pPr>
      <w:r>
        <w:rPr>
          <w:noProof/>
          <w:szCs w:val="21"/>
        </w:rPr>
        <w:lastRenderedPageBreak/>
        <w:drawing>
          <wp:inline distT="0" distB="0" distL="0" distR="0" wp14:anchorId="6B872511" wp14:editId="21A39079">
            <wp:extent cx="5260848" cy="8781288"/>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14 - n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0848" cy="8781288"/>
                    </a:xfrm>
                    <a:prstGeom prst="rect">
                      <a:avLst/>
                    </a:prstGeom>
                  </pic:spPr>
                </pic:pic>
              </a:graphicData>
            </a:graphic>
          </wp:inline>
        </w:drawing>
      </w:r>
    </w:p>
    <w:p w14:paraId="5650FBDD" w14:textId="07EC5AF5" w:rsidR="004C2378" w:rsidRDefault="00D16417">
      <w:pPr>
        <w:spacing w:afterLines="50" w:after="156" w:line="288" w:lineRule="auto"/>
        <w:rPr>
          <w:rFonts w:ascii="Calibri" w:hAnsi="Calibri" w:cs="Calibri"/>
          <w:sz w:val="24"/>
          <w:szCs w:val="24"/>
        </w:rPr>
      </w:pPr>
      <w:r>
        <w:rPr>
          <w:rFonts w:ascii="Calibri" w:hAnsi="Calibri" w:cs="Calibri"/>
          <w:b/>
          <w:sz w:val="24"/>
          <w:szCs w:val="24"/>
        </w:rPr>
        <w:lastRenderedPageBreak/>
        <w:t>Supplemental Figure S14.</w:t>
      </w:r>
      <w:r>
        <w:rPr>
          <w:rFonts w:ascii="Calibri" w:hAnsi="Calibri" w:cs="Calibri"/>
          <w:sz w:val="24"/>
          <w:szCs w:val="24"/>
        </w:rPr>
        <w:t xml:space="preserve"> Transcriptional features of WGCNA co-expression modules based on the HPA dataset. </w:t>
      </w:r>
    </w:p>
    <w:p w14:paraId="7BDB2AA4" w14:textId="35FF3338"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(A) </w:t>
      </w:r>
      <w:r>
        <w:rPr>
          <w:rFonts w:ascii="Calibri" w:hAnsi="Calibri" w:cs="Calibri" w:hint="eastAsia"/>
          <w:sz w:val="24"/>
          <w:szCs w:val="24"/>
        </w:rPr>
        <w:t>The h</w:t>
      </w:r>
      <w:r>
        <w:rPr>
          <w:rFonts w:ascii="Calibri" w:hAnsi="Calibri" w:cs="Calibri"/>
          <w:sz w:val="24"/>
          <w:szCs w:val="24"/>
        </w:rPr>
        <w:t>eatmap show</w:t>
      </w:r>
      <w:r>
        <w:rPr>
          <w:rFonts w:ascii="Calibri" w:hAnsi="Calibri" w:cs="Calibri" w:hint="eastAsia"/>
          <w:sz w:val="24"/>
          <w:szCs w:val="24"/>
        </w:rPr>
        <w:t>s</w:t>
      </w:r>
      <w:r>
        <w:rPr>
          <w:rFonts w:ascii="Calibri" w:hAnsi="Calibri" w:cs="Calibri"/>
          <w:sz w:val="24"/>
          <w:szCs w:val="24"/>
        </w:rPr>
        <w:t xml:space="preserve"> the correspondence between tissues and modules. The relationship is quantified as the color-coded correlation coefficient. The eigenvector for each module was calculated to represent the expression profile of each module (y-axis). These vectors were employed to calculate the correlation to the artificial vectors constructed by setting 1 to a specific tissue and 0 for the others (x-axis). The significantly correlated tiles are further labeled with the minus log </w:t>
      </w:r>
      <w:r>
        <w:rPr>
          <w:rFonts w:ascii="Calibri" w:hAnsi="Calibri" w:cs="Calibri"/>
          <w:i/>
          <w:sz w:val="24"/>
          <w:szCs w:val="24"/>
        </w:rPr>
        <w:t>P</w:t>
      </w:r>
      <w:r>
        <w:rPr>
          <w:rFonts w:ascii="Calibri" w:hAnsi="Calibri" w:cs="Calibri"/>
          <w:sz w:val="24"/>
          <w:szCs w:val="24"/>
        </w:rPr>
        <w:t xml:space="preserve"> value, which roughly reflects the expression bias toward certain tissues. (B) Expression profile of genes in PSG-enriched modules, </w:t>
      </w:r>
      <w:r>
        <w:rPr>
          <w:rFonts w:ascii="Calibri" w:hAnsi="Calibri" w:cs="Calibri"/>
          <w:i/>
          <w:sz w:val="24"/>
          <w:szCs w:val="24"/>
        </w:rPr>
        <w:t>i.e.</w:t>
      </w:r>
      <w:r>
        <w:rPr>
          <w:rFonts w:ascii="Calibri" w:hAnsi="Calibri" w:cs="Calibri"/>
          <w:sz w:val="24"/>
          <w:szCs w:val="24"/>
        </w:rPr>
        <w:t xml:space="preserve">, HM1, HM17 and HM21. (C) Expression profile of genes in other modules with tissue bias, </w:t>
      </w:r>
      <w:r>
        <w:rPr>
          <w:rFonts w:ascii="Calibri" w:hAnsi="Calibri" w:cs="Calibri"/>
          <w:i/>
          <w:sz w:val="24"/>
          <w:szCs w:val="24"/>
        </w:rPr>
        <w:t>i.e.</w:t>
      </w:r>
      <w:r>
        <w:rPr>
          <w:rFonts w:ascii="Calibri" w:hAnsi="Calibri" w:cs="Calibri"/>
          <w:sz w:val="24"/>
          <w:szCs w:val="24"/>
        </w:rPr>
        <w:t>, HM7, HM9, HM10 and HM14. For both (B) and (C), the distribution is shown in boxplots with the middle box representing the interquartile range, the lower and upper whiskers corresponding to the extreme values, and the black line representing the median.</w:t>
      </w:r>
    </w:p>
    <w:p w14:paraId="21FFE238"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709655EF" w14:textId="01B95D24"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3F36DB43" wp14:editId="70E8BAA3">
            <wp:extent cx="5163312" cy="2124456"/>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F15 - ne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3312" cy="2124456"/>
                    </a:xfrm>
                    <a:prstGeom prst="rect">
                      <a:avLst/>
                    </a:prstGeom>
                  </pic:spPr>
                </pic:pic>
              </a:graphicData>
            </a:graphic>
          </wp:inline>
        </w:drawing>
      </w:r>
    </w:p>
    <w:p w14:paraId="526B98A0" w14:textId="77777777"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S15.</w:t>
      </w:r>
      <w:r>
        <w:rPr>
          <w:rFonts w:ascii="Calibri" w:hAnsi="Calibri" w:cs="Calibri"/>
          <w:sz w:val="24"/>
          <w:szCs w:val="24"/>
        </w:rPr>
        <w:t xml:space="preserve"> Percentages of PSGs with protein evidence in each module for HPA data.</w:t>
      </w:r>
    </w:p>
    <w:p w14:paraId="04CB140F" w14:textId="44A69CEF" w:rsidR="004C2378" w:rsidRDefault="00D16417">
      <w:pPr>
        <w:spacing w:afterLines="50" w:after="156" w:line="288" w:lineRule="auto"/>
        <w:rPr>
          <w:rFonts w:ascii="Calibri" w:hAnsi="Calibri" w:cs="Calibri"/>
          <w:sz w:val="24"/>
          <w:szCs w:val="24"/>
        </w:rPr>
      </w:pPr>
      <w:r>
        <w:rPr>
          <w:rFonts w:ascii="Calibri" w:hAnsi="Calibri" w:cs="Calibri"/>
          <w:sz w:val="24"/>
          <w:szCs w:val="24"/>
        </w:rPr>
        <w:t>This figure follows the same convention as Fig</w:t>
      </w:r>
      <w:r w:rsidR="002865DF">
        <w:rPr>
          <w:rFonts w:ascii="Calibri" w:hAnsi="Calibri" w:cs="Calibri"/>
          <w:sz w:val="24"/>
          <w:szCs w:val="24"/>
        </w:rPr>
        <w:t>.</w:t>
      </w:r>
      <w:r>
        <w:rPr>
          <w:rFonts w:ascii="Calibri" w:hAnsi="Calibri" w:cs="Calibri"/>
          <w:sz w:val="24"/>
          <w:szCs w:val="24"/>
        </w:rPr>
        <w:t xml:space="preserve"> </w:t>
      </w:r>
      <w:r w:rsidR="00884336">
        <w:rPr>
          <w:rFonts w:ascii="Calibri" w:hAnsi="Calibri" w:cs="Calibri"/>
          <w:sz w:val="24"/>
          <w:szCs w:val="24"/>
        </w:rPr>
        <w:t xml:space="preserve">8 </w:t>
      </w:r>
      <w:r>
        <w:rPr>
          <w:rFonts w:ascii="Calibri" w:hAnsi="Calibri" w:cs="Calibri"/>
          <w:sz w:val="24"/>
          <w:szCs w:val="24"/>
        </w:rPr>
        <w:t>in the main text, except</w:t>
      </w:r>
      <w:r>
        <w:rPr>
          <w:rFonts w:ascii="Calibri" w:hAnsi="Calibri" w:cs="Calibri" w:hint="eastAsia"/>
          <w:sz w:val="24"/>
          <w:szCs w:val="24"/>
        </w:rPr>
        <w:t xml:space="preserve"> that</w:t>
      </w:r>
      <w:r>
        <w:rPr>
          <w:rFonts w:ascii="Calibri" w:hAnsi="Calibri" w:cs="Calibri"/>
          <w:sz w:val="24"/>
          <w:szCs w:val="24"/>
        </w:rPr>
        <w:t xml:space="preserve"> the small dataset of PSGs (254) is employed here. Accordingly, 16,256 non-PSGs with protein evidence serve as the control, which is also the case for Supplemental Fig. S17 and S19B.</w:t>
      </w:r>
    </w:p>
    <w:p w14:paraId="7DCD466F"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3C6C1076" w14:textId="685FBD35"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3BEA7D4F" wp14:editId="5DBA38AD">
            <wp:extent cx="5274310" cy="7957820"/>
            <wp:effectExtent l="0" t="0" r="254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F16A - n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957820"/>
                    </a:xfrm>
                    <a:prstGeom prst="rect">
                      <a:avLst/>
                    </a:prstGeom>
                  </pic:spPr>
                </pic:pic>
              </a:graphicData>
            </a:graphic>
          </wp:inline>
        </w:drawing>
      </w:r>
    </w:p>
    <w:p w14:paraId="0C15D293" w14:textId="177C3197" w:rsidR="00BD533A" w:rsidRDefault="00BD533A">
      <w:pPr>
        <w:spacing w:afterLines="50" w:after="156" w:line="288" w:lineRule="auto"/>
        <w:jc w:val="center"/>
        <w:rPr>
          <w:rFonts w:ascii="Calibri" w:eastAsia="宋体" w:hAnsi="Calibri" w:cs="Calibri"/>
          <w:sz w:val="24"/>
          <w:szCs w:val="24"/>
        </w:rPr>
      </w:pPr>
      <w:r>
        <w:rPr>
          <w:rFonts w:ascii="Calibri" w:eastAsia="宋体" w:hAnsi="Calibri" w:cs="Calibri" w:hint="eastAsia"/>
          <w:noProof/>
          <w:sz w:val="24"/>
          <w:szCs w:val="24"/>
        </w:rPr>
        <w:lastRenderedPageBreak/>
        <w:drawing>
          <wp:inline distT="0" distB="0" distL="0" distR="0" wp14:anchorId="128730EB" wp14:editId="67EB746F">
            <wp:extent cx="5230368" cy="2450592"/>
            <wp:effectExtent l="0" t="0" r="889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F16B - ne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0368" cy="2450592"/>
                    </a:xfrm>
                    <a:prstGeom prst="rect">
                      <a:avLst/>
                    </a:prstGeom>
                  </pic:spPr>
                </pic:pic>
              </a:graphicData>
            </a:graphic>
          </wp:inline>
        </w:drawing>
      </w:r>
    </w:p>
    <w:p w14:paraId="18C04441" w14:textId="06387E89" w:rsidR="004C2378" w:rsidRDefault="00D16417">
      <w:pPr>
        <w:spacing w:afterLines="50" w:after="156" w:line="288" w:lineRule="auto"/>
        <w:jc w:val="left"/>
        <w:rPr>
          <w:rFonts w:ascii="Calibri" w:eastAsia="宋体" w:hAnsi="Calibri" w:cs="Calibri"/>
          <w:color w:val="00000A"/>
          <w:kern w:val="0"/>
          <w:sz w:val="24"/>
          <w:szCs w:val="24"/>
        </w:rPr>
      </w:pPr>
      <w:r>
        <w:rPr>
          <w:rFonts w:ascii="Calibri" w:hAnsi="Calibri" w:cs="Calibri"/>
          <w:b/>
          <w:sz w:val="24"/>
          <w:szCs w:val="24"/>
        </w:rPr>
        <w:t xml:space="preserve">Supplemental </w:t>
      </w:r>
      <w:r>
        <w:rPr>
          <w:rFonts w:ascii="Calibri" w:eastAsia="宋体" w:hAnsi="Calibri" w:cs="Calibri"/>
          <w:b/>
          <w:color w:val="00000A"/>
          <w:kern w:val="0"/>
          <w:sz w:val="24"/>
          <w:szCs w:val="24"/>
        </w:rPr>
        <w:t>Figure</w:t>
      </w:r>
      <w:r>
        <w:rPr>
          <w:rFonts w:ascii="Calibri" w:eastAsia="宋体" w:hAnsi="Calibri" w:cs="Calibri"/>
          <w:color w:val="00000A"/>
          <w:kern w:val="0"/>
          <w:sz w:val="24"/>
          <w:szCs w:val="24"/>
        </w:rPr>
        <w:t xml:space="preserve"> </w:t>
      </w:r>
      <w:r>
        <w:rPr>
          <w:rFonts w:ascii="Calibri" w:eastAsia="宋体" w:hAnsi="Calibri" w:cs="Calibri"/>
          <w:b/>
          <w:color w:val="00000A"/>
          <w:kern w:val="0"/>
          <w:sz w:val="24"/>
          <w:szCs w:val="24"/>
        </w:rPr>
        <w:t xml:space="preserve">S16. </w:t>
      </w:r>
      <w:r>
        <w:rPr>
          <w:rFonts w:ascii="Calibri" w:eastAsia="宋体" w:hAnsi="Calibri" w:cs="Calibri"/>
          <w:color w:val="00000A"/>
          <w:kern w:val="0"/>
          <w:sz w:val="24"/>
          <w:szCs w:val="24"/>
        </w:rPr>
        <w:t xml:space="preserve">The WGCNA related analyses based on </w:t>
      </w:r>
      <w:r w:rsidR="002865DF">
        <w:rPr>
          <w:rFonts w:ascii="Calibri" w:eastAsia="宋体" w:hAnsi="Calibri" w:cs="Calibri"/>
          <w:color w:val="00000A"/>
          <w:kern w:val="0"/>
          <w:sz w:val="24"/>
          <w:szCs w:val="24"/>
        </w:rPr>
        <w:t xml:space="preserve">the </w:t>
      </w:r>
      <w:r>
        <w:rPr>
          <w:rFonts w:ascii="Calibri" w:eastAsia="宋体" w:hAnsi="Calibri" w:cs="Calibri"/>
          <w:color w:val="00000A"/>
          <w:kern w:val="0"/>
          <w:sz w:val="24"/>
          <w:szCs w:val="24"/>
        </w:rPr>
        <w:t>GTEx dataset</w:t>
      </w:r>
    </w:p>
    <w:p w14:paraId="23072CBC" w14:textId="7279D10B"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(A) </w:t>
      </w:r>
      <w:r>
        <w:rPr>
          <w:rFonts w:ascii="Calibri" w:hAnsi="Calibri" w:cs="Calibri" w:hint="eastAsia"/>
          <w:sz w:val="24"/>
          <w:szCs w:val="24"/>
        </w:rPr>
        <w:t>The h</w:t>
      </w:r>
      <w:r>
        <w:rPr>
          <w:rFonts w:ascii="Calibri" w:hAnsi="Calibri" w:cs="Calibri"/>
          <w:sz w:val="24"/>
          <w:szCs w:val="24"/>
        </w:rPr>
        <w:t>eatmap show</w:t>
      </w:r>
      <w:r>
        <w:rPr>
          <w:rFonts w:ascii="Calibri" w:hAnsi="Calibri" w:cs="Calibri" w:hint="eastAsia"/>
          <w:sz w:val="24"/>
          <w:szCs w:val="24"/>
        </w:rPr>
        <w:t>s</w:t>
      </w:r>
      <w:r>
        <w:rPr>
          <w:rFonts w:ascii="Calibri" w:hAnsi="Calibri" w:cs="Calibri"/>
          <w:sz w:val="24"/>
          <w:szCs w:val="24"/>
        </w:rPr>
        <w:t xml:space="preserve"> the correspondence between tissues and modules. This figure follows the convention of Supplemental </w:t>
      </w:r>
      <w:r w:rsidR="002865DF">
        <w:rPr>
          <w:rFonts w:ascii="Calibri" w:hAnsi="Calibri" w:cs="Calibri"/>
          <w:sz w:val="24"/>
          <w:szCs w:val="24"/>
        </w:rPr>
        <w:t xml:space="preserve">Fig. </w:t>
      </w:r>
      <w:r>
        <w:rPr>
          <w:rFonts w:ascii="Calibri" w:hAnsi="Calibri" w:cs="Calibri"/>
          <w:sz w:val="24"/>
          <w:szCs w:val="24"/>
        </w:rPr>
        <w:t xml:space="preserve">S14A except that only </w:t>
      </w:r>
      <w:r>
        <w:rPr>
          <w:rFonts w:ascii="Calibri" w:hAnsi="Calibri" w:cs="Calibri"/>
          <w:i/>
          <w:sz w:val="24"/>
          <w:szCs w:val="24"/>
        </w:rPr>
        <w:t>P</w:t>
      </w:r>
      <w:r>
        <w:rPr>
          <w:rFonts w:ascii="Calibri" w:hAnsi="Calibri" w:cs="Calibri"/>
          <w:sz w:val="24"/>
          <w:szCs w:val="24"/>
        </w:rPr>
        <w:t>&lt;1x10</w:t>
      </w:r>
      <w:r>
        <w:rPr>
          <w:rFonts w:ascii="Calibri" w:hAnsi="Calibri" w:cs="Calibri"/>
          <w:sz w:val="24"/>
          <w:szCs w:val="24"/>
          <w:vertAlign w:val="superscript"/>
        </w:rPr>
        <w:t>-10</w:t>
      </w:r>
      <w:r>
        <w:rPr>
          <w:rFonts w:ascii="Calibri" w:hAnsi="Calibri" w:cs="Calibri"/>
          <w:sz w:val="24"/>
          <w:szCs w:val="24"/>
        </w:rPr>
        <w:t xml:space="preserve"> are labeled in the heatmap (</w:t>
      </w:r>
      <w:r w:rsidR="00B902E8">
        <w:rPr>
          <w:rFonts w:ascii="Calibri" w:hAnsi="Calibri" w:cs="Calibri"/>
          <w:sz w:val="24"/>
          <w:szCs w:val="24"/>
        </w:rPr>
        <w:t>t</w:t>
      </w:r>
      <w:r w:rsidR="00B902E8" w:rsidRPr="00B902E8">
        <w:rPr>
          <w:rFonts w:ascii="Calibri" w:hAnsi="Calibri" w:cs="Calibri"/>
          <w:sz w:val="24"/>
          <w:szCs w:val="24"/>
        </w:rPr>
        <w:t>he</w:t>
      </w:r>
      <w:r w:rsidR="00B902E8">
        <w:rPr>
          <w:rFonts w:ascii="Calibri" w:hAnsi="Calibri" w:cs="Calibri" w:hint="eastAsia"/>
          <w:sz w:val="24"/>
          <w:szCs w:val="24"/>
        </w:rPr>
        <w:t xml:space="preserve"> </w:t>
      </w:r>
      <w:r w:rsidR="00B902E8">
        <w:rPr>
          <w:rFonts w:ascii="Calibri" w:hAnsi="Calibri" w:cs="Calibri"/>
          <w:sz w:val="24"/>
          <w:szCs w:val="24"/>
        </w:rPr>
        <w:t xml:space="preserve">high </w:t>
      </w:r>
      <w:r>
        <w:rPr>
          <w:rFonts w:ascii="Calibri" w:hAnsi="Calibri" w:cs="Calibri"/>
          <w:sz w:val="24"/>
          <w:szCs w:val="24"/>
        </w:rPr>
        <w:t>significan</w:t>
      </w:r>
      <w:r>
        <w:rPr>
          <w:rFonts w:ascii="Calibri" w:hAnsi="Calibri" w:cs="Calibri" w:hint="eastAsia"/>
          <w:sz w:val="24"/>
          <w:szCs w:val="24"/>
        </w:rPr>
        <w:t>ce is</w:t>
      </w:r>
      <w:r>
        <w:rPr>
          <w:rFonts w:ascii="Calibri" w:hAnsi="Calibri" w:cs="Calibri"/>
          <w:sz w:val="24"/>
          <w:szCs w:val="24"/>
        </w:rPr>
        <w:t xml:space="preserve"> due to the big sample size of GTEx) and extremely small </w:t>
      </w:r>
      <w:r>
        <w:rPr>
          <w:rFonts w:ascii="Calibri" w:hAnsi="Calibri" w:cs="Calibri"/>
          <w:i/>
          <w:sz w:val="24"/>
          <w:szCs w:val="24"/>
        </w:rPr>
        <w:t>P</w:t>
      </w:r>
      <w:r>
        <w:rPr>
          <w:rFonts w:ascii="Calibri" w:hAnsi="Calibri" w:cs="Calibri"/>
          <w:sz w:val="24"/>
          <w:szCs w:val="24"/>
        </w:rPr>
        <w:t xml:space="preserve"> (&lt;10</w:t>
      </w:r>
      <w:r>
        <w:rPr>
          <w:rFonts w:ascii="Calibri" w:hAnsi="Calibri" w:cs="Calibri"/>
          <w:sz w:val="24"/>
          <w:szCs w:val="24"/>
          <w:vertAlign w:val="superscript"/>
        </w:rPr>
        <w:t>-300</w:t>
      </w:r>
      <w:r>
        <w:rPr>
          <w:rFonts w:ascii="Calibri" w:hAnsi="Calibri" w:cs="Calibri"/>
          <w:sz w:val="24"/>
          <w:szCs w:val="24"/>
        </w:rPr>
        <w:t xml:space="preserve">) were shown as “Inf” (infinite). (B) Percentages of PSGs in each module for GTEx data. This figure follows the convention of </w:t>
      </w:r>
      <w:r w:rsidR="002865DF">
        <w:rPr>
          <w:rFonts w:ascii="Calibri" w:hAnsi="Calibri" w:cs="Calibri"/>
          <w:sz w:val="24"/>
          <w:szCs w:val="24"/>
        </w:rPr>
        <w:t xml:space="preserve">Fig. </w:t>
      </w:r>
      <w:r>
        <w:rPr>
          <w:rFonts w:ascii="Calibri" w:hAnsi="Calibri" w:cs="Calibri"/>
          <w:sz w:val="24"/>
          <w:szCs w:val="24"/>
        </w:rPr>
        <w:t>8 in the main text. Since GTEx consists of more tissues compared to HPA, we defined tissue-biased modules as those which consists of functionally similar organs (</w:t>
      </w:r>
      <w:r>
        <w:rPr>
          <w:rFonts w:ascii="Calibri" w:hAnsi="Calibri" w:cs="Calibri"/>
          <w:i/>
          <w:sz w:val="24"/>
          <w:szCs w:val="24"/>
        </w:rPr>
        <w:t>e.g.</w:t>
      </w:r>
      <w:r>
        <w:rPr>
          <w:rFonts w:ascii="Calibri" w:hAnsi="Calibri" w:cs="Calibri"/>
          <w:sz w:val="24"/>
          <w:szCs w:val="24"/>
        </w:rPr>
        <w:t>, brain-biased modules GM2).</w:t>
      </w:r>
      <w:r>
        <w:rPr>
          <w:rFonts w:ascii="Calibri" w:hAnsi="Calibri" w:cs="Calibri"/>
          <w:sz w:val="24"/>
          <w:szCs w:val="24"/>
        </w:rPr>
        <w:br w:type="page"/>
      </w:r>
    </w:p>
    <w:p w14:paraId="654BE7D6" w14:textId="541F79AC"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568BA462" wp14:editId="21E3F6FB">
            <wp:extent cx="5248656" cy="3343656"/>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F17 - ne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8656" cy="3343656"/>
                    </a:xfrm>
                    <a:prstGeom prst="rect">
                      <a:avLst/>
                    </a:prstGeom>
                  </pic:spPr>
                </pic:pic>
              </a:graphicData>
            </a:graphic>
          </wp:inline>
        </w:drawing>
      </w:r>
    </w:p>
    <w:p w14:paraId="2C09D7C8" w14:textId="77777777" w:rsidR="004C2378" w:rsidRDefault="00D16417">
      <w:pPr>
        <w:spacing w:afterLines="50" w:after="156" w:line="288" w:lineRule="auto"/>
        <w:rPr>
          <w:rFonts w:ascii="Calibri" w:eastAsia="宋体" w:hAnsi="Calibri" w:cs="Calibri"/>
          <w:color w:val="00000A"/>
          <w:kern w:val="0"/>
          <w:sz w:val="24"/>
          <w:szCs w:val="24"/>
        </w:rPr>
      </w:pPr>
      <w:r>
        <w:rPr>
          <w:rFonts w:ascii="Calibri" w:hAnsi="Calibri" w:cs="Calibri"/>
          <w:b/>
          <w:sz w:val="24"/>
          <w:szCs w:val="24"/>
        </w:rPr>
        <w:t xml:space="preserve">Supplemental </w:t>
      </w:r>
      <w:r>
        <w:rPr>
          <w:rFonts w:ascii="Calibri" w:eastAsia="宋体" w:hAnsi="Calibri" w:cs="Calibri"/>
          <w:b/>
          <w:color w:val="00000A"/>
          <w:kern w:val="0"/>
          <w:sz w:val="24"/>
          <w:szCs w:val="24"/>
        </w:rPr>
        <w:t>Figure S17.</w:t>
      </w:r>
      <w:r>
        <w:rPr>
          <w:rFonts w:ascii="Calibri" w:eastAsia="宋体" w:hAnsi="Calibri" w:cs="Calibri"/>
          <w:color w:val="00000A"/>
          <w:kern w:val="0"/>
          <w:sz w:val="24"/>
          <w:szCs w:val="24"/>
        </w:rPr>
        <w:t xml:space="preserve"> Distribution of PSGs with protein-level evidence across brain related modules.</w:t>
      </w:r>
    </w:p>
    <w:p w14:paraId="10A7E1BC" w14:textId="17D4BB51" w:rsidR="004C2378" w:rsidRDefault="00D16417">
      <w:pPr>
        <w:spacing w:afterLines="50" w:after="156" w:line="288" w:lineRule="auto"/>
        <w:rPr>
          <w:rFonts w:ascii="Calibri" w:eastAsia="宋体" w:hAnsi="Calibri" w:cs="Calibri"/>
          <w:color w:val="00000A"/>
          <w:kern w:val="0"/>
          <w:sz w:val="24"/>
          <w:szCs w:val="24"/>
        </w:rPr>
      </w:pPr>
      <w:r>
        <w:rPr>
          <w:rFonts w:ascii="Calibri" w:eastAsia="宋体" w:hAnsi="Calibri" w:cs="Calibri"/>
          <w:color w:val="00000A"/>
          <w:kern w:val="0"/>
          <w:sz w:val="24"/>
          <w:szCs w:val="24"/>
        </w:rPr>
        <w:t xml:space="preserve">This figure follows the same convention </w:t>
      </w:r>
      <w:r>
        <w:rPr>
          <w:rFonts w:ascii="Calibri" w:eastAsia="宋体" w:hAnsi="Calibri" w:cs="Calibri" w:hint="eastAsia"/>
          <w:color w:val="00000A"/>
          <w:kern w:val="0"/>
          <w:sz w:val="24"/>
          <w:szCs w:val="24"/>
        </w:rPr>
        <w:t>of</w:t>
      </w:r>
      <w:r>
        <w:rPr>
          <w:rFonts w:ascii="Calibri" w:eastAsia="宋体" w:hAnsi="Calibri" w:cs="Calibri"/>
          <w:color w:val="00000A"/>
          <w:kern w:val="0"/>
          <w:sz w:val="24"/>
          <w:szCs w:val="24"/>
        </w:rPr>
        <w:t xml:space="preserve"> Fig. 9A in the main text except </w:t>
      </w:r>
      <w:r>
        <w:rPr>
          <w:rFonts w:ascii="Calibri" w:eastAsia="宋体" w:hAnsi="Calibri" w:cs="Calibri" w:hint="eastAsia"/>
          <w:color w:val="00000A"/>
          <w:kern w:val="0"/>
          <w:sz w:val="24"/>
          <w:szCs w:val="24"/>
        </w:rPr>
        <w:t xml:space="preserve">that </w:t>
      </w:r>
      <w:r>
        <w:rPr>
          <w:rFonts w:ascii="Calibri" w:eastAsia="宋体" w:hAnsi="Calibri" w:cs="Calibri"/>
          <w:color w:val="00000A"/>
          <w:kern w:val="0"/>
          <w:sz w:val="24"/>
          <w:szCs w:val="24"/>
        </w:rPr>
        <w:t>the small dataset of PSGs (254) is employed here. We only reproduced Fig. 9A. For Fig. 9B, the number of gene</w:t>
      </w:r>
      <w:r>
        <w:rPr>
          <w:rFonts w:ascii="Calibri" w:eastAsia="宋体" w:hAnsi="Calibri" w:cs="Calibri" w:hint="eastAsia"/>
          <w:color w:val="00000A"/>
          <w:kern w:val="0"/>
          <w:sz w:val="24"/>
          <w:szCs w:val="24"/>
        </w:rPr>
        <w:t>s</w:t>
      </w:r>
      <w:r>
        <w:rPr>
          <w:rFonts w:ascii="Calibri" w:eastAsia="宋体" w:hAnsi="Calibri" w:cs="Calibri"/>
          <w:color w:val="00000A"/>
          <w:kern w:val="0"/>
          <w:sz w:val="24"/>
          <w:szCs w:val="24"/>
        </w:rPr>
        <w:t xml:space="preserve"> became too small to make analogous analysis. </w:t>
      </w:r>
    </w:p>
    <w:p w14:paraId="6F96D7C1" w14:textId="0D659E42" w:rsidR="004C2378" w:rsidRPr="008C5011" w:rsidRDefault="00D16417" w:rsidP="008C5011">
      <w:pPr>
        <w:widowControl/>
        <w:jc w:val="left"/>
        <w:rPr>
          <w:rFonts w:ascii="Calibri" w:eastAsia="宋体" w:hAnsi="Calibri" w:cs="Calibri" w:hint="eastAsia"/>
          <w:color w:val="00000A"/>
          <w:kern w:val="0"/>
          <w:sz w:val="24"/>
          <w:szCs w:val="24"/>
        </w:rPr>
      </w:pPr>
      <w:r>
        <w:rPr>
          <w:rFonts w:ascii="Calibri" w:eastAsia="宋体" w:hAnsi="Calibri" w:cs="Calibri"/>
          <w:color w:val="00000A"/>
          <w:kern w:val="0"/>
          <w:sz w:val="24"/>
          <w:szCs w:val="24"/>
        </w:rPr>
        <w:br w:type="page"/>
      </w:r>
    </w:p>
    <w:p w14:paraId="04834708" w14:textId="6F37095B" w:rsidR="008C5011" w:rsidRDefault="008C5011">
      <w:pPr>
        <w:widowControl/>
        <w:jc w:val="center"/>
        <w:rPr>
          <w:rFonts w:ascii="Calibri" w:eastAsia="宋体" w:hAnsi="Calibri" w:cs="Calibri" w:hint="eastAsia"/>
          <w:sz w:val="24"/>
          <w:szCs w:val="24"/>
        </w:rPr>
      </w:pPr>
      <w:bookmarkStart w:id="9" w:name="_GoBack"/>
      <w:r>
        <w:rPr>
          <w:rFonts w:ascii="Calibri" w:eastAsia="宋体" w:hAnsi="Calibri" w:cs="Calibri" w:hint="eastAsia"/>
          <w:noProof/>
          <w:sz w:val="24"/>
          <w:szCs w:val="24"/>
        </w:rPr>
        <w:lastRenderedPageBreak/>
        <w:drawing>
          <wp:inline distT="0" distB="0" distL="0" distR="0" wp14:anchorId="2D6EE4AA" wp14:editId="7BEEA8C8">
            <wp:extent cx="4146518" cy="7066800"/>
            <wp:effectExtent l="0" t="0" r="698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18 - EIF2S3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6518" cy="7066800"/>
                    </a:xfrm>
                    <a:prstGeom prst="rect">
                      <a:avLst/>
                    </a:prstGeom>
                  </pic:spPr>
                </pic:pic>
              </a:graphicData>
            </a:graphic>
          </wp:inline>
        </w:drawing>
      </w:r>
      <w:bookmarkEnd w:id="9"/>
    </w:p>
    <w:p w14:paraId="08DFE740" w14:textId="77777777" w:rsidR="004C2378" w:rsidRDefault="00D16417">
      <w:pPr>
        <w:spacing w:afterLines="50" w:after="156" w:line="288" w:lineRule="auto"/>
        <w:rPr>
          <w:rFonts w:ascii="Calibri" w:hAnsi="Calibri" w:cs="Calibri"/>
          <w:sz w:val="24"/>
          <w:szCs w:val="24"/>
        </w:rPr>
      </w:pPr>
      <w:bookmarkStart w:id="10" w:name="OLE_LINK34"/>
      <w:bookmarkStart w:id="11" w:name="OLE_LINK35"/>
      <w:bookmarkStart w:id="12" w:name="OLE_LINK36"/>
      <w:r>
        <w:rPr>
          <w:rFonts w:ascii="Calibri" w:hAnsi="Calibri" w:cs="Calibri"/>
          <w:b/>
          <w:sz w:val="24"/>
          <w:szCs w:val="24"/>
        </w:rPr>
        <w:t>Supplemental Figure S18.</w:t>
      </w:r>
      <w:r>
        <w:rPr>
          <w:rFonts w:ascii="Calibri" w:hAnsi="Calibri" w:cs="Calibri"/>
          <w:sz w:val="24"/>
          <w:szCs w:val="24"/>
        </w:rPr>
        <w:t xml:space="preserve"> Connectivity and expression profile of PSGs in BM2. (A) Bubble plot of the top 10 connected PSGs in BM2.</w:t>
      </w:r>
    </w:p>
    <w:p w14:paraId="10B73787" w14:textId="0C5A0202" w:rsidR="004C2378" w:rsidRDefault="00D16417">
      <w:pPr>
        <w:spacing w:afterLines="50" w:after="156" w:line="288" w:lineRule="auto"/>
        <w:rPr>
          <w:rFonts w:ascii="Calibri" w:hAnsi="Calibri" w:cs="Calibri"/>
          <w:sz w:val="24"/>
          <w:szCs w:val="24"/>
        </w:rPr>
      </w:pPr>
      <w:r>
        <w:rPr>
          <w:rFonts w:ascii="Calibri" w:hAnsi="Calibri" w:cs="Calibri"/>
          <w:sz w:val="24"/>
          <w:szCs w:val="24"/>
        </w:rPr>
        <w:t>The co</w:t>
      </w:r>
      <w:r w:rsidR="002865DF">
        <w:rPr>
          <w:rFonts w:ascii="Calibri" w:hAnsi="Calibri" w:cs="Calibri"/>
          <w:sz w:val="24"/>
          <w:szCs w:val="24"/>
        </w:rPr>
        <w:t>-</w:t>
      </w:r>
      <w:r>
        <w:rPr>
          <w:rFonts w:ascii="Calibri" w:hAnsi="Calibri" w:cs="Calibri"/>
          <w:sz w:val="24"/>
          <w:szCs w:val="24"/>
        </w:rPr>
        <w:t>expression matrix of the PSGs in BM2 was used as the input for multidimensional scaling (MDS) to perform nonlinear dimensionality reduction. The first two dimensions are taken to demonstrate the co</w:t>
      </w:r>
      <w:r w:rsidR="002865DF">
        <w:rPr>
          <w:rFonts w:ascii="Calibri" w:hAnsi="Calibri" w:cs="Calibri"/>
          <w:sz w:val="24"/>
          <w:szCs w:val="24"/>
        </w:rPr>
        <w:t>-</w:t>
      </w:r>
      <w:r>
        <w:rPr>
          <w:rFonts w:ascii="Calibri" w:hAnsi="Calibri" w:cs="Calibri"/>
          <w:sz w:val="24"/>
          <w:szCs w:val="24"/>
        </w:rPr>
        <w:t xml:space="preserve">expression relationship between 32 PSGs (18 KZNFs, 14 non-KZNFs). The bubble size is proportional to the degree, with </w:t>
      </w:r>
      <w:r>
        <w:rPr>
          <w:rFonts w:ascii="Calibri" w:hAnsi="Calibri" w:cs="Calibri"/>
          <w:sz w:val="24"/>
          <w:szCs w:val="24"/>
        </w:rPr>
        <w:lastRenderedPageBreak/>
        <w:t xml:space="preserve">the large bubbles indicating hub genes. The genes that ranked in top 10 are labeled with their gene symbols. (B) Time-course view based on the BrainSpan development data. </w:t>
      </w:r>
      <w:r>
        <w:rPr>
          <w:rFonts w:ascii="Calibri" w:hAnsi="Calibri" w:cs="Calibri"/>
          <w:i/>
          <w:sz w:val="24"/>
          <w:szCs w:val="24"/>
        </w:rPr>
        <w:t>ZNF836</w:t>
      </w:r>
      <w:r>
        <w:rPr>
          <w:rFonts w:ascii="Calibri" w:hAnsi="Calibri" w:cs="Calibri"/>
          <w:sz w:val="24"/>
          <w:szCs w:val="24"/>
        </w:rPr>
        <w:t xml:space="preserve"> is shown as an example</w:t>
      </w:r>
      <w:r w:rsidR="00B902E8">
        <w:rPr>
          <w:rFonts w:ascii="Calibri" w:hAnsi="Calibri" w:cs="Calibri"/>
          <w:sz w:val="24"/>
          <w:szCs w:val="24"/>
        </w:rPr>
        <w:t xml:space="preserve">, which is adapted from </w:t>
      </w:r>
      <w:hyperlink r:id="rId31" w:history="1">
        <w:r w:rsidR="00B902E8" w:rsidRPr="001B7CC2">
          <w:rPr>
            <w:rStyle w:val="ac"/>
            <w:rFonts w:ascii="Calibri" w:hAnsi="Calibri" w:cs="Calibri"/>
            <w:sz w:val="24"/>
            <w:szCs w:val="24"/>
          </w:rPr>
          <w:t>http://gentree.ioz.ac.cn/tools/viewIDS.php?speciesselect=Human&amp;genename=ENSG00000196267</w:t>
        </w:r>
      </w:hyperlink>
      <w:r>
        <w:rPr>
          <w:rFonts w:ascii="Calibri" w:hAnsi="Calibri" w:cs="Calibri"/>
          <w:sz w:val="24"/>
          <w:szCs w:val="24"/>
        </w:rPr>
        <w:t xml:space="preserve">. Consistent with its membership of BM2, </w:t>
      </w:r>
      <w:r>
        <w:rPr>
          <w:rFonts w:ascii="Calibri" w:hAnsi="Calibri" w:cs="Calibri"/>
          <w:i/>
          <w:sz w:val="24"/>
          <w:szCs w:val="24"/>
        </w:rPr>
        <w:t>ZNF836</w:t>
      </w:r>
      <w:r>
        <w:rPr>
          <w:rFonts w:ascii="Calibri" w:hAnsi="Calibri" w:cs="Calibri"/>
          <w:sz w:val="24"/>
          <w:szCs w:val="24"/>
        </w:rPr>
        <w:t xml:space="preserve"> was upregulated in the mid-prenatal stage. Users can also click “Summary by Gender” or “Summary by Region” to examine how the expression changes depend on sex or brain regions</w:t>
      </w:r>
      <w:r>
        <w:rPr>
          <w:rFonts w:ascii="Calibri" w:hAnsi="Calibri" w:cs="Calibri" w:hint="eastAsia"/>
          <w:sz w:val="24"/>
          <w:szCs w:val="24"/>
        </w:rPr>
        <w:t xml:space="preserve"> </w:t>
      </w:r>
      <w:r w:rsidR="00B902E8">
        <w:rPr>
          <w:rFonts w:ascii="Calibri" w:hAnsi="Calibri" w:cs="Calibri"/>
          <w:sz w:val="24"/>
          <w:szCs w:val="24"/>
        </w:rPr>
        <w:t>via</w:t>
      </w:r>
      <w:r>
        <w:rPr>
          <w:rFonts w:ascii="Calibri" w:hAnsi="Calibri" w:cs="Calibri" w:hint="eastAsia"/>
          <w:sz w:val="24"/>
          <w:szCs w:val="24"/>
        </w:rPr>
        <w:t xml:space="preserve"> the </w:t>
      </w:r>
      <w:r w:rsidR="00B902E8">
        <w:rPr>
          <w:rFonts w:ascii="Calibri" w:hAnsi="Calibri" w:cs="Calibri"/>
          <w:sz w:val="24"/>
          <w:szCs w:val="24"/>
        </w:rPr>
        <w:t xml:space="preserve">web </w:t>
      </w:r>
      <w:r>
        <w:rPr>
          <w:rFonts w:ascii="Calibri" w:hAnsi="Calibri" w:cs="Calibri" w:hint="eastAsia"/>
          <w:sz w:val="24"/>
          <w:szCs w:val="24"/>
        </w:rPr>
        <w:t>interface of GenTree</w:t>
      </w:r>
      <w:r>
        <w:rPr>
          <w:rFonts w:ascii="Calibri" w:hAnsi="Calibri" w:cs="Calibri"/>
          <w:sz w:val="24"/>
          <w:szCs w:val="24"/>
        </w:rPr>
        <w:t>.</w:t>
      </w:r>
      <w:bookmarkEnd w:id="10"/>
      <w:bookmarkEnd w:id="11"/>
      <w:bookmarkEnd w:id="12"/>
    </w:p>
    <w:p w14:paraId="5FD9EF23"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46B7FB4A" w14:textId="3F626809" w:rsidR="004C2378" w:rsidRDefault="00BA600E">
      <w:pPr>
        <w:widowControl/>
        <w:jc w:val="left"/>
        <w:rPr>
          <w:rFonts w:ascii="Calibri" w:eastAsia="宋体" w:hAnsi="Calibri" w:cs="Calibri"/>
          <w:sz w:val="24"/>
          <w:szCs w:val="24"/>
        </w:rPr>
      </w:pPr>
      <w:r>
        <w:rPr>
          <w:noProof/>
          <w:szCs w:val="21"/>
        </w:rPr>
        <w:lastRenderedPageBreak/>
        <w:drawing>
          <wp:inline distT="0" distB="0" distL="0" distR="0" wp14:anchorId="3D3E0646" wp14:editId="42C20391">
            <wp:extent cx="5190744" cy="275234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1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0744" cy="2752344"/>
                    </a:xfrm>
                    <a:prstGeom prst="rect">
                      <a:avLst/>
                    </a:prstGeom>
                  </pic:spPr>
                </pic:pic>
              </a:graphicData>
            </a:graphic>
          </wp:inline>
        </w:drawing>
      </w:r>
    </w:p>
    <w:p w14:paraId="1B301D1A" w14:textId="77777777"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S19.</w:t>
      </w:r>
      <w:r>
        <w:rPr>
          <w:rFonts w:ascii="Calibri" w:hAnsi="Calibri" w:cs="Calibri"/>
          <w:sz w:val="24"/>
          <w:szCs w:val="24"/>
        </w:rPr>
        <w:t xml:space="preserve"> Distribution of the degree of connection for PSGs and non-PSGs.</w:t>
      </w:r>
    </w:p>
    <w:p w14:paraId="1FD93268" w14:textId="15B40988"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Panel (A) and (B) are based on </w:t>
      </w:r>
      <w:r>
        <w:rPr>
          <w:rFonts w:ascii="Calibri" w:hAnsi="Calibri" w:cs="Calibri" w:hint="eastAsia"/>
          <w:sz w:val="24"/>
          <w:szCs w:val="24"/>
        </w:rPr>
        <w:t>lists of</w:t>
      </w:r>
      <w:r>
        <w:rPr>
          <w:rFonts w:ascii="Calibri" w:hAnsi="Calibri" w:cs="Calibri"/>
          <w:sz w:val="24"/>
          <w:szCs w:val="24"/>
        </w:rPr>
        <w:t xml:space="preserve"> 846 and 254 gene</w:t>
      </w:r>
      <w:r>
        <w:rPr>
          <w:rFonts w:ascii="Calibri" w:hAnsi="Calibri" w:cs="Calibri" w:hint="eastAsia"/>
          <w:sz w:val="24"/>
          <w:szCs w:val="24"/>
        </w:rPr>
        <w:t>s</w:t>
      </w:r>
      <w:r>
        <w:rPr>
          <w:rFonts w:ascii="Calibri" w:hAnsi="Calibri" w:cs="Calibri"/>
          <w:sz w:val="24"/>
          <w:szCs w:val="24"/>
        </w:rPr>
        <w:t>, respectively. Three modules significantly enriched with PSGs are plotted individually (HM1, HM17 and HM21 in Fig. 8), while all other modules are merged.</w:t>
      </w:r>
    </w:p>
    <w:p w14:paraId="6A6F8FF4"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54F26B1E" w14:textId="404BB397" w:rsidR="004C2378" w:rsidRDefault="00BD533A">
      <w:pPr>
        <w:spacing w:afterLines="50" w:after="156" w:line="288" w:lineRule="auto"/>
        <w:jc w:val="center"/>
        <w:rPr>
          <w:rFonts w:ascii="Calibri" w:eastAsia="宋体" w:hAnsi="Calibri" w:cs="Calibri"/>
          <w:sz w:val="24"/>
          <w:szCs w:val="24"/>
        </w:rPr>
      </w:pPr>
      <w:r>
        <w:rPr>
          <w:rFonts w:ascii="Calibri" w:eastAsia="宋体" w:hAnsi="Calibri" w:cs="Calibri"/>
          <w:noProof/>
          <w:sz w:val="24"/>
          <w:szCs w:val="24"/>
        </w:rPr>
        <w:lastRenderedPageBreak/>
        <w:drawing>
          <wp:inline distT="0" distB="0" distL="0" distR="0" wp14:anchorId="33357482" wp14:editId="26DDBE14">
            <wp:extent cx="4148455" cy="8863330"/>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F20 - ne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8455" cy="8863330"/>
                    </a:xfrm>
                    <a:prstGeom prst="rect">
                      <a:avLst/>
                    </a:prstGeom>
                  </pic:spPr>
                </pic:pic>
              </a:graphicData>
            </a:graphic>
          </wp:inline>
        </w:drawing>
      </w:r>
    </w:p>
    <w:p w14:paraId="730431D1" w14:textId="77777777" w:rsidR="004C2378" w:rsidRDefault="00D16417">
      <w:pPr>
        <w:spacing w:afterLines="50" w:after="156" w:line="288" w:lineRule="auto"/>
        <w:rPr>
          <w:rFonts w:ascii="Calibri" w:hAnsi="Calibri" w:cs="Calibri"/>
          <w:sz w:val="24"/>
          <w:szCs w:val="24"/>
        </w:rPr>
      </w:pPr>
      <w:r>
        <w:rPr>
          <w:rFonts w:ascii="Calibri" w:hAnsi="Calibri" w:cs="Calibri"/>
          <w:b/>
          <w:sz w:val="24"/>
          <w:szCs w:val="24"/>
        </w:rPr>
        <w:lastRenderedPageBreak/>
        <w:t>Supplemental Figure S20.</w:t>
      </w:r>
      <w:r>
        <w:rPr>
          <w:rFonts w:ascii="Calibri" w:hAnsi="Calibri" w:cs="Calibri"/>
          <w:sz w:val="24"/>
          <w:szCs w:val="24"/>
        </w:rPr>
        <w:t xml:space="preserve"> Expression profile and phenotypic association of </w:t>
      </w:r>
      <w:r>
        <w:rPr>
          <w:rFonts w:ascii="Calibri" w:hAnsi="Calibri" w:cs="Calibri"/>
          <w:i/>
          <w:sz w:val="24"/>
          <w:szCs w:val="24"/>
        </w:rPr>
        <w:t>MYH16</w:t>
      </w:r>
      <w:r>
        <w:rPr>
          <w:rFonts w:ascii="Calibri" w:hAnsi="Calibri" w:cs="Calibri"/>
          <w:sz w:val="24"/>
          <w:szCs w:val="24"/>
        </w:rPr>
        <w:t>.</w:t>
      </w:r>
    </w:p>
    <w:p w14:paraId="02F8098E" w14:textId="77777777"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(A) HPA transcription profile across tissues. (B) GTEx transcription profile across tissues. (C) Genome-wide association data from GWASdb2. Multi-mapping SNPs were filtered first (Method). Each tile represents a particular trait. Detailed information, including PubMed links and SNP information, could be accessed by clicking “details”. This figure is adapted from </w:t>
      </w:r>
      <w:hyperlink r:id="rId34" w:history="1">
        <w:r>
          <w:rPr>
            <w:rStyle w:val="ac"/>
            <w:rFonts w:ascii="Calibri" w:hAnsi="Calibri" w:cs="Calibri"/>
            <w:sz w:val="24"/>
            <w:szCs w:val="24"/>
          </w:rPr>
          <w:t>http://gentree.ioz.ac.cn/tools/viewIDS.php?speciesselect=Human&amp;genename=ENSG00000002079</w:t>
        </w:r>
      </w:hyperlink>
      <w:r>
        <w:rPr>
          <w:rFonts w:ascii="Calibri" w:hAnsi="Calibri" w:cs="Calibri"/>
          <w:sz w:val="24"/>
          <w:szCs w:val="24"/>
        </w:rPr>
        <w:t>.</w:t>
      </w:r>
    </w:p>
    <w:p w14:paraId="00932BFC" w14:textId="77777777" w:rsidR="004C2378" w:rsidRDefault="00D16417">
      <w:pPr>
        <w:widowControl/>
        <w:jc w:val="left"/>
        <w:rPr>
          <w:rFonts w:ascii="Calibri" w:hAnsi="Calibri" w:cs="Calibri"/>
          <w:sz w:val="24"/>
          <w:szCs w:val="24"/>
        </w:rPr>
      </w:pPr>
      <w:r>
        <w:rPr>
          <w:rFonts w:ascii="Calibri" w:hAnsi="Calibri" w:cs="Calibri"/>
          <w:sz w:val="24"/>
          <w:szCs w:val="24"/>
        </w:rPr>
        <w:br w:type="page"/>
      </w:r>
    </w:p>
    <w:p w14:paraId="290B1A26" w14:textId="55AB5AB8" w:rsidR="004C2378" w:rsidRDefault="00BD533A">
      <w:pPr>
        <w:widowControl/>
        <w:jc w:val="center"/>
        <w:rPr>
          <w:rFonts w:ascii="Calibri" w:hAnsi="Calibri" w:cs="Calibri"/>
          <w:sz w:val="24"/>
          <w:szCs w:val="24"/>
        </w:rPr>
      </w:pPr>
      <w:r>
        <w:rPr>
          <w:rFonts w:ascii="Calibri" w:hAnsi="Calibri" w:cs="Calibri"/>
          <w:noProof/>
          <w:sz w:val="24"/>
          <w:szCs w:val="24"/>
        </w:rPr>
        <w:lastRenderedPageBreak/>
        <w:drawing>
          <wp:inline distT="0" distB="0" distL="0" distR="0" wp14:anchorId="29C43863" wp14:editId="18AA5436">
            <wp:extent cx="5274310" cy="436626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F21_ZNF1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4366260"/>
                    </a:xfrm>
                    <a:prstGeom prst="rect">
                      <a:avLst/>
                    </a:prstGeom>
                  </pic:spPr>
                </pic:pic>
              </a:graphicData>
            </a:graphic>
          </wp:inline>
        </w:drawing>
      </w:r>
    </w:p>
    <w:p w14:paraId="29F6E5BD" w14:textId="77777777"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S21.</w:t>
      </w:r>
      <w:r>
        <w:rPr>
          <w:rFonts w:ascii="Calibri" w:hAnsi="Calibri" w:cs="Calibri"/>
          <w:sz w:val="24"/>
          <w:szCs w:val="24"/>
        </w:rPr>
        <w:t xml:space="preserve"> Two independent losses of KRAB in both the ancestor of human and chimpanzee, and the gibbon lineage. </w:t>
      </w:r>
    </w:p>
    <w:p w14:paraId="7FD8445B" w14:textId="13720A4C" w:rsidR="004C2378" w:rsidRPr="00CB7BAC" w:rsidRDefault="00904506">
      <w:pPr>
        <w:spacing w:afterLines="50" w:after="156" w:line="288" w:lineRule="auto"/>
        <w:rPr>
          <w:rFonts w:ascii="Calibri" w:hAnsi="Calibri" w:cs="Calibri"/>
          <w:sz w:val="24"/>
          <w:szCs w:val="24"/>
        </w:rPr>
      </w:pPr>
      <w:r>
        <w:rPr>
          <w:rFonts w:ascii="Calibri" w:hAnsi="Calibri" w:cs="Calibri"/>
          <w:sz w:val="24"/>
          <w:szCs w:val="24"/>
        </w:rPr>
        <w:t>(</w:t>
      </w:r>
      <w:r w:rsidR="00D16417">
        <w:rPr>
          <w:rFonts w:ascii="Calibri" w:hAnsi="Calibri" w:cs="Calibri"/>
          <w:sz w:val="24"/>
          <w:szCs w:val="24"/>
        </w:rPr>
        <w:t>A) Besides the schematic view of domain architecture as in the Supplemental Data Set 1, the exon level alignment of KRAB coding region as well as the flanking regions across primates is further illustrated to demonstrate which mutation causes the loss of KRAB domain in human/chimpanzee and gibbon lineage.</w:t>
      </w:r>
      <w:r w:rsidR="002865DF">
        <w:rPr>
          <w:rFonts w:ascii="Calibri" w:hAnsi="Calibri" w:cs="Calibri"/>
          <w:sz w:val="24"/>
          <w:szCs w:val="24"/>
        </w:rPr>
        <w:t xml:space="preserve"> Notably, </w:t>
      </w:r>
      <w:r w:rsidR="00CB7BAC" w:rsidRPr="00A032B8">
        <w:rPr>
          <w:rFonts w:ascii="Calibri" w:hAnsi="Calibri" w:cs="Calibri"/>
          <w:i/>
          <w:sz w:val="24"/>
          <w:szCs w:val="24"/>
        </w:rPr>
        <w:t>ZNF117</w:t>
      </w:r>
      <w:r w:rsidR="00CB7BAC">
        <w:rPr>
          <w:rFonts w:ascii="Calibri" w:hAnsi="Calibri" w:cs="Calibri"/>
          <w:sz w:val="24"/>
          <w:szCs w:val="24"/>
        </w:rPr>
        <w:t xml:space="preserve"> in rhesus monkey should be intact according to </w:t>
      </w:r>
      <w:r w:rsidR="006F6626">
        <w:rPr>
          <w:rFonts w:ascii="Calibri" w:hAnsi="Calibri" w:cs="Calibri"/>
          <w:sz w:val="24"/>
          <w:szCs w:val="24"/>
        </w:rPr>
        <w:t xml:space="preserve">the </w:t>
      </w:r>
      <w:r w:rsidR="00CB7BAC">
        <w:rPr>
          <w:rFonts w:ascii="Calibri" w:hAnsi="Calibri" w:cs="Calibri"/>
          <w:sz w:val="24"/>
          <w:szCs w:val="24"/>
        </w:rPr>
        <w:t xml:space="preserve">orthologous alignment, but current annotation mis-positioned </w:t>
      </w:r>
      <w:r w:rsidR="0036577A">
        <w:rPr>
          <w:rFonts w:ascii="Calibri" w:hAnsi="Calibri" w:cs="Calibri"/>
          <w:sz w:val="24"/>
          <w:szCs w:val="24"/>
        </w:rPr>
        <w:t>its</w:t>
      </w:r>
      <w:r w:rsidR="002865DF">
        <w:rPr>
          <w:rFonts w:ascii="Calibri" w:hAnsi="Calibri" w:cs="Calibri"/>
          <w:sz w:val="24"/>
          <w:szCs w:val="24"/>
        </w:rPr>
        <w:t xml:space="preserve"> start codon </w:t>
      </w:r>
      <w:r w:rsidR="00CB7BAC">
        <w:rPr>
          <w:rFonts w:ascii="Calibri" w:hAnsi="Calibri" w:cs="Calibri"/>
          <w:sz w:val="24"/>
          <w:szCs w:val="24"/>
        </w:rPr>
        <w:t xml:space="preserve">to </w:t>
      </w:r>
      <w:r w:rsidR="006F6626">
        <w:rPr>
          <w:rFonts w:ascii="Calibri" w:hAnsi="Calibri" w:cs="Calibri"/>
          <w:sz w:val="24"/>
          <w:szCs w:val="24"/>
        </w:rPr>
        <w:t xml:space="preserve">the </w:t>
      </w:r>
      <w:r w:rsidR="00CB7BAC">
        <w:rPr>
          <w:rFonts w:ascii="Calibri" w:hAnsi="Calibri" w:cs="Calibri"/>
          <w:sz w:val="24"/>
          <w:szCs w:val="24"/>
        </w:rPr>
        <w:t xml:space="preserve">downstream. </w:t>
      </w:r>
    </w:p>
    <w:p w14:paraId="26C36490" w14:textId="51D437D8" w:rsidR="004C2378" w:rsidRDefault="00904506">
      <w:pPr>
        <w:spacing w:afterLines="50" w:after="156" w:line="288" w:lineRule="auto"/>
        <w:rPr>
          <w:rFonts w:ascii="Calibri" w:hAnsi="Calibri" w:cs="Calibri"/>
          <w:sz w:val="24"/>
          <w:szCs w:val="24"/>
        </w:rPr>
      </w:pPr>
      <w:r>
        <w:rPr>
          <w:rFonts w:ascii="Calibri" w:hAnsi="Calibri" w:cs="Calibri"/>
          <w:sz w:val="24"/>
          <w:szCs w:val="24"/>
        </w:rPr>
        <w:t>(</w:t>
      </w:r>
      <w:r w:rsidR="00D16417">
        <w:rPr>
          <w:rFonts w:ascii="Calibri" w:hAnsi="Calibri" w:cs="Calibri"/>
          <w:sz w:val="24"/>
          <w:szCs w:val="24"/>
        </w:rPr>
        <w:t xml:space="preserve">B) Human </w:t>
      </w:r>
      <w:r w:rsidR="00D16417">
        <w:rPr>
          <w:rFonts w:ascii="Calibri" w:hAnsi="Calibri" w:cs="Calibri"/>
          <w:i/>
          <w:sz w:val="24"/>
          <w:szCs w:val="24"/>
        </w:rPr>
        <w:t>ZNF117</w:t>
      </w:r>
      <w:r w:rsidR="00D16417">
        <w:rPr>
          <w:rFonts w:ascii="Calibri" w:hAnsi="Calibri" w:cs="Calibri"/>
          <w:sz w:val="24"/>
          <w:szCs w:val="24"/>
        </w:rPr>
        <w:t xml:space="preserve"> and its chimpanzee ortholog shares the same PTC in the orthologous KRAB coding exon.</w:t>
      </w:r>
    </w:p>
    <w:p w14:paraId="30F5B02C" w14:textId="556F4570" w:rsidR="004C2378" w:rsidRDefault="00904506">
      <w:pPr>
        <w:spacing w:afterLines="50" w:after="156" w:line="288" w:lineRule="auto"/>
        <w:rPr>
          <w:rFonts w:ascii="Calibri" w:hAnsi="Calibri" w:cs="Calibri"/>
          <w:sz w:val="24"/>
          <w:szCs w:val="24"/>
        </w:rPr>
      </w:pPr>
      <w:r>
        <w:rPr>
          <w:rFonts w:ascii="Calibri" w:hAnsi="Calibri" w:cs="Calibri"/>
          <w:sz w:val="24"/>
          <w:szCs w:val="24"/>
        </w:rPr>
        <w:t>(</w:t>
      </w:r>
      <w:r w:rsidR="00D16417">
        <w:rPr>
          <w:rFonts w:ascii="Calibri" w:hAnsi="Calibri" w:cs="Calibri"/>
          <w:sz w:val="24"/>
          <w:szCs w:val="24"/>
        </w:rPr>
        <w:t xml:space="preserve">C) Gibbon </w:t>
      </w:r>
      <w:r w:rsidR="00D16417">
        <w:rPr>
          <w:rFonts w:ascii="Calibri" w:hAnsi="Calibri" w:cs="Calibri"/>
          <w:i/>
          <w:sz w:val="24"/>
          <w:szCs w:val="24"/>
        </w:rPr>
        <w:t>ZNF117</w:t>
      </w:r>
      <w:r w:rsidR="00D16417">
        <w:rPr>
          <w:rFonts w:ascii="Calibri" w:hAnsi="Calibri" w:cs="Calibri"/>
          <w:sz w:val="24"/>
          <w:szCs w:val="24"/>
        </w:rPr>
        <w:t xml:space="preserve"> has a 10 bp deletion in the orthologous KRAB coding exon.</w:t>
      </w:r>
    </w:p>
    <w:p w14:paraId="5C7442E0" w14:textId="77777777" w:rsidR="004C2378" w:rsidRDefault="004C2378">
      <w:pPr>
        <w:widowControl/>
        <w:rPr>
          <w:rFonts w:ascii="Calibri" w:hAnsi="Calibri" w:cs="Calibri"/>
          <w:sz w:val="24"/>
          <w:szCs w:val="24"/>
        </w:rPr>
      </w:pPr>
    </w:p>
    <w:p w14:paraId="733682BC" w14:textId="77777777" w:rsidR="004C2378" w:rsidRDefault="00D16417">
      <w:pPr>
        <w:widowControl/>
        <w:jc w:val="left"/>
        <w:rPr>
          <w:rFonts w:ascii="Calibri" w:hAnsi="Calibri" w:cs="Calibri"/>
          <w:b/>
          <w:sz w:val="24"/>
          <w:szCs w:val="24"/>
        </w:rPr>
      </w:pPr>
      <w:r>
        <w:rPr>
          <w:rFonts w:ascii="Calibri" w:hAnsi="Calibri" w:cs="Calibri"/>
          <w:b/>
          <w:sz w:val="24"/>
          <w:szCs w:val="24"/>
        </w:rPr>
        <w:br w:type="page"/>
      </w:r>
    </w:p>
    <w:p w14:paraId="0D424DB4" w14:textId="5092DC8A" w:rsidR="004C2378" w:rsidRDefault="00BD533A">
      <w:pPr>
        <w:widowControl/>
        <w:jc w:val="center"/>
        <w:rPr>
          <w:rFonts w:ascii="Calibri" w:hAnsi="Calibri" w:cs="Calibri"/>
          <w:sz w:val="24"/>
          <w:szCs w:val="24"/>
        </w:rPr>
      </w:pPr>
      <w:r>
        <w:rPr>
          <w:rFonts w:ascii="Calibri" w:hAnsi="Calibri" w:cs="Calibri"/>
          <w:noProof/>
          <w:sz w:val="24"/>
          <w:szCs w:val="24"/>
        </w:rPr>
        <w:lastRenderedPageBreak/>
        <w:drawing>
          <wp:inline distT="0" distB="0" distL="0" distR="0" wp14:anchorId="2D2388F4" wp14:editId="517ABB4D">
            <wp:extent cx="5274310" cy="2224405"/>
            <wp:effectExtent l="0" t="0" r="254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F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2224405"/>
                    </a:xfrm>
                    <a:prstGeom prst="rect">
                      <a:avLst/>
                    </a:prstGeom>
                  </pic:spPr>
                </pic:pic>
              </a:graphicData>
            </a:graphic>
          </wp:inline>
        </w:drawing>
      </w:r>
    </w:p>
    <w:p w14:paraId="43AB98FB" w14:textId="004EE096" w:rsidR="004C2378" w:rsidRDefault="00D16417">
      <w:pPr>
        <w:spacing w:afterLines="50" w:after="156" w:line="288" w:lineRule="auto"/>
        <w:rPr>
          <w:rFonts w:ascii="Calibri" w:hAnsi="Calibri" w:cs="Calibri"/>
          <w:sz w:val="24"/>
          <w:szCs w:val="24"/>
        </w:rPr>
      </w:pPr>
      <w:r>
        <w:rPr>
          <w:rFonts w:ascii="Calibri" w:hAnsi="Calibri" w:cs="Calibri"/>
          <w:b/>
          <w:sz w:val="24"/>
          <w:szCs w:val="24"/>
        </w:rPr>
        <w:t>Supplemental Figure S22.</w:t>
      </w:r>
      <w:r>
        <w:rPr>
          <w:rFonts w:ascii="Calibri" w:hAnsi="Calibri" w:cs="Calibri"/>
        </w:rPr>
        <w:t xml:space="preserve"> </w:t>
      </w:r>
      <w:r>
        <w:rPr>
          <w:rFonts w:ascii="Calibri" w:hAnsi="Calibri" w:cs="Calibri"/>
          <w:sz w:val="24"/>
          <w:szCs w:val="24"/>
        </w:rPr>
        <w:t xml:space="preserve">A snapshot of transcript level age view. </w:t>
      </w:r>
    </w:p>
    <w:p w14:paraId="29189D91" w14:textId="77777777" w:rsidR="004C2378" w:rsidRDefault="00D16417">
      <w:pPr>
        <w:spacing w:afterLines="50" w:after="156" w:line="288" w:lineRule="auto"/>
        <w:rPr>
          <w:rFonts w:ascii="Calibri" w:hAnsi="Calibri" w:cs="Calibri"/>
          <w:sz w:val="24"/>
          <w:szCs w:val="24"/>
        </w:rPr>
      </w:pPr>
      <w:r>
        <w:rPr>
          <w:rFonts w:ascii="Calibri" w:hAnsi="Calibri" w:cs="Calibri"/>
          <w:sz w:val="24"/>
          <w:szCs w:val="24"/>
        </w:rPr>
        <w:t xml:space="preserve">We took </w:t>
      </w:r>
      <w:r>
        <w:rPr>
          <w:rFonts w:ascii="Calibri" w:hAnsi="Calibri" w:cs="Calibri"/>
          <w:i/>
          <w:sz w:val="24"/>
          <w:szCs w:val="24"/>
        </w:rPr>
        <w:t>TPTEP1</w:t>
      </w:r>
      <w:r>
        <w:rPr>
          <w:rFonts w:ascii="Calibri" w:hAnsi="Calibri" w:cs="Calibri"/>
          <w:sz w:val="24"/>
          <w:szCs w:val="24"/>
        </w:rPr>
        <w:t xml:space="preserve"> (ENSG00000100181) as an example, which encodes 12 different transcripts with different ages. The phylogenetic tree would change as the different transcript is clicked on. This figure is adapted from </w:t>
      </w:r>
      <w:hyperlink r:id="rId37" w:history="1">
        <w:r>
          <w:rPr>
            <w:rStyle w:val="ac"/>
            <w:rFonts w:ascii="Calibri" w:hAnsi="Calibri" w:cs="Calibri"/>
            <w:sz w:val="24"/>
            <w:szCs w:val="24"/>
          </w:rPr>
          <w:t>http://gentree.ioz.ac.cn/tools/viewIDS.php?speciesselect=Human&amp;genename=</w:t>
        </w:r>
        <w:r>
          <w:rPr>
            <w:rFonts w:ascii="Calibri" w:hAnsi="Calibri" w:cs="Calibri"/>
          </w:rPr>
          <w:t xml:space="preserve"> </w:t>
        </w:r>
        <w:r>
          <w:rPr>
            <w:rStyle w:val="ac"/>
            <w:rFonts w:ascii="Calibri" w:hAnsi="Calibri" w:cs="Calibri"/>
            <w:sz w:val="24"/>
            <w:szCs w:val="24"/>
          </w:rPr>
          <w:t>ENSG00000100181</w:t>
        </w:r>
      </w:hyperlink>
      <w:r>
        <w:rPr>
          <w:rFonts w:ascii="Calibri" w:hAnsi="Calibri" w:cs="Calibri"/>
          <w:sz w:val="24"/>
          <w:szCs w:val="24"/>
        </w:rPr>
        <w:t>.</w:t>
      </w:r>
    </w:p>
    <w:p w14:paraId="306188FC" w14:textId="77777777" w:rsidR="004C2378" w:rsidRDefault="004C2378">
      <w:pPr>
        <w:widowControl/>
        <w:jc w:val="left"/>
        <w:rPr>
          <w:rFonts w:ascii="Calibri" w:eastAsia="宋体" w:hAnsi="Calibri" w:cs="Calibri"/>
          <w:sz w:val="24"/>
          <w:szCs w:val="24"/>
        </w:rPr>
      </w:pPr>
    </w:p>
    <w:p w14:paraId="28D10610" w14:textId="77777777" w:rsidR="004C2378" w:rsidRDefault="00D16417">
      <w:pPr>
        <w:widowControl/>
        <w:jc w:val="left"/>
        <w:rPr>
          <w:rFonts w:ascii="Calibri" w:eastAsia="宋体" w:hAnsi="Calibri" w:cs="Calibri"/>
          <w:sz w:val="24"/>
          <w:szCs w:val="24"/>
        </w:rPr>
      </w:pPr>
      <w:r>
        <w:rPr>
          <w:rFonts w:ascii="Calibri" w:eastAsia="宋体" w:hAnsi="Calibri" w:cs="Calibri"/>
          <w:sz w:val="24"/>
          <w:szCs w:val="24"/>
        </w:rPr>
        <w:br w:type="page"/>
      </w:r>
    </w:p>
    <w:p w14:paraId="75E25778" w14:textId="77777777" w:rsidR="004C2378" w:rsidRDefault="004C2378">
      <w:pPr>
        <w:widowControl/>
        <w:jc w:val="center"/>
        <w:rPr>
          <w:rFonts w:ascii="Calibri" w:eastAsia="宋体" w:hAnsi="Calibri" w:cs="Calibri"/>
          <w:sz w:val="24"/>
          <w:szCs w:val="24"/>
        </w:rPr>
      </w:pPr>
    </w:p>
    <w:p w14:paraId="074297A0" w14:textId="7547AA5F" w:rsidR="004C2378" w:rsidRDefault="00BD533A">
      <w:pPr>
        <w:widowControl/>
        <w:jc w:val="center"/>
        <w:rPr>
          <w:rFonts w:ascii="Calibri" w:eastAsia="宋体" w:hAnsi="Calibri" w:cs="Calibri"/>
          <w:sz w:val="24"/>
          <w:szCs w:val="24"/>
        </w:rPr>
      </w:pPr>
      <w:r>
        <w:rPr>
          <w:rFonts w:ascii="Calibri" w:eastAsia="宋体" w:hAnsi="Calibri" w:cs="Calibri"/>
          <w:noProof/>
          <w:sz w:val="24"/>
          <w:szCs w:val="24"/>
        </w:rPr>
        <w:drawing>
          <wp:inline distT="0" distB="0" distL="0" distR="0" wp14:anchorId="59600349" wp14:editId="337B7A46">
            <wp:extent cx="2691971" cy="552323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F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9802" cy="5539296"/>
                    </a:xfrm>
                    <a:prstGeom prst="rect">
                      <a:avLst/>
                    </a:prstGeom>
                  </pic:spPr>
                </pic:pic>
              </a:graphicData>
            </a:graphic>
          </wp:inline>
        </w:drawing>
      </w:r>
    </w:p>
    <w:p w14:paraId="20BF8083" w14:textId="77777777" w:rsidR="004C2378" w:rsidRDefault="00D16417">
      <w:pPr>
        <w:spacing w:afterLines="50" w:after="156" w:line="288" w:lineRule="auto"/>
        <w:rPr>
          <w:rFonts w:ascii="Calibri" w:hAnsi="Calibri" w:cs="Calibri"/>
          <w:b/>
          <w:sz w:val="24"/>
          <w:szCs w:val="24"/>
        </w:rPr>
      </w:pPr>
      <w:r>
        <w:rPr>
          <w:rFonts w:ascii="Calibri" w:hAnsi="Calibri" w:cs="Calibri"/>
          <w:b/>
          <w:sz w:val="24"/>
          <w:szCs w:val="24"/>
        </w:rPr>
        <w:t>Supplemental Figure S23.</w:t>
      </w:r>
      <w:r>
        <w:rPr>
          <w:rFonts w:ascii="Calibri" w:hAnsi="Calibri" w:cs="Calibri"/>
          <w:sz w:val="24"/>
          <w:szCs w:val="24"/>
        </w:rPr>
        <w:t xml:space="preserve"> The WGCNA parameter for HPA (A) and GTEx (B) </w:t>
      </w:r>
    </w:p>
    <w:p w14:paraId="6DB1DB95" w14:textId="77777777" w:rsidR="004C2378" w:rsidRDefault="00D16417">
      <w:pPr>
        <w:spacing w:afterLines="50" w:after="156" w:line="288" w:lineRule="auto"/>
        <w:rPr>
          <w:rFonts w:ascii="Calibri" w:hAnsi="Calibri" w:cs="Calibri"/>
          <w:sz w:val="24"/>
          <w:szCs w:val="24"/>
        </w:rPr>
      </w:pPr>
      <w:r>
        <w:rPr>
          <w:rFonts w:ascii="Calibri" w:hAnsi="Calibri" w:cs="Calibri"/>
          <w:sz w:val="24"/>
          <w:szCs w:val="24"/>
        </w:rPr>
        <w:t>We employed the results of the pickSoftThreshold function in WGCNA to generate these plots. It seems that the power of 12 and 20 reaches the optimal fit in HPA and GTEx, respectively. The red line marks the R</w:t>
      </w:r>
      <w:r>
        <w:rPr>
          <w:rFonts w:ascii="Calibri" w:hAnsi="Calibri" w:cs="Calibri"/>
          <w:sz w:val="24"/>
          <w:szCs w:val="24"/>
          <w:vertAlign w:val="superscript"/>
        </w:rPr>
        <w:t>2</w:t>
      </w:r>
      <w:r>
        <w:rPr>
          <w:rFonts w:ascii="Calibri" w:hAnsi="Calibri" w:cs="Calibri"/>
          <w:sz w:val="24"/>
          <w:szCs w:val="24"/>
        </w:rPr>
        <w:t xml:space="preserve"> of 0.85.</w:t>
      </w:r>
    </w:p>
    <w:p w14:paraId="5B41D398" w14:textId="77777777" w:rsidR="004C2378" w:rsidRDefault="004C2378">
      <w:pPr>
        <w:spacing w:afterLines="50" w:after="156" w:line="288" w:lineRule="auto"/>
        <w:rPr>
          <w:rFonts w:ascii="Calibri" w:eastAsia="宋体" w:hAnsi="Calibri" w:cs="Calibri"/>
          <w:sz w:val="24"/>
          <w:szCs w:val="24"/>
        </w:rPr>
      </w:pPr>
    </w:p>
    <w:sectPr w:rsidR="004C23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FCA20" w14:textId="77777777" w:rsidR="00BD452B" w:rsidRDefault="00BD452B" w:rsidP="009A750D">
      <w:r>
        <w:separator/>
      </w:r>
    </w:p>
  </w:endnote>
  <w:endnote w:type="continuationSeparator" w:id="0">
    <w:p w14:paraId="70F8053E" w14:textId="77777777" w:rsidR="00BD452B" w:rsidRDefault="00BD452B" w:rsidP="009A7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6816F" w14:textId="77777777" w:rsidR="00BD452B" w:rsidRDefault="00BD452B" w:rsidP="009A750D">
      <w:r>
        <w:separator/>
      </w:r>
    </w:p>
  </w:footnote>
  <w:footnote w:type="continuationSeparator" w:id="0">
    <w:p w14:paraId="6F91488B" w14:textId="77777777" w:rsidR="00BD452B" w:rsidRDefault="00BD452B" w:rsidP="009A75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A0E"/>
    <w:rsid w:val="00003331"/>
    <w:rsid w:val="00003B11"/>
    <w:rsid w:val="000056CA"/>
    <w:rsid w:val="000077BB"/>
    <w:rsid w:val="000122FD"/>
    <w:rsid w:val="00012B1C"/>
    <w:rsid w:val="000157D9"/>
    <w:rsid w:val="00017FCC"/>
    <w:rsid w:val="0002066C"/>
    <w:rsid w:val="00020A9A"/>
    <w:rsid w:val="00022978"/>
    <w:rsid w:val="000233DD"/>
    <w:rsid w:val="0002778D"/>
    <w:rsid w:val="000330D7"/>
    <w:rsid w:val="00033CEF"/>
    <w:rsid w:val="00034161"/>
    <w:rsid w:val="000346FF"/>
    <w:rsid w:val="00034CB2"/>
    <w:rsid w:val="00035943"/>
    <w:rsid w:val="0003647A"/>
    <w:rsid w:val="000424F9"/>
    <w:rsid w:val="00043993"/>
    <w:rsid w:val="000471E7"/>
    <w:rsid w:val="0005095F"/>
    <w:rsid w:val="000538D6"/>
    <w:rsid w:val="00054625"/>
    <w:rsid w:val="00054663"/>
    <w:rsid w:val="00056E23"/>
    <w:rsid w:val="00057595"/>
    <w:rsid w:val="00060126"/>
    <w:rsid w:val="00064ED0"/>
    <w:rsid w:val="00066284"/>
    <w:rsid w:val="000729B9"/>
    <w:rsid w:val="00072A36"/>
    <w:rsid w:val="00072FB7"/>
    <w:rsid w:val="000803B6"/>
    <w:rsid w:val="00082EF4"/>
    <w:rsid w:val="00083267"/>
    <w:rsid w:val="00084517"/>
    <w:rsid w:val="00091ED3"/>
    <w:rsid w:val="000A1AE9"/>
    <w:rsid w:val="000C29ED"/>
    <w:rsid w:val="000C4185"/>
    <w:rsid w:val="000C7917"/>
    <w:rsid w:val="000D178C"/>
    <w:rsid w:val="000D23BA"/>
    <w:rsid w:val="000D2F55"/>
    <w:rsid w:val="000D3C80"/>
    <w:rsid w:val="000D5DDC"/>
    <w:rsid w:val="000E062F"/>
    <w:rsid w:val="000E0E51"/>
    <w:rsid w:val="000E205B"/>
    <w:rsid w:val="000E270F"/>
    <w:rsid w:val="000E3363"/>
    <w:rsid w:val="000F2E9F"/>
    <w:rsid w:val="00100845"/>
    <w:rsid w:val="001025FD"/>
    <w:rsid w:val="0010633E"/>
    <w:rsid w:val="00106E55"/>
    <w:rsid w:val="0011252F"/>
    <w:rsid w:val="001136F7"/>
    <w:rsid w:val="0011503F"/>
    <w:rsid w:val="00115CCB"/>
    <w:rsid w:val="00115F8D"/>
    <w:rsid w:val="00121B4A"/>
    <w:rsid w:val="00121FA0"/>
    <w:rsid w:val="00124BEA"/>
    <w:rsid w:val="0012503B"/>
    <w:rsid w:val="00125360"/>
    <w:rsid w:val="0012562E"/>
    <w:rsid w:val="00126CDD"/>
    <w:rsid w:val="00134CCE"/>
    <w:rsid w:val="00142CEA"/>
    <w:rsid w:val="0014321A"/>
    <w:rsid w:val="001437B5"/>
    <w:rsid w:val="0014528B"/>
    <w:rsid w:val="00145CDC"/>
    <w:rsid w:val="00153373"/>
    <w:rsid w:val="00153659"/>
    <w:rsid w:val="0015447B"/>
    <w:rsid w:val="00154CBF"/>
    <w:rsid w:val="00154D69"/>
    <w:rsid w:val="00156EB2"/>
    <w:rsid w:val="00160F8E"/>
    <w:rsid w:val="00161231"/>
    <w:rsid w:val="00162DB1"/>
    <w:rsid w:val="00165E10"/>
    <w:rsid w:val="0016734F"/>
    <w:rsid w:val="00172A49"/>
    <w:rsid w:val="00174ADC"/>
    <w:rsid w:val="00181BE8"/>
    <w:rsid w:val="00182D00"/>
    <w:rsid w:val="00183B3D"/>
    <w:rsid w:val="00187510"/>
    <w:rsid w:val="001932EA"/>
    <w:rsid w:val="00193AA9"/>
    <w:rsid w:val="00197588"/>
    <w:rsid w:val="001976ED"/>
    <w:rsid w:val="001A092F"/>
    <w:rsid w:val="001A1B33"/>
    <w:rsid w:val="001A1C96"/>
    <w:rsid w:val="001A5257"/>
    <w:rsid w:val="001A64E1"/>
    <w:rsid w:val="001A68A3"/>
    <w:rsid w:val="001A7418"/>
    <w:rsid w:val="001A7495"/>
    <w:rsid w:val="001B5DA3"/>
    <w:rsid w:val="001B6F36"/>
    <w:rsid w:val="001C07C9"/>
    <w:rsid w:val="001C6AEA"/>
    <w:rsid w:val="001C78F9"/>
    <w:rsid w:val="001C7D44"/>
    <w:rsid w:val="001D10CD"/>
    <w:rsid w:val="001D4FEE"/>
    <w:rsid w:val="001E0BA8"/>
    <w:rsid w:val="001E0FC5"/>
    <w:rsid w:val="001E162E"/>
    <w:rsid w:val="001E20D7"/>
    <w:rsid w:val="001E378A"/>
    <w:rsid w:val="001E74AF"/>
    <w:rsid w:val="001F0057"/>
    <w:rsid w:val="001F16A5"/>
    <w:rsid w:val="001F3752"/>
    <w:rsid w:val="001F5D37"/>
    <w:rsid w:val="001F662E"/>
    <w:rsid w:val="00202197"/>
    <w:rsid w:val="00202E6C"/>
    <w:rsid w:val="0020387F"/>
    <w:rsid w:val="00203FB5"/>
    <w:rsid w:val="0020497C"/>
    <w:rsid w:val="00204BAD"/>
    <w:rsid w:val="00204D09"/>
    <w:rsid w:val="00206010"/>
    <w:rsid w:val="00213165"/>
    <w:rsid w:val="00213229"/>
    <w:rsid w:val="00215EE0"/>
    <w:rsid w:val="00221785"/>
    <w:rsid w:val="0022582E"/>
    <w:rsid w:val="00226BB2"/>
    <w:rsid w:val="0022738A"/>
    <w:rsid w:val="00232C12"/>
    <w:rsid w:val="0024037C"/>
    <w:rsid w:val="00240D60"/>
    <w:rsid w:val="00242CDF"/>
    <w:rsid w:val="00242CEC"/>
    <w:rsid w:val="00243D78"/>
    <w:rsid w:val="00243FF3"/>
    <w:rsid w:val="00244B45"/>
    <w:rsid w:val="0025217E"/>
    <w:rsid w:val="002531FD"/>
    <w:rsid w:val="0026424A"/>
    <w:rsid w:val="00273D09"/>
    <w:rsid w:val="00275619"/>
    <w:rsid w:val="00276150"/>
    <w:rsid w:val="00281CF1"/>
    <w:rsid w:val="00282CB1"/>
    <w:rsid w:val="002832B4"/>
    <w:rsid w:val="002841C5"/>
    <w:rsid w:val="002865DF"/>
    <w:rsid w:val="002914DA"/>
    <w:rsid w:val="00293A03"/>
    <w:rsid w:val="002954D1"/>
    <w:rsid w:val="002A02ED"/>
    <w:rsid w:val="002A0E07"/>
    <w:rsid w:val="002A12E7"/>
    <w:rsid w:val="002A16A1"/>
    <w:rsid w:val="002A47F5"/>
    <w:rsid w:val="002B3A08"/>
    <w:rsid w:val="002B77CD"/>
    <w:rsid w:val="002C244D"/>
    <w:rsid w:val="002C5598"/>
    <w:rsid w:val="002D1ECE"/>
    <w:rsid w:val="002E11D1"/>
    <w:rsid w:val="002E425D"/>
    <w:rsid w:val="002E5590"/>
    <w:rsid w:val="002F220D"/>
    <w:rsid w:val="002F3039"/>
    <w:rsid w:val="002F7A40"/>
    <w:rsid w:val="00300381"/>
    <w:rsid w:val="003005D8"/>
    <w:rsid w:val="003025C0"/>
    <w:rsid w:val="00303BCA"/>
    <w:rsid w:val="00305A18"/>
    <w:rsid w:val="00307ACB"/>
    <w:rsid w:val="00307BFB"/>
    <w:rsid w:val="00310268"/>
    <w:rsid w:val="003134CE"/>
    <w:rsid w:val="00316B02"/>
    <w:rsid w:val="0032040B"/>
    <w:rsid w:val="003220F3"/>
    <w:rsid w:val="0032345D"/>
    <w:rsid w:val="003261EC"/>
    <w:rsid w:val="0033044C"/>
    <w:rsid w:val="00332986"/>
    <w:rsid w:val="0033422F"/>
    <w:rsid w:val="00334544"/>
    <w:rsid w:val="00334EE7"/>
    <w:rsid w:val="0033763E"/>
    <w:rsid w:val="0034087A"/>
    <w:rsid w:val="00347BCA"/>
    <w:rsid w:val="00351BC8"/>
    <w:rsid w:val="00353EA5"/>
    <w:rsid w:val="00362F4D"/>
    <w:rsid w:val="003648AC"/>
    <w:rsid w:val="0036577A"/>
    <w:rsid w:val="00370B59"/>
    <w:rsid w:val="00370C9A"/>
    <w:rsid w:val="00370DE0"/>
    <w:rsid w:val="0037224D"/>
    <w:rsid w:val="003756F0"/>
    <w:rsid w:val="00377C1A"/>
    <w:rsid w:val="00380AEC"/>
    <w:rsid w:val="00381BB4"/>
    <w:rsid w:val="00384113"/>
    <w:rsid w:val="00385257"/>
    <w:rsid w:val="003866D5"/>
    <w:rsid w:val="003967FB"/>
    <w:rsid w:val="003968D6"/>
    <w:rsid w:val="003A3D9D"/>
    <w:rsid w:val="003A4802"/>
    <w:rsid w:val="003B0885"/>
    <w:rsid w:val="003B0B2B"/>
    <w:rsid w:val="003B0F25"/>
    <w:rsid w:val="003B27B1"/>
    <w:rsid w:val="003B46AD"/>
    <w:rsid w:val="003B61BB"/>
    <w:rsid w:val="003B7D7F"/>
    <w:rsid w:val="003C3C68"/>
    <w:rsid w:val="003C49CF"/>
    <w:rsid w:val="003C6577"/>
    <w:rsid w:val="003D197C"/>
    <w:rsid w:val="003D31F4"/>
    <w:rsid w:val="003E0802"/>
    <w:rsid w:val="003E11C6"/>
    <w:rsid w:val="003E18E6"/>
    <w:rsid w:val="003E1E5A"/>
    <w:rsid w:val="003E5A97"/>
    <w:rsid w:val="003E5CA0"/>
    <w:rsid w:val="003F25D8"/>
    <w:rsid w:val="0040109A"/>
    <w:rsid w:val="004039CF"/>
    <w:rsid w:val="00404CE8"/>
    <w:rsid w:val="004117AC"/>
    <w:rsid w:val="00417911"/>
    <w:rsid w:val="00420455"/>
    <w:rsid w:val="004205E1"/>
    <w:rsid w:val="004208EE"/>
    <w:rsid w:val="0042519A"/>
    <w:rsid w:val="004266A0"/>
    <w:rsid w:val="00426D65"/>
    <w:rsid w:val="00430478"/>
    <w:rsid w:val="0043123D"/>
    <w:rsid w:val="00431DBB"/>
    <w:rsid w:val="004349D0"/>
    <w:rsid w:val="0044408E"/>
    <w:rsid w:val="0044588A"/>
    <w:rsid w:val="00450A4E"/>
    <w:rsid w:val="004512A0"/>
    <w:rsid w:val="004558B0"/>
    <w:rsid w:val="00455F3F"/>
    <w:rsid w:val="00456C0D"/>
    <w:rsid w:val="00457FC2"/>
    <w:rsid w:val="004601D6"/>
    <w:rsid w:val="00461CBA"/>
    <w:rsid w:val="0046725A"/>
    <w:rsid w:val="0047001B"/>
    <w:rsid w:val="00473E73"/>
    <w:rsid w:val="004829CB"/>
    <w:rsid w:val="004875B7"/>
    <w:rsid w:val="00487B63"/>
    <w:rsid w:val="00487F14"/>
    <w:rsid w:val="00493EE4"/>
    <w:rsid w:val="0049523D"/>
    <w:rsid w:val="00496821"/>
    <w:rsid w:val="00496A1E"/>
    <w:rsid w:val="004A1272"/>
    <w:rsid w:val="004A2CF5"/>
    <w:rsid w:val="004A46D0"/>
    <w:rsid w:val="004A5FD8"/>
    <w:rsid w:val="004B0B6B"/>
    <w:rsid w:val="004B5A78"/>
    <w:rsid w:val="004B6802"/>
    <w:rsid w:val="004B7FD2"/>
    <w:rsid w:val="004C15E2"/>
    <w:rsid w:val="004C2378"/>
    <w:rsid w:val="004C3C86"/>
    <w:rsid w:val="004C41C1"/>
    <w:rsid w:val="004C5987"/>
    <w:rsid w:val="004C7317"/>
    <w:rsid w:val="004D30B2"/>
    <w:rsid w:val="004E4820"/>
    <w:rsid w:val="004F1887"/>
    <w:rsid w:val="004F31E4"/>
    <w:rsid w:val="004F38C4"/>
    <w:rsid w:val="004F431B"/>
    <w:rsid w:val="004F5162"/>
    <w:rsid w:val="00502274"/>
    <w:rsid w:val="00502443"/>
    <w:rsid w:val="00504573"/>
    <w:rsid w:val="00504E23"/>
    <w:rsid w:val="00510AE3"/>
    <w:rsid w:val="005113FB"/>
    <w:rsid w:val="00517A2A"/>
    <w:rsid w:val="00520B86"/>
    <w:rsid w:val="00523792"/>
    <w:rsid w:val="00524D0F"/>
    <w:rsid w:val="00533350"/>
    <w:rsid w:val="00544638"/>
    <w:rsid w:val="0054464F"/>
    <w:rsid w:val="005454FE"/>
    <w:rsid w:val="00546B31"/>
    <w:rsid w:val="005507FA"/>
    <w:rsid w:val="00552125"/>
    <w:rsid w:val="00552D92"/>
    <w:rsid w:val="005549A0"/>
    <w:rsid w:val="00556E41"/>
    <w:rsid w:val="005640FF"/>
    <w:rsid w:val="00565FFE"/>
    <w:rsid w:val="00566C88"/>
    <w:rsid w:val="00567832"/>
    <w:rsid w:val="00567909"/>
    <w:rsid w:val="0057187D"/>
    <w:rsid w:val="0057362B"/>
    <w:rsid w:val="00574A28"/>
    <w:rsid w:val="00575270"/>
    <w:rsid w:val="0057558C"/>
    <w:rsid w:val="0057743C"/>
    <w:rsid w:val="00580963"/>
    <w:rsid w:val="00583B4A"/>
    <w:rsid w:val="005842DA"/>
    <w:rsid w:val="005845FA"/>
    <w:rsid w:val="0058530A"/>
    <w:rsid w:val="00590603"/>
    <w:rsid w:val="0059246F"/>
    <w:rsid w:val="005925F6"/>
    <w:rsid w:val="00593B2A"/>
    <w:rsid w:val="00595047"/>
    <w:rsid w:val="00595F92"/>
    <w:rsid w:val="00597B7A"/>
    <w:rsid w:val="005A2E98"/>
    <w:rsid w:val="005A44E7"/>
    <w:rsid w:val="005A461A"/>
    <w:rsid w:val="005B1889"/>
    <w:rsid w:val="005B25FA"/>
    <w:rsid w:val="005B29B9"/>
    <w:rsid w:val="005B2EF2"/>
    <w:rsid w:val="005B33B8"/>
    <w:rsid w:val="005B7290"/>
    <w:rsid w:val="005C3AF5"/>
    <w:rsid w:val="005D1841"/>
    <w:rsid w:val="005D46FD"/>
    <w:rsid w:val="005D4866"/>
    <w:rsid w:val="005D563D"/>
    <w:rsid w:val="005D7A20"/>
    <w:rsid w:val="005E3456"/>
    <w:rsid w:val="005E6A57"/>
    <w:rsid w:val="005F1880"/>
    <w:rsid w:val="005F275A"/>
    <w:rsid w:val="00602DA9"/>
    <w:rsid w:val="00602FAD"/>
    <w:rsid w:val="006100B4"/>
    <w:rsid w:val="0061114C"/>
    <w:rsid w:val="006117E3"/>
    <w:rsid w:val="00616FF7"/>
    <w:rsid w:val="006170D0"/>
    <w:rsid w:val="006208B0"/>
    <w:rsid w:val="00620C26"/>
    <w:rsid w:val="006244AD"/>
    <w:rsid w:val="0062533E"/>
    <w:rsid w:val="006255C7"/>
    <w:rsid w:val="00626345"/>
    <w:rsid w:val="00627BCA"/>
    <w:rsid w:val="00631607"/>
    <w:rsid w:val="00631EEA"/>
    <w:rsid w:val="00632290"/>
    <w:rsid w:val="006336E7"/>
    <w:rsid w:val="00635200"/>
    <w:rsid w:val="00636CC2"/>
    <w:rsid w:val="00651269"/>
    <w:rsid w:val="00651374"/>
    <w:rsid w:val="00652816"/>
    <w:rsid w:val="00652C64"/>
    <w:rsid w:val="00654CD6"/>
    <w:rsid w:val="00654F0F"/>
    <w:rsid w:val="00655ADE"/>
    <w:rsid w:val="00660D5A"/>
    <w:rsid w:val="0066418D"/>
    <w:rsid w:val="00664292"/>
    <w:rsid w:val="00670F5C"/>
    <w:rsid w:val="00672952"/>
    <w:rsid w:val="00674D7C"/>
    <w:rsid w:val="0067577C"/>
    <w:rsid w:val="00681BB4"/>
    <w:rsid w:val="0068342D"/>
    <w:rsid w:val="0068529D"/>
    <w:rsid w:val="00686E1B"/>
    <w:rsid w:val="006901DB"/>
    <w:rsid w:val="006907D3"/>
    <w:rsid w:val="00695BBB"/>
    <w:rsid w:val="006A20DC"/>
    <w:rsid w:val="006A2181"/>
    <w:rsid w:val="006A2487"/>
    <w:rsid w:val="006A4460"/>
    <w:rsid w:val="006A470C"/>
    <w:rsid w:val="006A47C9"/>
    <w:rsid w:val="006A4BAD"/>
    <w:rsid w:val="006B4F88"/>
    <w:rsid w:val="006B5D21"/>
    <w:rsid w:val="006B6D9F"/>
    <w:rsid w:val="006B75B8"/>
    <w:rsid w:val="006C4FA6"/>
    <w:rsid w:val="006C6433"/>
    <w:rsid w:val="006D2095"/>
    <w:rsid w:val="006D3C96"/>
    <w:rsid w:val="006D5C8C"/>
    <w:rsid w:val="006D5E70"/>
    <w:rsid w:val="006D64C1"/>
    <w:rsid w:val="006E14B4"/>
    <w:rsid w:val="006E15D9"/>
    <w:rsid w:val="006E2AFF"/>
    <w:rsid w:val="006E35B0"/>
    <w:rsid w:val="006F1C68"/>
    <w:rsid w:val="006F4077"/>
    <w:rsid w:val="006F648A"/>
    <w:rsid w:val="006F6626"/>
    <w:rsid w:val="006F72E8"/>
    <w:rsid w:val="00700684"/>
    <w:rsid w:val="00702679"/>
    <w:rsid w:val="007055E8"/>
    <w:rsid w:val="0071297C"/>
    <w:rsid w:val="007146AA"/>
    <w:rsid w:val="00720084"/>
    <w:rsid w:val="00721D76"/>
    <w:rsid w:val="00725DE0"/>
    <w:rsid w:val="00726060"/>
    <w:rsid w:val="007260BA"/>
    <w:rsid w:val="00727189"/>
    <w:rsid w:val="00730D22"/>
    <w:rsid w:val="00732009"/>
    <w:rsid w:val="007379CA"/>
    <w:rsid w:val="00740095"/>
    <w:rsid w:val="00742AF4"/>
    <w:rsid w:val="007479EF"/>
    <w:rsid w:val="007501C7"/>
    <w:rsid w:val="00757CD7"/>
    <w:rsid w:val="00763EC9"/>
    <w:rsid w:val="007676BB"/>
    <w:rsid w:val="007701F7"/>
    <w:rsid w:val="00776C4B"/>
    <w:rsid w:val="00777149"/>
    <w:rsid w:val="007814C3"/>
    <w:rsid w:val="00782433"/>
    <w:rsid w:val="007837B9"/>
    <w:rsid w:val="0079583B"/>
    <w:rsid w:val="007961D6"/>
    <w:rsid w:val="007969A9"/>
    <w:rsid w:val="007A1626"/>
    <w:rsid w:val="007B00C1"/>
    <w:rsid w:val="007B0CCB"/>
    <w:rsid w:val="007B25B4"/>
    <w:rsid w:val="007B4C64"/>
    <w:rsid w:val="007B4EA6"/>
    <w:rsid w:val="007B6536"/>
    <w:rsid w:val="007B7661"/>
    <w:rsid w:val="007C019F"/>
    <w:rsid w:val="007C047C"/>
    <w:rsid w:val="007C1979"/>
    <w:rsid w:val="007C457E"/>
    <w:rsid w:val="007C675B"/>
    <w:rsid w:val="007C6D39"/>
    <w:rsid w:val="007D463E"/>
    <w:rsid w:val="007D48F1"/>
    <w:rsid w:val="007E72F3"/>
    <w:rsid w:val="007F1CAA"/>
    <w:rsid w:val="007F225C"/>
    <w:rsid w:val="007F36D9"/>
    <w:rsid w:val="007F3AFF"/>
    <w:rsid w:val="007F44A6"/>
    <w:rsid w:val="007F568B"/>
    <w:rsid w:val="0081015F"/>
    <w:rsid w:val="00816FF9"/>
    <w:rsid w:val="008174FB"/>
    <w:rsid w:val="0082101F"/>
    <w:rsid w:val="00824228"/>
    <w:rsid w:val="00826341"/>
    <w:rsid w:val="00826D30"/>
    <w:rsid w:val="00826FFE"/>
    <w:rsid w:val="008272BB"/>
    <w:rsid w:val="008272C2"/>
    <w:rsid w:val="00833532"/>
    <w:rsid w:val="00834B11"/>
    <w:rsid w:val="00834B96"/>
    <w:rsid w:val="008413A3"/>
    <w:rsid w:val="00841F6A"/>
    <w:rsid w:val="00844BD2"/>
    <w:rsid w:val="00844CA7"/>
    <w:rsid w:val="0085205D"/>
    <w:rsid w:val="00852250"/>
    <w:rsid w:val="00854008"/>
    <w:rsid w:val="00855BFD"/>
    <w:rsid w:val="008567FA"/>
    <w:rsid w:val="00861FE4"/>
    <w:rsid w:val="00862B04"/>
    <w:rsid w:val="0086529D"/>
    <w:rsid w:val="00871842"/>
    <w:rsid w:val="008721E9"/>
    <w:rsid w:val="0087260F"/>
    <w:rsid w:val="008740C1"/>
    <w:rsid w:val="00880561"/>
    <w:rsid w:val="008835A4"/>
    <w:rsid w:val="00883C07"/>
    <w:rsid w:val="00884336"/>
    <w:rsid w:val="00885E4A"/>
    <w:rsid w:val="008877A7"/>
    <w:rsid w:val="008952CF"/>
    <w:rsid w:val="00897683"/>
    <w:rsid w:val="008A2529"/>
    <w:rsid w:val="008A25F3"/>
    <w:rsid w:val="008A4437"/>
    <w:rsid w:val="008A4F6F"/>
    <w:rsid w:val="008A5ECD"/>
    <w:rsid w:val="008A61BE"/>
    <w:rsid w:val="008B2B17"/>
    <w:rsid w:val="008C0514"/>
    <w:rsid w:val="008C2FE2"/>
    <w:rsid w:val="008C31E4"/>
    <w:rsid w:val="008C5011"/>
    <w:rsid w:val="008C55AB"/>
    <w:rsid w:val="008C7B33"/>
    <w:rsid w:val="008D45A9"/>
    <w:rsid w:val="008D5A42"/>
    <w:rsid w:val="008F0FBD"/>
    <w:rsid w:val="008F3058"/>
    <w:rsid w:val="008F465E"/>
    <w:rsid w:val="008F4AE9"/>
    <w:rsid w:val="008F5BE0"/>
    <w:rsid w:val="00901ED2"/>
    <w:rsid w:val="00904067"/>
    <w:rsid w:val="00904506"/>
    <w:rsid w:val="00906B4B"/>
    <w:rsid w:val="00906DFC"/>
    <w:rsid w:val="00907608"/>
    <w:rsid w:val="00910A6E"/>
    <w:rsid w:val="00911ABC"/>
    <w:rsid w:val="00915724"/>
    <w:rsid w:val="0091745A"/>
    <w:rsid w:val="009214F9"/>
    <w:rsid w:val="00924181"/>
    <w:rsid w:val="00927D8A"/>
    <w:rsid w:val="00931E34"/>
    <w:rsid w:val="0093286E"/>
    <w:rsid w:val="00937F67"/>
    <w:rsid w:val="00940319"/>
    <w:rsid w:val="0094034A"/>
    <w:rsid w:val="00950687"/>
    <w:rsid w:val="009511C0"/>
    <w:rsid w:val="009542C7"/>
    <w:rsid w:val="00955A50"/>
    <w:rsid w:val="00961947"/>
    <w:rsid w:val="00963CD8"/>
    <w:rsid w:val="009641D9"/>
    <w:rsid w:val="00964ECB"/>
    <w:rsid w:val="0096521E"/>
    <w:rsid w:val="00965D57"/>
    <w:rsid w:val="00967E9B"/>
    <w:rsid w:val="00971F12"/>
    <w:rsid w:val="009726D7"/>
    <w:rsid w:val="009738C0"/>
    <w:rsid w:val="0097445A"/>
    <w:rsid w:val="00976437"/>
    <w:rsid w:val="00976E08"/>
    <w:rsid w:val="0097788F"/>
    <w:rsid w:val="00987F01"/>
    <w:rsid w:val="00990461"/>
    <w:rsid w:val="00990844"/>
    <w:rsid w:val="00990ECD"/>
    <w:rsid w:val="00992CAB"/>
    <w:rsid w:val="00993B02"/>
    <w:rsid w:val="00996AAC"/>
    <w:rsid w:val="00997C92"/>
    <w:rsid w:val="009A168A"/>
    <w:rsid w:val="009A3754"/>
    <w:rsid w:val="009A60DA"/>
    <w:rsid w:val="009A750D"/>
    <w:rsid w:val="009B0200"/>
    <w:rsid w:val="009B37DA"/>
    <w:rsid w:val="009B40B5"/>
    <w:rsid w:val="009B7DF5"/>
    <w:rsid w:val="009C375F"/>
    <w:rsid w:val="009C72A0"/>
    <w:rsid w:val="009C78F7"/>
    <w:rsid w:val="009D1A22"/>
    <w:rsid w:val="009D75F5"/>
    <w:rsid w:val="009E16F5"/>
    <w:rsid w:val="009E1AC1"/>
    <w:rsid w:val="009E6BDB"/>
    <w:rsid w:val="009F0218"/>
    <w:rsid w:val="009F31D1"/>
    <w:rsid w:val="009F321B"/>
    <w:rsid w:val="009F6C13"/>
    <w:rsid w:val="009F7699"/>
    <w:rsid w:val="00A00304"/>
    <w:rsid w:val="00A04D5C"/>
    <w:rsid w:val="00A05262"/>
    <w:rsid w:val="00A0527A"/>
    <w:rsid w:val="00A06893"/>
    <w:rsid w:val="00A07F37"/>
    <w:rsid w:val="00A14A11"/>
    <w:rsid w:val="00A20DE3"/>
    <w:rsid w:val="00A2601F"/>
    <w:rsid w:val="00A266EF"/>
    <w:rsid w:val="00A27D1A"/>
    <w:rsid w:val="00A33954"/>
    <w:rsid w:val="00A3470A"/>
    <w:rsid w:val="00A46313"/>
    <w:rsid w:val="00A47523"/>
    <w:rsid w:val="00A548F4"/>
    <w:rsid w:val="00A61693"/>
    <w:rsid w:val="00A6285A"/>
    <w:rsid w:val="00A6515B"/>
    <w:rsid w:val="00A71A87"/>
    <w:rsid w:val="00A71CA9"/>
    <w:rsid w:val="00A8027E"/>
    <w:rsid w:val="00A81163"/>
    <w:rsid w:val="00A9205A"/>
    <w:rsid w:val="00A94219"/>
    <w:rsid w:val="00A96653"/>
    <w:rsid w:val="00A96ABE"/>
    <w:rsid w:val="00A96EAE"/>
    <w:rsid w:val="00AA02A3"/>
    <w:rsid w:val="00AA03A6"/>
    <w:rsid w:val="00AA045C"/>
    <w:rsid w:val="00AB2338"/>
    <w:rsid w:val="00AB34B6"/>
    <w:rsid w:val="00AB6C5D"/>
    <w:rsid w:val="00AB73D8"/>
    <w:rsid w:val="00AC4976"/>
    <w:rsid w:val="00AD4FAE"/>
    <w:rsid w:val="00AE0F70"/>
    <w:rsid w:val="00AE2DEE"/>
    <w:rsid w:val="00AF00E4"/>
    <w:rsid w:val="00AF28F6"/>
    <w:rsid w:val="00AF6DAF"/>
    <w:rsid w:val="00AF7C08"/>
    <w:rsid w:val="00B03EE7"/>
    <w:rsid w:val="00B1113A"/>
    <w:rsid w:val="00B13BCF"/>
    <w:rsid w:val="00B14A36"/>
    <w:rsid w:val="00B20677"/>
    <w:rsid w:val="00B269A7"/>
    <w:rsid w:val="00B26C44"/>
    <w:rsid w:val="00B31F3C"/>
    <w:rsid w:val="00B33A8A"/>
    <w:rsid w:val="00B35542"/>
    <w:rsid w:val="00B406E0"/>
    <w:rsid w:val="00B40B04"/>
    <w:rsid w:val="00B410ED"/>
    <w:rsid w:val="00B411E3"/>
    <w:rsid w:val="00B41268"/>
    <w:rsid w:val="00B42213"/>
    <w:rsid w:val="00B4794F"/>
    <w:rsid w:val="00B500E4"/>
    <w:rsid w:val="00B53192"/>
    <w:rsid w:val="00B558CA"/>
    <w:rsid w:val="00B62A0E"/>
    <w:rsid w:val="00B636BD"/>
    <w:rsid w:val="00B705BC"/>
    <w:rsid w:val="00B72042"/>
    <w:rsid w:val="00B72DD5"/>
    <w:rsid w:val="00B76BE0"/>
    <w:rsid w:val="00B77C2E"/>
    <w:rsid w:val="00B81BAC"/>
    <w:rsid w:val="00B82E29"/>
    <w:rsid w:val="00B842BB"/>
    <w:rsid w:val="00B86AF3"/>
    <w:rsid w:val="00B87FDD"/>
    <w:rsid w:val="00B902E8"/>
    <w:rsid w:val="00B90D1B"/>
    <w:rsid w:val="00B96B59"/>
    <w:rsid w:val="00B971E6"/>
    <w:rsid w:val="00BA038F"/>
    <w:rsid w:val="00BA2283"/>
    <w:rsid w:val="00BA3763"/>
    <w:rsid w:val="00BA44B0"/>
    <w:rsid w:val="00BA44D7"/>
    <w:rsid w:val="00BA600E"/>
    <w:rsid w:val="00BA7514"/>
    <w:rsid w:val="00BA797C"/>
    <w:rsid w:val="00BB214E"/>
    <w:rsid w:val="00BB285F"/>
    <w:rsid w:val="00BB3D05"/>
    <w:rsid w:val="00BB3FC6"/>
    <w:rsid w:val="00BC2E00"/>
    <w:rsid w:val="00BC5E7F"/>
    <w:rsid w:val="00BD1847"/>
    <w:rsid w:val="00BD24AD"/>
    <w:rsid w:val="00BD3888"/>
    <w:rsid w:val="00BD452B"/>
    <w:rsid w:val="00BD4676"/>
    <w:rsid w:val="00BD533A"/>
    <w:rsid w:val="00BE3445"/>
    <w:rsid w:val="00BE41EB"/>
    <w:rsid w:val="00BE4D16"/>
    <w:rsid w:val="00BE5075"/>
    <w:rsid w:val="00BF337E"/>
    <w:rsid w:val="00BF4263"/>
    <w:rsid w:val="00BF4B39"/>
    <w:rsid w:val="00BF5630"/>
    <w:rsid w:val="00BF7CA2"/>
    <w:rsid w:val="00C01802"/>
    <w:rsid w:val="00C02366"/>
    <w:rsid w:val="00C11ABB"/>
    <w:rsid w:val="00C12798"/>
    <w:rsid w:val="00C2178C"/>
    <w:rsid w:val="00C21AC6"/>
    <w:rsid w:val="00C248C3"/>
    <w:rsid w:val="00C252D8"/>
    <w:rsid w:val="00C2792B"/>
    <w:rsid w:val="00C42E92"/>
    <w:rsid w:val="00C458A9"/>
    <w:rsid w:val="00C5052E"/>
    <w:rsid w:val="00C511CF"/>
    <w:rsid w:val="00C562A4"/>
    <w:rsid w:val="00C61B4F"/>
    <w:rsid w:val="00C64E23"/>
    <w:rsid w:val="00C65F55"/>
    <w:rsid w:val="00C664FA"/>
    <w:rsid w:val="00C6762B"/>
    <w:rsid w:val="00C70050"/>
    <w:rsid w:val="00C715BA"/>
    <w:rsid w:val="00C7230E"/>
    <w:rsid w:val="00C74961"/>
    <w:rsid w:val="00C74AA9"/>
    <w:rsid w:val="00C751C6"/>
    <w:rsid w:val="00C800EE"/>
    <w:rsid w:val="00C8247C"/>
    <w:rsid w:val="00C82A63"/>
    <w:rsid w:val="00C832EC"/>
    <w:rsid w:val="00C85BA6"/>
    <w:rsid w:val="00C876A2"/>
    <w:rsid w:val="00C87EFB"/>
    <w:rsid w:val="00C9246E"/>
    <w:rsid w:val="00C93FBA"/>
    <w:rsid w:val="00C94829"/>
    <w:rsid w:val="00C958D0"/>
    <w:rsid w:val="00C95DD5"/>
    <w:rsid w:val="00C962CE"/>
    <w:rsid w:val="00CA083C"/>
    <w:rsid w:val="00CA31E8"/>
    <w:rsid w:val="00CB14E6"/>
    <w:rsid w:val="00CB1665"/>
    <w:rsid w:val="00CB2E97"/>
    <w:rsid w:val="00CB3734"/>
    <w:rsid w:val="00CB417E"/>
    <w:rsid w:val="00CB47B6"/>
    <w:rsid w:val="00CB5627"/>
    <w:rsid w:val="00CB6127"/>
    <w:rsid w:val="00CB6322"/>
    <w:rsid w:val="00CB7B78"/>
    <w:rsid w:val="00CB7BAC"/>
    <w:rsid w:val="00CC45E2"/>
    <w:rsid w:val="00CC6FA9"/>
    <w:rsid w:val="00CD0DFD"/>
    <w:rsid w:val="00CD2DD6"/>
    <w:rsid w:val="00CD682B"/>
    <w:rsid w:val="00CD6C77"/>
    <w:rsid w:val="00CE217A"/>
    <w:rsid w:val="00CE243C"/>
    <w:rsid w:val="00CE3A6C"/>
    <w:rsid w:val="00CE577C"/>
    <w:rsid w:val="00CF2C93"/>
    <w:rsid w:val="00CF36C8"/>
    <w:rsid w:val="00CF5746"/>
    <w:rsid w:val="00CF5CEA"/>
    <w:rsid w:val="00CF6C8F"/>
    <w:rsid w:val="00CF70ED"/>
    <w:rsid w:val="00D01D15"/>
    <w:rsid w:val="00D04A5B"/>
    <w:rsid w:val="00D04F2A"/>
    <w:rsid w:val="00D0543B"/>
    <w:rsid w:val="00D10A7D"/>
    <w:rsid w:val="00D1314A"/>
    <w:rsid w:val="00D1575D"/>
    <w:rsid w:val="00D16417"/>
    <w:rsid w:val="00D17633"/>
    <w:rsid w:val="00D21D98"/>
    <w:rsid w:val="00D2224D"/>
    <w:rsid w:val="00D25BE6"/>
    <w:rsid w:val="00D26ED3"/>
    <w:rsid w:val="00D33CAF"/>
    <w:rsid w:val="00D34ABF"/>
    <w:rsid w:val="00D34B6B"/>
    <w:rsid w:val="00D400E4"/>
    <w:rsid w:val="00D416F4"/>
    <w:rsid w:val="00D41D28"/>
    <w:rsid w:val="00D478D7"/>
    <w:rsid w:val="00D47CED"/>
    <w:rsid w:val="00D52CF2"/>
    <w:rsid w:val="00D57FB4"/>
    <w:rsid w:val="00D60F14"/>
    <w:rsid w:val="00D60FA9"/>
    <w:rsid w:val="00D61338"/>
    <w:rsid w:val="00D6154F"/>
    <w:rsid w:val="00D6284B"/>
    <w:rsid w:val="00D63692"/>
    <w:rsid w:val="00D6402F"/>
    <w:rsid w:val="00D673EE"/>
    <w:rsid w:val="00D70774"/>
    <w:rsid w:val="00D72B10"/>
    <w:rsid w:val="00D73333"/>
    <w:rsid w:val="00D73584"/>
    <w:rsid w:val="00D77163"/>
    <w:rsid w:val="00D77F80"/>
    <w:rsid w:val="00D81A5E"/>
    <w:rsid w:val="00D83393"/>
    <w:rsid w:val="00D91136"/>
    <w:rsid w:val="00D9212B"/>
    <w:rsid w:val="00DA128B"/>
    <w:rsid w:val="00DA182A"/>
    <w:rsid w:val="00DA7C30"/>
    <w:rsid w:val="00DB0FDB"/>
    <w:rsid w:val="00DB44CD"/>
    <w:rsid w:val="00DC0C5E"/>
    <w:rsid w:val="00DC1778"/>
    <w:rsid w:val="00DC3960"/>
    <w:rsid w:val="00DD0A2C"/>
    <w:rsid w:val="00DE2165"/>
    <w:rsid w:val="00DE2A79"/>
    <w:rsid w:val="00DE5A79"/>
    <w:rsid w:val="00DE5E5D"/>
    <w:rsid w:val="00DE624A"/>
    <w:rsid w:val="00DE6AF1"/>
    <w:rsid w:val="00DF0250"/>
    <w:rsid w:val="00DF17CC"/>
    <w:rsid w:val="00E006DF"/>
    <w:rsid w:val="00E00827"/>
    <w:rsid w:val="00E00F1A"/>
    <w:rsid w:val="00E02BA2"/>
    <w:rsid w:val="00E02C35"/>
    <w:rsid w:val="00E07EC3"/>
    <w:rsid w:val="00E129ED"/>
    <w:rsid w:val="00E158DF"/>
    <w:rsid w:val="00E177B2"/>
    <w:rsid w:val="00E2559B"/>
    <w:rsid w:val="00E31459"/>
    <w:rsid w:val="00E32821"/>
    <w:rsid w:val="00E3770E"/>
    <w:rsid w:val="00E37D77"/>
    <w:rsid w:val="00E515B0"/>
    <w:rsid w:val="00E54038"/>
    <w:rsid w:val="00E567CC"/>
    <w:rsid w:val="00E604F4"/>
    <w:rsid w:val="00E622FE"/>
    <w:rsid w:val="00E6346A"/>
    <w:rsid w:val="00E641E1"/>
    <w:rsid w:val="00E65C66"/>
    <w:rsid w:val="00E66A8B"/>
    <w:rsid w:val="00E67017"/>
    <w:rsid w:val="00E679E0"/>
    <w:rsid w:val="00E7365F"/>
    <w:rsid w:val="00E7650F"/>
    <w:rsid w:val="00E76E39"/>
    <w:rsid w:val="00E77A55"/>
    <w:rsid w:val="00E805BD"/>
    <w:rsid w:val="00E80CFB"/>
    <w:rsid w:val="00E839B2"/>
    <w:rsid w:val="00E83D5A"/>
    <w:rsid w:val="00E86FE5"/>
    <w:rsid w:val="00E9159A"/>
    <w:rsid w:val="00E93CA1"/>
    <w:rsid w:val="00E9516A"/>
    <w:rsid w:val="00EA069A"/>
    <w:rsid w:val="00EA3F6E"/>
    <w:rsid w:val="00EA6416"/>
    <w:rsid w:val="00EB0D03"/>
    <w:rsid w:val="00EB279E"/>
    <w:rsid w:val="00EB4572"/>
    <w:rsid w:val="00EB4AAD"/>
    <w:rsid w:val="00EB56EF"/>
    <w:rsid w:val="00EB61DB"/>
    <w:rsid w:val="00EB67E7"/>
    <w:rsid w:val="00EC0549"/>
    <w:rsid w:val="00EC5620"/>
    <w:rsid w:val="00ED05FB"/>
    <w:rsid w:val="00ED4BAD"/>
    <w:rsid w:val="00ED54B0"/>
    <w:rsid w:val="00ED588B"/>
    <w:rsid w:val="00EE05FD"/>
    <w:rsid w:val="00EE1C0A"/>
    <w:rsid w:val="00EE5082"/>
    <w:rsid w:val="00EE7AAF"/>
    <w:rsid w:val="00F03DEE"/>
    <w:rsid w:val="00F23D00"/>
    <w:rsid w:val="00F2788F"/>
    <w:rsid w:val="00F352C8"/>
    <w:rsid w:val="00F417E5"/>
    <w:rsid w:val="00F42664"/>
    <w:rsid w:val="00F56383"/>
    <w:rsid w:val="00F61CAA"/>
    <w:rsid w:val="00F63596"/>
    <w:rsid w:val="00F653F8"/>
    <w:rsid w:val="00F67DD2"/>
    <w:rsid w:val="00F72BCD"/>
    <w:rsid w:val="00F7369D"/>
    <w:rsid w:val="00F73B8F"/>
    <w:rsid w:val="00F76C61"/>
    <w:rsid w:val="00F80EA1"/>
    <w:rsid w:val="00F82354"/>
    <w:rsid w:val="00F84FF8"/>
    <w:rsid w:val="00F86B5F"/>
    <w:rsid w:val="00F87BAC"/>
    <w:rsid w:val="00F92296"/>
    <w:rsid w:val="00F97245"/>
    <w:rsid w:val="00F972FF"/>
    <w:rsid w:val="00F97F69"/>
    <w:rsid w:val="00FA0528"/>
    <w:rsid w:val="00FA3D12"/>
    <w:rsid w:val="00FA4322"/>
    <w:rsid w:val="00FA43F6"/>
    <w:rsid w:val="00FA455B"/>
    <w:rsid w:val="00FA5E6F"/>
    <w:rsid w:val="00FA71CD"/>
    <w:rsid w:val="00FA78A7"/>
    <w:rsid w:val="00FA7AC0"/>
    <w:rsid w:val="00FB0228"/>
    <w:rsid w:val="00FB4A64"/>
    <w:rsid w:val="00FB506D"/>
    <w:rsid w:val="00FC2645"/>
    <w:rsid w:val="00FD093F"/>
    <w:rsid w:val="00FD25CE"/>
    <w:rsid w:val="00FD31AC"/>
    <w:rsid w:val="00FD679E"/>
    <w:rsid w:val="00FD67BC"/>
    <w:rsid w:val="00FD6D5B"/>
    <w:rsid w:val="00FD75C3"/>
    <w:rsid w:val="00FD7791"/>
    <w:rsid w:val="00FE069A"/>
    <w:rsid w:val="00FE159D"/>
    <w:rsid w:val="00FE2B3C"/>
    <w:rsid w:val="00FE464A"/>
    <w:rsid w:val="00FE4AA1"/>
    <w:rsid w:val="00FE4B3E"/>
    <w:rsid w:val="00FE7994"/>
    <w:rsid w:val="00FF0C70"/>
    <w:rsid w:val="00FF37FB"/>
    <w:rsid w:val="00FF4C7B"/>
    <w:rsid w:val="00FF4F0A"/>
    <w:rsid w:val="236B1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798F241F"/>
  <w15:docId w15:val="{424C891D-800B-46D4-AD27-BB5368BAA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Pr>
      <w:b/>
      <w:bCs/>
    </w:rPr>
  </w:style>
  <w:style w:type="paragraph" w:styleId="a4">
    <w:name w:val="annotation text"/>
    <w:basedOn w:val="a"/>
    <w:link w:val="1"/>
    <w:uiPriority w:val="99"/>
    <w:unhideWhenUsed/>
    <w:pPr>
      <w:jc w:val="left"/>
    </w:pPr>
  </w:style>
  <w:style w:type="paragraph" w:styleId="a6">
    <w:name w:val="Balloon Text"/>
    <w:basedOn w:val="a"/>
    <w:link w:val="a7"/>
    <w:uiPriority w:val="99"/>
    <w:unhideWhenUsed/>
    <w:rPr>
      <w:sz w:val="18"/>
      <w:szCs w:val="18"/>
    </w:rPr>
  </w:style>
  <w:style w:type="paragraph" w:styleId="a8">
    <w:name w:val="footer"/>
    <w:basedOn w:val="a"/>
    <w:link w:val="a9"/>
    <w:uiPriority w:val="99"/>
    <w:unhideWhenUsed/>
    <w:pPr>
      <w:tabs>
        <w:tab w:val="center" w:pos="4153"/>
        <w:tab w:val="right" w:pos="8306"/>
      </w:tabs>
      <w:snapToGrid w:val="0"/>
      <w:jc w:val="left"/>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character" w:styleId="ac">
    <w:name w:val="Hyperlink"/>
    <w:basedOn w:val="a0"/>
    <w:uiPriority w:val="99"/>
    <w:unhideWhenUsed/>
    <w:rPr>
      <w:color w:val="0563C1"/>
      <w:u w:val="single"/>
    </w:rPr>
  </w:style>
  <w:style w:type="character" w:styleId="ad">
    <w:name w:val="annotation reference"/>
    <w:basedOn w:val="a0"/>
    <w:uiPriority w:val="99"/>
    <w:unhideWhenUsed/>
    <w:rPr>
      <w:sz w:val="21"/>
      <w:szCs w:val="21"/>
    </w:rPr>
  </w:style>
  <w:style w:type="paragraph" w:customStyle="1" w:styleId="10">
    <w:name w:val="批注文字1"/>
    <w:basedOn w:val="a"/>
    <w:next w:val="a4"/>
    <w:link w:val="ae"/>
    <w:uiPriority w:val="99"/>
    <w:unhideWhenUsed/>
    <w:pPr>
      <w:jc w:val="left"/>
    </w:pPr>
  </w:style>
  <w:style w:type="character" w:customStyle="1" w:styleId="ae">
    <w:name w:val="批注文字 字符"/>
    <w:basedOn w:val="a0"/>
    <w:link w:val="10"/>
    <w:uiPriority w:val="99"/>
  </w:style>
  <w:style w:type="character" w:customStyle="1" w:styleId="1">
    <w:name w:val="批注文字 字符1"/>
    <w:basedOn w:val="a0"/>
    <w:link w:val="a4"/>
    <w:uiPriority w:val="99"/>
    <w:semiHidden/>
  </w:style>
  <w:style w:type="character" w:customStyle="1" w:styleId="a7">
    <w:name w:val="批注框文本 字符"/>
    <w:basedOn w:val="a0"/>
    <w:link w:val="a6"/>
    <w:uiPriority w:val="99"/>
    <w:semiHidden/>
    <w:rPr>
      <w:sz w:val="18"/>
      <w:szCs w:val="18"/>
    </w:rPr>
  </w:style>
  <w:style w:type="character" w:customStyle="1" w:styleId="a5">
    <w:name w:val="批注主题 字符"/>
    <w:basedOn w:val="1"/>
    <w:link w:val="a3"/>
    <w:uiPriority w:val="99"/>
    <w:semiHidden/>
    <w:rPr>
      <w:b/>
      <w:bCs/>
    </w:rPr>
  </w:style>
  <w:style w:type="character" w:customStyle="1" w:styleId="ab">
    <w:name w:val="页眉 字符"/>
    <w:basedOn w:val="a0"/>
    <w:link w:val="aa"/>
    <w:uiPriority w:val="99"/>
    <w:rPr>
      <w:sz w:val="18"/>
      <w:szCs w:val="18"/>
    </w:rPr>
  </w:style>
  <w:style w:type="character" w:customStyle="1" w:styleId="a9">
    <w:name w:val="页脚 字符"/>
    <w:basedOn w:val="a0"/>
    <w:link w:val="a8"/>
    <w:uiPriority w:val="99"/>
    <w:rPr>
      <w:sz w:val="18"/>
      <w:szCs w:val="18"/>
    </w:rPr>
  </w:style>
  <w:style w:type="table" w:customStyle="1" w:styleId="1-11">
    <w:name w:val="中等深浅底纹 1 - 强调文字颜色 11"/>
    <w:basedOn w:val="a1"/>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l2br w:val="nil"/>
          <w:tr2bl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l2br w:val="nil"/>
          <w:tr2bl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paragraph" w:styleId="af">
    <w:name w:val="List Paragraph"/>
    <w:basedOn w:val="a"/>
    <w:uiPriority w:val="99"/>
    <w:rsid w:val="00FE4B3E"/>
    <w:pPr>
      <w:ind w:firstLineChars="200" w:firstLine="420"/>
    </w:pPr>
  </w:style>
  <w:style w:type="paragraph" w:styleId="af0">
    <w:name w:val="Revision"/>
    <w:hidden/>
    <w:uiPriority w:val="99"/>
    <w:semiHidden/>
    <w:rsid w:val="00C832EC"/>
    <w:rPr>
      <w:rFonts w:ascii="等线" w:eastAsia="等线" w:hAnsi="等线"/>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ntree.ioz.ac.cn/tools/viewIDS.php?speciesselect=Human&amp;genename=ENSG00000172927"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hyperlink" Target="http://gentree.ioz.ac.cn/tools/viewIDS.php?speciesselect=Human&amp;genename=ENSG0000000207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gentree.ioz.ac.cn/tools/viewIDS.php?speciesselect=Human&amp;genename=ENSG00000148672"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ntree.ioz.ac.cn/tools/gene_browse.php?selectc=interpro&amp;content=IPR001909"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gentree.ioz.ac.cn/tools/viewIDS.php?speciesselect=Human&amp;genename=%20ENSG0000010018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entree.ioz.ac.cn/tools/viewIDS.php?speciesselect=Human&amp;genename=ENSG00000182890"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gentree.ioz.ac.cn/tools/viewIDS.php?speciesselect=Human&amp;genename=ENSG0000019626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0E3E10-BE78-46EE-A95E-C661F7EFD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1971</Words>
  <Characters>11235</Characters>
  <Application>Microsoft Office Word</Application>
  <DocSecurity>0</DocSecurity>
  <Lines>93</Lines>
  <Paragraphs>26</Paragraphs>
  <ScaleCrop>false</ScaleCrop>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zhangy</dc:creator>
  <cp:lastModifiedBy>chency</cp:lastModifiedBy>
  <cp:revision>2</cp:revision>
  <cp:lastPrinted>2019-01-14T11:30:00Z</cp:lastPrinted>
  <dcterms:created xsi:type="dcterms:W3CDTF">2019-02-28T01:37:00Z</dcterms:created>
  <dcterms:modified xsi:type="dcterms:W3CDTF">2019-02-28T01:37:00Z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2052-9.1.0.4885</vt:lpwstr>
  </property>
</Properties>
</file>