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9F7E" w14:textId="392C3F75" w:rsidR="000C0876" w:rsidRPr="0091488E" w:rsidRDefault="000C0876" w:rsidP="000C0876">
      <w:pPr>
        <w:jc w:val="both"/>
        <w:outlineLvl w:val="0"/>
        <w:rPr>
          <w:rFonts w:ascii="Arial" w:hAnsi="Arial" w:cs="Arial"/>
          <w:b/>
          <w:sz w:val="22"/>
          <w:szCs w:val="22"/>
          <w:u w:val="single"/>
        </w:rPr>
      </w:pPr>
      <w:r w:rsidRPr="0091488E">
        <w:rPr>
          <w:rFonts w:ascii="Arial" w:hAnsi="Arial" w:cs="Arial"/>
          <w:b/>
          <w:sz w:val="22"/>
          <w:szCs w:val="22"/>
          <w:u w:val="single"/>
        </w:rPr>
        <w:t>Supplemental Materials</w:t>
      </w:r>
    </w:p>
    <w:p w14:paraId="6E122501" w14:textId="77777777" w:rsidR="000C0876" w:rsidRPr="0091488E" w:rsidRDefault="000C0876" w:rsidP="000C0876">
      <w:pPr>
        <w:jc w:val="both"/>
        <w:outlineLvl w:val="0"/>
        <w:rPr>
          <w:rFonts w:ascii="Arial" w:hAnsi="Arial" w:cs="Arial"/>
          <w:b/>
          <w:sz w:val="22"/>
          <w:szCs w:val="22"/>
          <w:u w:val="single"/>
        </w:rPr>
      </w:pPr>
    </w:p>
    <w:p w14:paraId="49228356" w14:textId="67D1CC1C" w:rsidR="000C0876" w:rsidRPr="0091488E" w:rsidRDefault="000C0876" w:rsidP="000C0876">
      <w:pPr>
        <w:jc w:val="both"/>
        <w:outlineLvl w:val="0"/>
        <w:rPr>
          <w:rFonts w:ascii="Arial" w:hAnsi="Arial" w:cs="Arial"/>
          <w:b/>
          <w:sz w:val="22"/>
          <w:szCs w:val="22"/>
          <w:u w:val="single"/>
        </w:rPr>
      </w:pPr>
      <w:r w:rsidRPr="0091488E">
        <w:rPr>
          <w:rFonts w:ascii="Arial" w:hAnsi="Arial" w:cs="Arial"/>
          <w:b/>
          <w:sz w:val="22"/>
          <w:szCs w:val="22"/>
          <w:u w:val="single"/>
        </w:rPr>
        <w:t>Table of Contents</w:t>
      </w:r>
    </w:p>
    <w:p w14:paraId="65EC7773" w14:textId="77777777" w:rsidR="000C0876" w:rsidRPr="0091488E" w:rsidRDefault="000C0876" w:rsidP="000C0876">
      <w:pPr>
        <w:jc w:val="both"/>
        <w:outlineLvl w:val="0"/>
        <w:rPr>
          <w:rFonts w:ascii="Arial" w:hAnsi="Arial" w:cs="Arial"/>
          <w:b/>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488E" w:rsidRPr="0091488E" w14:paraId="3B0A1B56" w14:textId="77777777" w:rsidTr="0091488E">
        <w:tc>
          <w:tcPr>
            <w:tcW w:w="4675" w:type="dxa"/>
          </w:tcPr>
          <w:p w14:paraId="4EBDC037" w14:textId="77685177" w:rsidR="0091488E" w:rsidRPr="004E461C" w:rsidRDefault="0091488E" w:rsidP="000C0876">
            <w:pPr>
              <w:jc w:val="both"/>
              <w:outlineLvl w:val="0"/>
              <w:rPr>
                <w:rFonts w:ascii="Arial" w:hAnsi="Arial" w:cs="Arial"/>
                <w:sz w:val="22"/>
                <w:szCs w:val="22"/>
              </w:rPr>
            </w:pPr>
            <w:r w:rsidRPr="004E461C">
              <w:rPr>
                <w:rFonts w:ascii="Arial" w:hAnsi="Arial" w:cs="Arial"/>
                <w:sz w:val="22"/>
                <w:szCs w:val="22"/>
              </w:rPr>
              <w:t>Supplemental Notes</w:t>
            </w:r>
          </w:p>
        </w:tc>
        <w:tc>
          <w:tcPr>
            <w:tcW w:w="4675" w:type="dxa"/>
          </w:tcPr>
          <w:p w14:paraId="6083CADB" w14:textId="1D210133" w:rsidR="0091488E" w:rsidRPr="0091488E" w:rsidRDefault="0091488E" w:rsidP="0091488E">
            <w:pPr>
              <w:jc w:val="right"/>
              <w:outlineLvl w:val="0"/>
              <w:rPr>
                <w:rFonts w:ascii="Arial" w:hAnsi="Arial" w:cs="Arial"/>
                <w:sz w:val="22"/>
                <w:szCs w:val="22"/>
              </w:rPr>
            </w:pPr>
            <w:r w:rsidRPr="0091488E">
              <w:rPr>
                <w:rFonts w:ascii="Arial" w:hAnsi="Arial" w:cs="Arial"/>
                <w:sz w:val="22"/>
                <w:szCs w:val="22"/>
              </w:rPr>
              <w:t>Page 1</w:t>
            </w:r>
          </w:p>
        </w:tc>
      </w:tr>
      <w:tr w:rsidR="0091488E" w:rsidRPr="0091488E" w14:paraId="105B744F" w14:textId="77777777" w:rsidTr="0091488E">
        <w:tc>
          <w:tcPr>
            <w:tcW w:w="4675" w:type="dxa"/>
          </w:tcPr>
          <w:p w14:paraId="0DC77BAD" w14:textId="7E572033" w:rsidR="0091488E" w:rsidRPr="004E461C" w:rsidRDefault="0091488E" w:rsidP="000C0876">
            <w:pPr>
              <w:jc w:val="both"/>
              <w:outlineLvl w:val="0"/>
              <w:rPr>
                <w:rFonts w:ascii="Arial" w:hAnsi="Arial" w:cs="Arial"/>
                <w:sz w:val="22"/>
                <w:szCs w:val="22"/>
              </w:rPr>
            </w:pPr>
            <w:r w:rsidRPr="004E461C">
              <w:rPr>
                <w:rFonts w:ascii="Arial" w:hAnsi="Arial" w:cs="Arial"/>
                <w:sz w:val="22"/>
                <w:szCs w:val="22"/>
              </w:rPr>
              <w:t>Supplemental Figure Legends</w:t>
            </w:r>
          </w:p>
        </w:tc>
        <w:tc>
          <w:tcPr>
            <w:tcW w:w="4675" w:type="dxa"/>
          </w:tcPr>
          <w:p w14:paraId="38E04FA0" w14:textId="19AE0180" w:rsidR="0091488E" w:rsidRPr="0091488E" w:rsidRDefault="0091488E" w:rsidP="0091488E">
            <w:pPr>
              <w:jc w:val="right"/>
              <w:outlineLvl w:val="0"/>
              <w:rPr>
                <w:rFonts w:ascii="Arial" w:hAnsi="Arial" w:cs="Arial"/>
                <w:sz w:val="22"/>
                <w:szCs w:val="22"/>
              </w:rPr>
            </w:pPr>
            <w:r w:rsidRPr="0091488E">
              <w:rPr>
                <w:rFonts w:ascii="Arial" w:hAnsi="Arial" w:cs="Arial"/>
                <w:sz w:val="22"/>
                <w:szCs w:val="22"/>
              </w:rPr>
              <w:t xml:space="preserve">Page </w:t>
            </w:r>
            <w:r w:rsidR="00AF6535">
              <w:rPr>
                <w:rFonts w:ascii="Arial" w:hAnsi="Arial" w:cs="Arial"/>
                <w:sz w:val="22"/>
                <w:szCs w:val="22"/>
              </w:rPr>
              <w:t>6</w:t>
            </w:r>
          </w:p>
        </w:tc>
      </w:tr>
      <w:tr w:rsidR="0091488E" w:rsidRPr="0091488E" w14:paraId="45C2D3EF" w14:textId="77777777" w:rsidTr="0091488E">
        <w:tc>
          <w:tcPr>
            <w:tcW w:w="4675" w:type="dxa"/>
          </w:tcPr>
          <w:p w14:paraId="1F89C39B" w14:textId="10BB1BE0" w:rsidR="0091488E" w:rsidRPr="004E461C" w:rsidRDefault="0091488E" w:rsidP="000C0876">
            <w:pPr>
              <w:jc w:val="both"/>
              <w:outlineLvl w:val="0"/>
              <w:rPr>
                <w:rFonts w:ascii="Arial" w:hAnsi="Arial" w:cs="Arial"/>
                <w:sz w:val="22"/>
                <w:szCs w:val="22"/>
              </w:rPr>
            </w:pPr>
            <w:r w:rsidRPr="004E461C">
              <w:rPr>
                <w:rFonts w:ascii="Arial" w:hAnsi="Arial" w:cs="Arial"/>
                <w:sz w:val="22"/>
                <w:szCs w:val="22"/>
              </w:rPr>
              <w:t>Supplemental Table Legends</w:t>
            </w:r>
          </w:p>
        </w:tc>
        <w:tc>
          <w:tcPr>
            <w:tcW w:w="4675" w:type="dxa"/>
          </w:tcPr>
          <w:p w14:paraId="0321E109" w14:textId="06837E7D" w:rsidR="0091488E" w:rsidRPr="0091488E" w:rsidRDefault="0091488E" w:rsidP="0091488E">
            <w:pPr>
              <w:jc w:val="right"/>
              <w:outlineLvl w:val="0"/>
              <w:rPr>
                <w:rFonts w:ascii="Arial" w:hAnsi="Arial" w:cs="Arial"/>
                <w:sz w:val="22"/>
                <w:szCs w:val="22"/>
              </w:rPr>
            </w:pPr>
            <w:r w:rsidRPr="0091488E">
              <w:rPr>
                <w:rFonts w:ascii="Arial" w:hAnsi="Arial" w:cs="Arial"/>
                <w:sz w:val="22"/>
                <w:szCs w:val="22"/>
              </w:rPr>
              <w:t xml:space="preserve">Page </w:t>
            </w:r>
            <w:r w:rsidR="00AF6535">
              <w:rPr>
                <w:rFonts w:ascii="Arial" w:hAnsi="Arial" w:cs="Arial"/>
                <w:sz w:val="22"/>
                <w:szCs w:val="22"/>
              </w:rPr>
              <w:t>11</w:t>
            </w:r>
          </w:p>
        </w:tc>
      </w:tr>
      <w:tr w:rsidR="0091488E" w:rsidRPr="0091488E" w14:paraId="61027834" w14:textId="77777777" w:rsidTr="0091488E">
        <w:tc>
          <w:tcPr>
            <w:tcW w:w="4675" w:type="dxa"/>
          </w:tcPr>
          <w:p w14:paraId="5E496479" w14:textId="1EE1D5A4" w:rsidR="0091488E" w:rsidRPr="004E461C" w:rsidRDefault="0091488E" w:rsidP="000C0876">
            <w:pPr>
              <w:jc w:val="both"/>
              <w:outlineLvl w:val="0"/>
              <w:rPr>
                <w:rFonts w:ascii="Arial" w:hAnsi="Arial" w:cs="Arial"/>
                <w:sz w:val="22"/>
                <w:szCs w:val="22"/>
              </w:rPr>
            </w:pPr>
            <w:r w:rsidRPr="004E461C">
              <w:rPr>
                <w:rFonts w:ascii="Arial" w:hAnsi="Arial" w:cs="Arial"/>
                <w:sz w:val="22"/>
                <w:szCs w:val="22"/>
              </w:rPr>
              <w:t>Supplemental Code</w:t>
            </w:r>
            <w:r w:rsidR="00CD06CF">
              <w:rPr>
                <w:rFonts w:ascii="Arial" w:hAnsi="Arial" w:cs="Arial"/>
                <w:sz w:val="22"/>
                <w:szCs w:val="22"/>
              </w:rPr>
              <w:t>b</w:t>
            </w:r>
            <w:r w:rsidRPr="004E461C">
              <w:rPr>
                <w:rFonts w:ascii="Arial" w:hAnsi="Arial" w:cs="Arial"/>
                <w:sz w:val="22"/>
                <w:szCs w:val="22"/>
              </w:rPr>
              <w:t>ases</w:t>
            </w:r>
          </w:p>
        </w:tc>
        <w:tc>
          <w:tcPr>
            <w:tcW w:w="4675" w:type="dxa"/>
          </w:tcPr>
          <w:p w14:paraId="40A04EF9" w14:textId="5F059FB2" w:rsidR="0091488E" w:rsidRPr="0091488E" w:rsidRDefault="0091488E" w:rsidP="0091488E">
            <w:pPr>
              <w:jc w:val="right"/>
              <w:outlineLvl w:val="0"/>
              <w:rPr>
                <w:rFonts w:ascii="Arial" w:hAnsi="Arial" w:cs="Arial"/>
                <w:sz w:val="22"/>
                <w:szCs w:val="22"/>
              </w:rPr>
            </w:pPr>
            <w:r w:rsidRPr="0091488E">
              <w:rPr>
                <w:rFonts w:ascii="Arial" w:hAnsi="Arial" w:cs="Arial"/>
                <w:sz w:val="22"/>
                <w:szCs w:val="22"/>
              </w:rPr>
              <w:t xml:space="preserve">Page </w:t>
            </w:r>
            <w:r w:rsidR="00AF6535">
              <w:rPr>
                <w:rFonts w:ascii="Arial" w:hAnsi="Arial" w:cs="Arial"/>
                <w:sz w:val="22"/>
                <w:szCs w:val="22"/>
              </w:rPr>
              <w:t>11</w:t>
            </w:r>
          </w:p>
        </w:tc>
      </w:tr>
      <w:tr w:rsidR="009E17FE" w:rsidRPr="0091488E" w14:paraId="332B606B" w14:textId="77777777" w:rsidTr="0091488E">
        <w:tc>
          <w:tcPr>
            <w:tcW w:w="4675" w:type="dxa"/>
          </w:tcPr>
          <w:p w14:paraId="1E81FA56" w14:textId="1026BD71" w:rsidR="009E17FE" w:rsidRPr="004E461C" w:rsidRDefault="009E17FE" w:rsidP="000C0876">
            <w:pPr>
              <w:jc w:val="both"/>
              <w:outlineLvl w:val="0"/>
              <w:rPr>
                <w:rFonts w:ascii="Arial" w:hAnsi="Arial" w:cs="Arial"/>
                <w:sz w:val="22"/>
                <w:szCs w:val="22"/>
              </w:rPr>
            </w:pPr>
            <w:r>
              <w:rPr>
                <w:rFonts w:ascii="Arial" w:hAnsi="Arial" w:cs="Arial"/>
                <w:sz w:val="22"/>
                <w:szCs w:val="22"/>
              </w:rPr>
              <w:t>Supplemental References</w:t>
            </w:r>
          </w:p>
        </w:tc>
        <w:tc>
          <w:tcPr>
            <w:tcW w:w="4675" w:type="dxa"/>
          </w:tcPr>
          <w:p w14:paraId="7B6D8244" w14:textId="77FB354D" w:rsidR="009E17FE" w:rsidRPr="0091488E" w:rsidRDefault="009E17FE" w:rsidP="0091488E">
            <w:pPr>
              <w:jc w:val="right"/>
              <w:outlineLvl w:val="0"/>
              <w:rPr>
                <w:rFonts w:ascii="Arial" w:hAnsi="Arial" w:cs="Arial"/>
                <w:sz w:val="22"/>
                <w:szCs w:val="22"/>
              </w:rPr>
            </w:pPr>
            <w:r>
              <w:rPr>
                <w:rFonts w:ascii="Arial" w:hAnsi="Arial" w:cs="Arial"/>
                <w:sz w:val="22"/>
                <w:szCs w:val="22"/>
              </w:rPr>
              <w:t>Page</w:t>
            </w:r>
            <w:r w:rsidR="00F80E95">
              <w:rPr>
                <w:rFonts w:ascii="Arial" w:hAnsi="Arial" w:cs="Arial"/>
                <w:sz w:val="22"/>
                <w:szCs w:val="22"/>
              </w:rPr>
              <w:t xml:space="preserve"> 11</w:t>
            </w:r>
            <w:r>
              <w:rPr>
                <w:rFonts w:ascii="Arial" w:hAnsi="Arial" w:cs="Arial"/>
                <w:sz w:val="22"/>
                <w:szCs w:val="22"/>
              </w:rPr>
              <w:t xml:space="preserve"> </w:t>
            </w:r>
          </w:p>
        </w:tc>
      </w:tr>
      <w:tr w:rsidR="0091488E" w:rsidRPr="0091488E" w14:paraId="19E74730" w14:textId="77777777" w:rsidTr="0091488E">
        <w:tc>
          <w:tcPr>
            <w:tcW w:w="4675" w:type="dxa"/>
          </w:tcPr>
          <w:p w14:paraId="36CA4340" w14:textId="77777777" w:rsidR="0091488E" w:rsidRPr="0091488E" w:rsidRDefault="0091488E" w:rsidP="000C0876">
            <w:pPr>
              <w:jc w:val="both"/>
              <w:outlineLvl w:val="0"/>
              <w:rPr>
                <w:rFonts w:ascii="Arial" w:hAnsi="Arial" w:cs="Arial"/>
                <w:b/>
                <w:sz w:val="22"/>
                <w:szCs w:val="22"/>
                <w:u w:val="single"/>
              </w:rPr>
            </w:pPr>
          </w:p>
        </w:tc>
        <w:tc>
          <w:tcPr>
            <w:tcW w:w="4675" w:type="dxa"/>
          </w:tcPr>
          <w:p w14:paraId="0882B85C" w14:textId="77777777" w:rsidR="0091488E" w:rsidRPr="0091488E" w:rsidRDefault="0091488E" w:rsidP="000C0876">
            <w:pPr>
              <w:jc w:val="both"/>
              <w:outlineLvl w:val="0"/>
              <w:rPr>
                <w:rFonts w:ascii="Arial" w:hAnsi="Arial" w:cs="Arial"/>
                <w:b/>
                <w:sz w:val="22"/>
                <w:szCs w:val="22"/>
                <w:u w:val="single"/>
              </w:rPr>
            </w:pPr>
          </w:p>
        </w:tc>
      </w:tr>
    </w:tbl>
    <w:p w14:paraId="1F016048" w14:textId="5DDEB858" w:rsidR="000C0876" w:rsidRPr="0091488E" w:rsidRDefault="0091488E" w:rsidP="000C0876">
      <w:pPr>
        <w:jc w:val="both"/>
        <w:outlineLvl w:val="0"/>
        <w:rPr>
          <w:rFonts w:ascii="Arial" w:hAnsi="Arial" w:cs="Arial"/>
          <w:b/>
          <w:sz w:val="22"/>
          <w:szCs w:val="22"/>
          <w:u w:val="single"/>
        </w:rPr>
      </w:pPr>
      <w:r w:rsidRPr="0091488E">
        <w:rPr>
          <w:rFonts w:ascii="Arial" w:hAnsi="Arial" w:cs="Arial"/>
          <w:b/>
          <w:sz w:val="22"/>
          <w:szCs w:val="22"/>
          <w:u w:val="single"/>
        </w:rPr>
        <w:t>S</w:t>
      </w:r>
      <w:r w:rsidR="000C0876" w:rsidRPr="0091488E">
        <w:rPr>
          <w:rFonts w:ascii="Arial" w:hAnsi="Arial" w:cs="Arial"/>
          <w:b/>
          <w:sz w:val="22"/>
          <w:szCs w:val="22"/>
          <w:u w:val="single"/>
        </w:rPr>
        <w:t>upplemental Notes</w:t>
      </w:r>
    </w:p>
    <w:p w14:paraId="12D77D8E" w14:textId="77777777" w:rsidR="000C0876" w:rsidRPr="0091488E" w:rsidRDefault="000C0876" w:rsidP="000C0876">
      <w:pPr>
        <w:jc w:val="both"/>
        <w:outlineLvl w:val="0"/>
        <w:rPr>
          <w:rFonts w:ascii="Arial" w:hAnsi="Arial" w:cs="Arial"/>
          <w:b/>
          <w:sz w:val="22"/>
          <w:szCs w:val="22"/>
          <w:u w:val="single"/>
        </w:rPr>
      </w:pPr>
    </w:p>
    <w:p w14:paraId="0B73A5C6" w14:textId="77777777" w:rsidR="000C0876" w:rsidRPr="0091488E" w:rsidRDefault="000C0876" w:rsidP="000C0876">
      <w:pPr>
        <w:jc w:val="both"/>
        <w:outlineLvl w:val="0"/>
        <w:rPr>
          <w:rFonts w:ascii="Arial" w:hAnsi="Arial" w:cs="Arial"/>
          <w:b/>
          <w:sz w:val="22"/>
          <w:szCs w:val="22"/>
        </w:rPr>
      </w:pPr>
      <w:r w:rsidRPr="0091488E">
        <w:rPr>
          <w:rFonts w:ascii="Arial" w:hAnsi="Arial" w:cs="Arial"/>
          <w:b/>
          <w:sz w:val="22"/>
          <w:szCs w:val="22"/>
          <w:u w:val="single"/>
        </w:rPr>
        <w:t>Supplemental Note 1</w:t>
      </w:r>
      <w:r w:rsidRPr="0091488E">
        <w:rPr>
          <w:rFonts w:ascii="Arial" w:hAnsi="Arial" w:cs="Arial"/>
          <w:b/>
          <w:sz w:val="22"/>
          <w:szCs w:val="22"/>
        </w:rPr>
        <w:t xml:space="preserve">. Source of prior, TFA method and prior reinforcement dramatically alter Th17 TRNs. </w:t>
      </w:r>
      <w:r w:rsidRPr="0091488E">
        <w:rPr>
          <w:rFonts w:ascii="Arial" w:hAnsi="Arial" w:cs="Arial"/>
          <w:sz w:val="22"/>
          <w:szCs w:val="22"/>
        </w:rPr>
        <w:t xml:space="preserve">mLASSO-StARS outperformed BBSR-BIC in terms of precision-recall. Yet the effect of other modeling decisions (choice of prior, TFA method, etc.) is less dramatic. Precision-recall analysis, limited to the 9-25 TFs in the gold standards, revealed some differences among the mLASSO-StARS models, while all models had roughly similar out-of-sample gene-expression prediction. Having performed these initial quality assessments, we explore the Th17 TRNs globally. </w:t>
      </w:r>
    </w:p>
    <w:p w14:paraId="6EAB6635" w14:textId="77777777" w:rsidR="000C0876" w:rsidRPr="0091488E" w:rsidRDefault="000C0876" w:rsidP="000C0876">
      <w:pPr>
        <w:jc w:val="both"/>
        <w:outlineLvl w:val="0"/>
        <w:rPr>
          <w:rFonts w:ascii="Arial" w:hAnsi="Arial" w:cs="Arial"/>
          <w:sz w:val="22"/>
          <w:szCs w:val="22"/>
        </w:rPr>
      </w:pPr>
    </w:p>
    <w:p w14:paraId="407CF1D2" w14:textId="77777777" w:rsidR="000C0876" w:rsidRPr="00D72ADD" w:rsidRDefault="000C0876" w:rsidP="000C0876">
      <w:pPr>
        <w:jc w:val="both"/>
        <w:outlineLvl w:val="0"/>
        <w:rPr>
          <w:rFonts w:ascii="Arial" w:hAnsi="Arial" w:cs="Arial"/>
          <w:sz w:val="22"/>
          <w:szCs w:val="22"/>
        </w:rPr>
      </w:pPr>
      <w:r w:rsidRPr="0091488E">
        <w:rPr>
          <w:rFonts w:ascii="Arial" w:hAnsi="Arial" w:cs="Arial"/>
          <w:sz w:val="22"/>
          <w:szCs w:val="22"/>
        </w:rPr>
        <w:t xml:space="preserve">Standardizing network </w:t>
      </w:r>
      <w:r w:rsidRPr="00D72ADD">
        <w:rPr>
          <w:rFonts w:ascii="Arial" w:hAnsi="Arial" w:cs="Arial"/>
          <w:sz w:val="22"/>
          <w:szCs w:val="22"/>
        </w:rPr>
        <w:t>sizes to 53k TF-gene interactions (~15 TFs/gene), we calculated the percent edge overlap among TRNs built from ATAC, ChIP, KO, ENCODE DHS or TRRUST priors as well as two combined priors, expected to be improvements relative to their individual constituents. The first combined prior “ChIP/A(Th17)” uses TF ChIP data when available and TF motif analysis of 48h Th17 ATAC-seq data otherwise. The second prior “ChIP/A(Th17)+KO+A(Th)” combines the first with KO and ATAC-seq data from the other time points and conditions (</w:t>
      </w:r>
      <w:r w:rsidRPr="00D72ADD">
        <w:rPr>
          <w:rFonts w:ascii="Arial" w:hAnsi="Arial" w:cs="Arial"/>
          <w:b/>
          <w:sz w:val="22"/>
          <w:szCs w:val="22"/>
        </w:rPr>
        <w:t>Methods</w:t>
      </w:r>
      <w:r w:rsidRPr="00D72ADD">
        <w:rPr>
          <w:rFonts w:ascii="Arial" w:hAnsi="Arial" w:cs="Arial"/>
          <w:sz w:val="22"/>
          <w:szCs w:val="22"/>
        </w:rPr>
        <w:t xml:space="preserve">). For each prior, we considered five modeling modes: prior-based TFA estimates (“TFA”) with no, moderate or strong prior reinforcement and TF mRNA TFA estimates (“m”) with moderate and strong prior reinforcement. We also included the No Prior TRN </w:t>
      </w:r>
    </w:p>
    <w:p w14:paraId="1455D4CA" w14:textId="5252DE7A" w:rsidR="000C0876" w:rsidRPr="00D72ADD" w:rsidRDefault="000C0876" w:rsidP="000C0876">
      <w:pPr>
        <w:jc w:val="both"/>
        <w:outlineLvl w:val="0"/>
        <w:rPr>
          <w:rFonts w:ascii="Arial" w:hAnsi="Arial" w:cs="Arial"/>
          <w:sz w:val="22"/>
          <w:szCs w:val="22"/>
        </w:rPr>
      </w:pPr>
      <w:r w:rsidRPr="00D72ADD">
        <w:rPr>
          <w:rFonts w:ascii="Arial" w:hAnsi="Arial" w:cs="Arial"/>
          <w:sz w:val="22"/>
          <w:szCs w:val="22"/>
        </w:rPr>
        <w:t>as a control. The results described below, for network sizes ~15 TFs/gene</w:t>
      </w:r>
      <w:r w:rsidR="00473230">
        <w:rPr>
          <w:rFonts w:ascii="Arial" w:hAnsi="Arial" w:cs="Arial"/>
          <w:sz w:val="22"/>
          <w:szCs w:val="22"/>
        </w:rPr>
        <w:t>,</w:t>
      </w:r>
      <w:r w:rsidRPr="00D72ADD">
        <w:rPr>
          <w:rFonts w:ascii="Arial" w:hAnsi="Arial" w:cs="Arial"/>
          <w:sz w:val="22"/>
          <w:szCs w:val="22"/>
        </w:rPr>
        <w:t xml:space="preserve"> hold for other network-size cutoffs (5, 10, and 20 TFs/gene, </w:t>
      </w:r>
      <w:r w:rsidR="00473230">
        <w:rPr>
          <w:rFonts w:ascii="Arial" w:hAnsi="Arial" w:cs="Arial"/>
          <w:b/>
          <w:sz w:val="22"/>
          <w:szCs w:val="22"/>
        </w:rPr>
        <w:t xml:space="preserve">Supplemental Fig. </w:t>
      </w:r>
      <w:r w:rsidR="002B28DD">
        <w:rPr>
          <w:rFonts w:ascii="Arial" w:hAnsi="Arial" w:cs="Arial"/>
          <w:b/>
          <w:sz w:val="22"/>
          <w:szCs w:val="22"/>
        </w:rPr>
        <w:t>S13</w:t>
      </w:r>
      <w:r w:rsidRPr="00D72ADD">
        <w:rPr>
          <w:rFonts w:ascii="Arial" w:hAnsi="Arial" w:cs="Arial"/>
          <w:sz w:val="22"/>
          <w:szCs w:val="22"/>
        </w:rPr>
        <w:t>).  The percentage of shared edges between TRNs ranged from 83% to 10%. Clustering revealed several trends (</w:t>
      </w:r>
      <w:r w:rsidR="00473230">
        <w:rPr>
          <w:rFonts w:ascii="Arial" w:hAnsi="Arial" w:cs="Arial"/>
          <w:b/>
          <w:sz w:val="22"/>
          <w:szCs w:val="22"/>
        </w:rPr>
        <w:t xml:space="preserve">Supplemental Fig. </w:t>
      </w:r>
      <w:r w:rsidR="00B8521F">
        <w:rPr>
          <w:rFonts w:ascii="Arial" w:hAnsi="Arial" w:cs="Arial"/>
          <w:b/>
          <w:sz w:val="22"/>
          <w:szCs w:val="22"/>
        </w:rPr>
        <w:t>S8</w:t>
      </w:r>
      <w:r w:rsidRPr="00D72ADD">
        <w:rPr>
          <w:rFonts w:ascii="Arial" w:hAnsi="Arial" w:cs="Arial"/>
          <w:b/>
          <w:sz w:val="22"/>
          <w:szCs w:val="22"/>
        </w:rPr>
        <w:t>A</w:t>
      </w:r>
      <w:r w:rsidRPr="00D72ADD">
        <w:rPr>
          <w:rFonts w:ascii="Arial" w:hAnsi="Arial" w:cs="Arial"/>
          <w:sz w:val="22"/>
          <w:szCs w:val="22"/>
        </w:rPr>
        <w:t xml:space="preserve">). Over a third of the TRNs cluster together with high overlaps (60-88%), highlighted by a green-outlined box in </w:t>
      </w:r>
      <w:r w:rsidR="00473230">
        <w:rPr>
          <w:rFonts w:ascii="Arial" w:hAnsi="Arial" w:cs="Arial"/>
          <w:b/>
          <w:sz w:val="22"/>
          <w:szCs w:val="22"/>
        </w:rPr>
        <w:t xml:space="preserve">Supplemental Fig. </w:t>
      </w:r>
      <w:r w:rsidR="00B8521F">
        <w:rPr>
          <w:rFonts w:ascii="Arial" w:hAnsi="Arial" w:cs="Arial"/>
          <w:b/>
          <w:sz w:val="22"/>
          <w:szCs w:val="22"/>
        </w:rPr>
        <w:t>S8</w:t>
      </w:r>
      <w:r w:rsidRPr="00D72ADD">
        <w:rPr>
          <w:rFonts w:ascii="Arial" w:hAnsi="Arial" w:cs="Arial"/>
          <w:b/>
          <w:sz w:val="22"/>
          <w:szCs w:val="22"/>
        </w:rPr>
        <w:t>A</w:t>
      </w:r>
      <w:r w:rsidRPr="00D72ADD">
        <w:rPr>
          <w:rFonts w:ascii="Arial" w:hAnsi="Arial" w:cs="Arial"/>
          <w:sz w:val="22"/>
          <w:szCs w:val="22"/>
        </w:rPr>
        <w:t>. We refer to this cluster as “gene-expression-driven”, because it contains the No Prior TRN and other TRNs where TF-gene interactions are mainly based on TF-mRNA TFA estimates. The cluster contains all TF-mRNA models for the smaller priors (ChIP, KO, TRRUST) as well as some models built with prior-based TFA, but only for priors with few TFs (ChIP and KO) and for which TF mRNA must be used for the remaining TFs. Consistent with this explanation, the TRRUST TRNs built with prior-based TFA cluster separately. Although the TRRUST prior has fewer edges (~1500) than either the ChIP (~13k) or KO (~8k) prior, its edges are distributed among 187 of the 715 potential TF regulators considered (</w:t>
      </w:r>
      <w:r w:rsidRPr="00D72ADD">
        <w:rPr>
          <w:rFonts w:ascii="Arial" w:hAnsi="Arial" w:cs="Arial"/>
          <w:b/>
          <w:sz w:val="22"/>
          <w:szCs w:val="22"/>
        </w:rPr>
        <w:t>Table S1B</w:t>
      </w:r>
      <w:r w:rsidRPr="00D72ADD">
        <w:rPr>
          <w:rFonts w:ascii="Arial" w:hAnsi="Arial" w:cs="Arial"/>
          <w:sz w:val="22"/>
          <w:szCs w:val="22"/>
        </w:rPr>
        <w:t>), and, thus, TRRUST-based TFA greatly alters the resulting TRN.</w:t>
      </w:r>
    </w:p>
    <w:p w14:paraId="3BD11882" w14:textId="77777777" w:rsidR="000C0876" w:rsidRPr="00D72ADD" w:rsidRDefault="000C0876" w:rsidP="000C0876">
      <w:pPr>
        <w:jc w:val="both"/>
        <w:outlineLvl w:val="0"/>
        <w:rPr>
          <w:rFonts w:ascii="Arial" w:hAnsi="Arial" w:cs="Arial"/>
          <w:sz w:val="22"/>
          <w:szCs w:val="22"/>
        </w:rPr>
      </w:pPr>
    </w:p>
    <w:p w14:paraId="5FA605DF" w14:textId="0C3488D6" w:rsidR="000C0876" w:rsidRPr="00D72ADD" w:rsidRDefault="000C0876" w:rsidP="000C0876">
      <w:pPr>
        <w:jc w:val="both"/>
        <w:outlineLvl w:val="0"/>
        <w:rPr>
          <w:rFonts w:ascii="Arial" w:hAnsi="Arial" w:cs="Arial"/>
          <w:sz w:val="22"/>
          <w:szCs w:val="22"/>
        </w:rPr>
      </w:pPr>
      <w:r w:rsidRPr="00D72ADD">
        <w:rPr>
          <w:rFonts w:ascii="Arial" w:hAnsi="Arial" w:cs="Arial"/>
          <w:sz w:val="22"/>
          <w:szCs w:val="22"/>
        </w:rPr>
        <w:t>Three priors contain ATAC-seq data (ATAC, ChIP/A(Th17), and ChIP+KO+ATAC); these priors are large (ranging from ~120-200k interactions for 346 TFs), so large that not even moderately reinforced T</w:t>
      </w:r>
      <w:r w:rsidR="00485B1C">
        <w:rPr>
          <w:rFonts w:ascii="Arial" w:hAnsi="Arial" w:cs="Arial"/>
          <w:sz w:val="22"/>
          <w:szCs w:val="22"/>
        </w:rPr>
        <w:t>F-</w:t>
      </w:r>
      <w:r w:rsidRPr="00D72ADD">
        <w:rPr>
          <w:rFonts w:ascii="Arial" w:hAnsi="Arial" w:cs="Arial"/>
          <w:sz w:val="22"/>
          <w:szCs w:val="22"/>
        </w:rPr>
        <w:t xml:space="preserve">mRNA TRNs cluster with the “gene-expression driven” TRNs. The ATAC-containing TRNs form two clusters (marked by light-blue boxes in </w:t>
      </w:r>
      <w:r w:rsidR="00473230">
        <w:rPr>
          <w:rFonts w:ascii="Arial" w:hAnsi="Arial" w:cs="Arial"/>
          <w:b/>
          <w:sz w:val="22"/>
          <w:szCs w:val="22"/>
        </w:rPr>
        <w:t>Supplemental Fig.</w:t>
      </w:r>
      <w:r w:rsidRPr="00D72ADD">
        <w:rPr>
          <w:rFonts w:ascii="Arial" w:hAnsi="Arial" w:cs="Arial"/>
          <w:b/>
          <w:sz w:val="22"/>
          <w:szCs w:val="22"/>
        </w:rPr>
        <w:t xml:space="preserve"> </w:t>
      </w:r>
      <w:r w:rsidR="00B8521F">
        <w:rPr>
          <w:rFonts w:ascii="Arial" w:hAnsi="Arial" w:cs="Arial"/>
          <w:b/>
          <w:sz w:val="22"/>
          <w:szCs w:val="22"/>
        </w:rPr>
        <w:t>S8</w:t>
      </w:r>
      <w:r w:rsidRPr="00D72ADD">
        <w:rPr>
          <w:rFonts w:ascii="Arial" w:hAnsi="Arial" w:cs="Arial"/>
          <w:b/>
          <w:sz w:val="22"/>
          <w:szCs w:val="22"/>
        </w:rPr>
        <w:t>A</w:t>
      </w:r>
      <w:r w:rsidRPr="00D72ADD">
        <w:rPr>
          <w:rFonts w:ascii="Arial" w:hAnsi="Arial" w:cs="Arial"/>
          <w:sz w:val="22"/>
          <w:szCs w:val="22"/>
        </w:rPr>
        <w:t xml:space="preserve">) that separate based on TFA estimation method. As expected, the “ATAC TF mRNA” cluster is more coherent (overlaps ranging from 47-87%), while overlaps in the “ATAC prior-based TFA” cluster range from 17-70%. The ATAC TRNs built on TF mRNA are most similar to the “gene-expression driven cluster”, but with only ~50-65% edge overlap for moderate-strength prior reinforcement. At </w:t>
      </w:r>
      <w:r w:rsidRPr="00D72ADD">
        <w:rPr>
          <w:rFonts w:ascii="Arial" w:hAnsi="Arial" w:cs="Arial"/>
          <w:sz w:val="22"/>
          <w:szCs w:val="22"/>
        </w:rPr>
        <w:lastRenderedPageBreak/>
        <w:t xml:space="preserve">high prior reinforcement, overlap drops to ~35-45%. The “ATAC prior-based TFA” cluster is as dissimilar to the “ATAC TF mRNA” cluster as it is to the “gene-expression driven cluster” (overlaps with both clusters ranging from 10-30%). Thus, as also suggested by the TRRUST cluster, prior-based TFA involving a large number of TFs, dramatically changes the resulting TRN. The ENCODE prior produced the most dissimilar TRNs, both when considering ENCODE TRNs relative (1) to each other and (2) to TRNs based on other priors. This result makes sense, given the unique origin and large size of the ENCODE prior (~200k interactions for 238 TFs). </w:t>
      </w:r>
    </w:p>
    <w:p w14:paraId="7F3C2342" w14:textId="77777777" w:rsidR="000C0876" w:rsidRPr="00D72ADD" w:rsidRDefault="000C0876" w:rsidP="000C0876">
      <w:pPr>
        <w:jc w:val="both"/>
        <w:outlineLvl w:val="0"/>
        <w:rPr>
          <w:rFonts w:ascii="Arial" w:hAnsi="Arial" w:cs="Arial"/>
          <w:sz w:val="22"/>
          <w:szCs w:val="22"/>
        </w:rPr>
      </w:pPr>
    </w:p>
    <w:p w14:paraId="4121A6B8" w14:textId="62E60222" w:rsidR="000C0876" w:rsidRPr="00D72ADD" w:rsidRDefault="000C0876" w:rsidP="000C0876">
      <w:pPr>
        <w:jc w:val="both"/>
        <w:outlineLvl w:val="0"/>
        <w:rPr>
          <w:rFonts w:ascii="Arial" w:hAnsi="Arial" w:cs="Arial"/>
          <w:sz w:val="22"/>
          <w:szCs w:val="22"/>
        </w:rPr>
      </w:pPr>
      <w:r w:rsidRPr="00D72ADD">
        <w:rPr>
          <w:rFonts w:ascii="Arial" w:hAnsi="Arial" w:cs="Arial"/>
          <w:sz w:val="22"/>
          <w:szCs w:val="22"/>
        </w:rPr>
        <w:t>To further our intuition about these distinct TRNs, we visualized the percentages of genes regulated by TFs with high degree across TRNs (</w:t>
      </w:r>
      <w:r w:rsidR="00473230">
        <w:rPr>
          <w:rFonts w:ascii="Arial" w:hAnsi="Arial" w:cs="Arial"/>
          <w:b/>
          <w:sz w:val="22"/>
          <w:szCs w:val="22"/>
        </w:rPr>
        <w:t xml:space="preserve">Supplemental Fig. </w:t>
      </w:r>
      <w:r w:rsidR="00B8521F">
        <w:rPr>
          <w:rFonts w:ascii="Arial" w:hAnsi="Arial" w:cs="Arial"/>
          <w:b/>
          <w:sz w:val="22"/>
          <w:szCs w:val="22"/>
        </w:rPr>
        <w:t>S8</w:t>
      </w:r>
      <w:r w:rsidRPr="00D72ADD">
        <w:rPr>
          <w:rFonts w:ascii="Arial" w:hAnsi="Arial" w:cs="Arial"/>
          <w:b/>
          <w:sz w:val="22"/>
          <w:szCs w:val="22"/>
        </w:rPr>
        <w:t>B</w:t>
      </w:r>
      <w:r w:rsidRPr="00D72ADD">
        <w:rPr>
          <w:rFonts w:ascii="Arial" w:hAnsi="Arial" w:cs="Arial"/>
          <w:sz w:val="22"/>
          <w:szCs w:val="22"/>
        </w:rPr>
        <w:t xml:space="preserve">). The high-degree TFs can be roughly divided into four clusters. Some top-degree TFs are mainly driven by gene expression (ERG, FOXB1, IKZF2, denoted by an “m” in </w:t>
      </w:r>
      <w:r w:rsidR="00473230">
        <w:rPr>
          <w:rFonts w:ascii="Arial" w:hAnsi="Arial" w:cs="Arial"/>
          <w:b/>
          <w:sz w:val="22"/>
          <w:szCs w:val="22"/>
        </w:rPr>
        <w:t xml:space="preserve">Supplemental Fig. </w:t>
      </w:r>
      <w:r w:rsidR="00B8521F">
        <w:rPr>
          <w:rFonts w:ascii="Arial" w:hAnsi="Arial" w:cs="Arial"/>
          <w:b/>
          <w:sz w:val="22"/>
          <w:szCs w:val="22"/>
        </w:rPr>
        <w:t>S8</w:t>
      </w:r>
      <w:r w:rsidRPr="00D72ADD">
        <w:rPr>
          <w:rFonts w:ascii="Arial" w:hAnsi="Arial" w:cs="Arial"/>
          <w:b/>
          <w:sz w:val="22"/>
          <w:szCs w:val="22"/>
        </w:rPr>
        <w:t>B</w:t>
      </w:r>
      <w:r w:rsidRPr="00D72ADD">
        <w:rPr>
          <w:rFonts w:ascii="Arial" w:hAnsi="Arial" w:cs="Arial"/>
          <w:sz w:val="22"/>
          <w:szCs w:val="22"/>
        </w:rPr>
        <w:t>) and regulate ~7-9% of the 3578 network genes not only in the “gene-expression TRNs” cluster but also TF mRNA-based ENCODE and ATAC-containing networks. Moderate to strong reinforcement of ChIP and KO priors lead to high degree for key Th17 TFs: BATF, IRF4, and STAT3. In the No Prior TRN, the percent of genes regulated by these TFs hovers between 4-10%, while, for strongly enforced ChIP TRNs, the percent genes regulated climbs to 17-40%. Strongly reinforced priors composed of ChIP data in combination with ATAC and/or KO data also leads to high</w:t>
      </w:r>
      <w:r w:rsidR="00485B1C">
        <w:rPr>
          <w:rFonts w:ascii="Arial" w:hAnsi="Arial" w:cs="Arial"/>
          <w:sz w:val="22"/>
          <w:szCs w:val="22"/>
        </w:rPr>
        <w:t xml:space="preserve"> </w:t>
      </w:r>
      <w:r w:rsidRPr="00D72ADD">
        <w:rPr>
          <w:rFonts w:ascii="Arial" w:hAnsi="Arial" w:cs="Arial"/>
          <w:sz w:val="22"/>
          <w:szCs w:val="22"/>
        </w:rPr>
        <w:t>degree for this TF cluster, ranging from control of 15-32% of genes. Priors with few TFs (e.g., KO and ChIP) lead to models that contain &gt;75% edge overlap with the No Prior TRN across models, but this high overlap can be deceptive. Even for small priors, the modeling decisions can significantly alter the TF degree distribution.</w:t>
      </w:r>
    </w:p>
    <w:p w14:paraId="4305B18B" w14:textId="77777777" w:rsidR="000C0876" w:rsidRPr="00D72ADD" w:rsidRDefault="000C0876" w:rsidP="000C0876">
      <w:pPr>
        <w:jc w:val="both"/>
        <w:outlineLvl w:val="0"/>
        <w:rPr>
          <w:rFonts w:ascii="Arial" w:hAnsi="Arial" w:cs="Arial"/>
          <w:sz w:val="22"/>
          <w:szCs w:val="22"/>
        </w:rPr>
      </w:pPr>
    </w:p>
    <w:p w14:paraId="51389D9C" w14:textId="5CF26ACB" w:rsidR="000C0876" w:rsidRDefault="000C0876" w:rsidP="000C0876">
      <w:pPr>
        <w:jc w:val="both"/>
        <w:outlineLvl w:val="0"/>
        <w:rPr>
          <w:rFonts w:ascii="Arial" w:hAnsi="Arial" w:cs="Arial"/>
          <w:sz w:val="22"/>
          <w:szCs w:val="22"/>
        </w:rPr>
      </w:pPr>
      <w:r w:rsidRPr="00D72ADD">
        <w:rPr>
          <w:rFonts w:ascii="Arial" w:hAnsi="Arial" w:cs="Arial"/>
          <w:sz w:val="22"/>
          <w:szCs w:val="22"/>
        </w:rPr>
        <w:t>The differences in network overlap and high-degree TFs between methods might reflect different strengths of each method and prior information source. Although overall-network performance in terms of precision-recall is roughly similar between methods and priors, the TF-specific AUPRs were heterogeneous by method (</w:t>
      </w:r>
      <w:r w:rsidRPr="00D72ADD">
        <w:rPr>
          <w:rFonts w:ascii="Arial" w:hAnsi="Arial" w:cs="Arial"/>
          <w:b/>
          <w:sz w:val="22"/>
          <w:szCs w:val="22"/>
        </w:rPr>
        <w:t>Figure 2C</w:t>
      </w:r>
      <w:r w:rsidRPr="00D72ADD">
        <w:rPr>
          <w:rFonts w:ascii="Arial" w:hAnsi="Arial" w:cs="Arial"/>
          <w:sz w:val="22"/>
          <w:szCs w:val="22"/>
        </w:rPr>
        <w:t>). Thus, each method enriched for unique sets of TF-specific gold-standard interactions among its high-confidence</w:t>
      </w:r>
      <w:r w:rsidRPr="0091488E">
        <w:rPr>
          <w:rFonts w:ascii="Arial" w:hAnsi="Arial" w:cs="Arial"/>
          <w:sz w:val="22"/>
          <w:szCs w:val="22"/>
        </w:rPr>
        <w:t xml:space="preserve"> edges, and the ensemble of predictions from each model and method might provide a fuller picture of the underlying TRN. This could be an important avenue for future work.</w:t>
      </w:r>
    </w:p>
    <w:p w14:paraId="5AF7D226" w14:textId="7045E4ED" w:rsidR="006B5D91" w:rsidRDefault="006B5D91" w:rsidP="000C0876">
      <w:pPr>
        <w:jc w:val="both"/>
        <w:outlineLvl w:val="0"/>
        <w:rPr>
          <w:rFonts w:ascii="Arial" w:hAnsi="Arial" w:cs="Arial"/>
          <w:sz w:val="22"/>
          <w:szCs w:val="22"/>
        </w:rPr>
      </w:pPr>
    </w:p>
    <w:p w14:paraId="446C523B" w14:textId="119E8678" w:rsidR="006B5D91" w:rsidRPr="006B5D91" w:rsidRDefault="006B5D91" w:rsidP="006B5D91">
      <w:pPr>
        <w:jc w:val="both"/>
        <w:rPr>
          <w:rFonts w:ascii="Arial" w:hAnsi="Arial" w:cs="Arial"/>
          <w:color w:val="000000" w:themeColor="text1"/>
          <w:sz w:val="22"/>
          <w:szCs w:val="22"/>
        </w:rPr>
      </w:pPr>
      <w:r>
        <w:rPr>
          <w:rFonts w:ascii="Arial" w:hAnsi="Arial" w:cs="Arial"/>
          <w:b/>
          <w:color w:val="000000" w:themeColor="text1"/>
          <w:sz w:val="22"/>
          <w:szCs w:val="22"/>
          <w:u w:val="single"/>
        </w:rPr>
        <w:t>Supplemental Note 2</w:t>
      </w:r>
      <w:r>
        <w:rPr>
          <w:rFonts w:ascii="Arial" w:hAnsi="Arial" w:cs="Arial"/>
          <w:b/>
          <w:color w:val="000000" w:themeColor="text1"/>
          <w:sz w:val="22"/>
          <w:szCs w:val="22"/>
        </w:rPr>
        <w:t>. Treatment of RNA-seq batch effects.</w:t>
      </w:r>
      <w:r w:rsidRPr="007A0480">
        <w:rPr>
          <w:rFonts w:ascii="Arial" w:hAnsi="Arial" w:cs="Arial"/>
          <w:color w:val="000000" w:themeColor="text1"/>
          <w:sz w:val="22"/>
          <w:szCs w:val="22"/>
        </w:rPr>
        <w:t xml:space="preserve"> The final gene expression matrix contained samples generated over an eight-year period, from several genomics cores, and with a combination of 36-bp and 50-bp single-end reads as well as 50-bp paired-end reads. There was no common set of control samples across batches. We first attempted to control for differences in sequencing, mapping only a single-end from paired-end sequencing samples with STAR aligner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{"citationItems":[{"id":"ITEM-1","itemData":{"DOI":"10.1093/bioinformatics/bts635","ISBN":"1367-4811 (Electronic)\\n1367-4803 (Linking)","ISSN":"13674803","PMID":"23104886","abstract":"MOTIVATION: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biases.\\n\\nRESULTS: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strategy.\\n\\nAVAILABILITY AND IMPLEMENTATION: STAR is implemented as a standalone C++ code. STAR is free open source software distributed under GPLv3 license and can be downloaded from http://code.google.com/p/rna-star/.","author":[{"dropping-particle":"","family":"Dobin","given":"Alexander","non-dropping-particle":"","parse-names":false,"suffix":""},{"dropping-particle":"","family":"Davis","given":"Carrie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R.","non-dropping-particle":"","parse-names":false,"suffix":""}],"container-title":"Bioinformatics","id":"ITEM-1","issue":"1","issued":{"date-parts":[["2013"]]},"page":"15-21","title":"STAR: Ultrafast universal RNA-seq aligner","type":"article-journal","volume":"29"},"uris":["http://www.mendeley.com/documents/?uuid=bff9c802-e308-40f0-8d27-1a4a7477e6e0"]}],"mendeley":{"formattedCitation":"(Dobin et al. 2013)","plainTextFormattedCitation":"(Dobin et al. 2013)","previouslyFormattedCitation":"(Dobin et al. 2013)"},"properties":{"noteIndex":0},"schema":"https://github.com/citation-style-language/schema/raw/master/csl-citation.json"}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(Dobin et al. 2013)</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xml:space="preserve">. In addition, we controlled for differences in mappability between 36-bp and 50-bp reads by calculating effective gene lengths. Specifically, we calculated the number of possible 36-mers or 50-mers that HTSeq-count would map per gene (using HTSeq-count parameters: --stranded=no --mode=union and 36-mer and 50-mer mappability tracks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ISSN":"1932-6203","author":[{"dropping-particle":"","family":"Derrien","given":"Thomas","non-dropping-particle":"","parse-names":false,"suffix":""},{"dropping-particle":"","family":"Estellé","given":"Jordi","non-dropping-particle":"","parse-names":false,"suffix":""},{"dropping-particle":"","family":"Sola","given":"Santiago Marco","non-dropping-particle":"","parse-names":false,"suffix":""},{"dropping-particle":"","family":"Knowles","given":"David G","non-dropping-particle":"","parse-names":false,"suffix":""},{"dropping-particle":"","family":"Raineri","given":"Emanuele","non-dropping-particle":"","parse-names":false,"suffix":""},{"dropping-particle":"","family":"Guigó","given":"Roderic","non-dropping-particle":"","parse-names":false,"suffix":""},{"dropping-particle":"","family":"Ribeca","given":"Paolo","non-dropping-particle":"","parse-names":false,"suffix":""}],"container-title":"PloS one","id":"ITEM-1","issue":"1","issued":{"date-parts":[["2012"]]},"page":"e30377","publisher":"Public Library of Science","title":"Fast computation and applications of genome mappability","type":"article-journal","volume":"7"},"uris":["http://www.mendeley.com/documents/?uuid=7ab86f32-4f4c-4ee8-84fe-9ba8fc146f1d","http://www.mendeley.com/documents/?uuid=eac8a65c-2835-4bfe-84e2-e8b81c091cf3"]}],"mendeley":{"formattedCitation":"(Derrien et al. 2012)","plainTextFormattedCitation":"(Derrien et al. 2012)","previouslyFormattedCitation":"(Derrien et al. 2012)"},"properties":{"noteIndex":0},"schema":"https://github.com/citation-style-language/schema/raw/master/csl-citation.json"}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(Derrien et al. 2012)</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xml:space="preserve">). We then computed a factor (effective 36-mer gene length to effective 50-mer gene length) to convert 50-mer gene quantification by HTSeq-count to 36-mer gene quantification scale. From there, we used DESeq2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{"citationItems":[{"id":"ITEM-1","itemData":{"DOI":"10.1186/s13059-014-0550-8","ISBN":"1465-6906","ISSN":"1474-760X","PMID":"25516281","abstract":"In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 webcite.","author":[{"dropping-particle":"","family":"Love","given":"Michael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biology","id":"ITEM-1","issue":"12","issued":{"date-parts":[["2014"]]},"page":"550","title":"Moderated estimation of fold change and dispersion for RNA-seq data with DESeq2.","type":"article-journal","volume":"15"},"uris":["http://www.mendeley.com/documents/?uuid=e0a44e22-c9c2-4688-a434-d03c20a027a7"]}],"mendeley":{"formattedCitation":"(Love et al. 2014)","plainTextFormattedCitation":"(Love et al. 2014)","previouslyFormattedCitation":"(Love et al. 2014)"},"properties":{"noteIndex":0},"schema":"https://github.com/citation-style-language/schema/raw/master/csl-citation.json"}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(Love et al. 2014)</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xml:space="preserve"> to normalize data. We used PCA to ensure that major trends did not correlate with (1) sequencing, (2) date of experiment, or (3) library size. Instead, they correlated well with the T Cell time course and polarization conditions (</w:t>
      </w:r>
      <w:r w:rsidRPr="009E17FE">
        <w:rPr>
          <w:rFonts w:ascii="Arial" w:hAnsi="Arial" w:cs="Arial"/>
          <w:b/>
          <w:color w:val="000000" w:themeColor="text1"/>
          <w:sz w:val="22"/>
          <w:szCs w:val="22"/>
        </w:rPr>
        <w:t>Fig. 1A, S3</w:t>
      </w:r>
      <w:r w:rsidRPr="009E17FE">
        <w:rPr>
          <w:rFonts w:ascii="Arial" w:hAnsi="Arial" w:cs="Arial"/>
          <w:color w:val="000000" w:themeColor="text1"/>
          <w:sz w:val="22"/>
          <w:szCs w:val="22"/>
        </w:rPr>
        <w:t>).</w:t>
      </w:r>
      <w:r w:rsidRPr="007A0480">
        <w:rPr>
          <w:rFonts w:ascii="Arial" w:hAnsi="Arial" w:cs="Arial"/>
          <w:color w:val="000000" w:themeColor="text1"/>
          <w:sz w:val="22"/>
          <w:szCs w:val="22"/>
        </w:rPr>
        <w:t xml:space="preserve"> </w:t>
      </w:r>
    </w:p>
    <w:p w14:paraId="17818E6D" w14:textId="1D3E186F" w:rsidR="000C0876" w:rsidRDefault="000C0876" w:rsidP="000C0876">
      <w:pPr>
        <w:jc w:val="both"/>
        <w:outlineLvl w:val="0"/>
        <w:rPr>
          <w:rFonts w:ascii="Arial" w:hAnsi="Arial" w:cs="Arial"/>
          <w:b/>
          <w:sz w:val="22"/>
          <w:szCs w:val="22"/>
          <w:u w:val="single"/>
        </w:rPr>
      </w:pPr>
    </w:p>
    <w:p w14:paraId="2485CD5B" w14:textId="47022788" w:rsidR="00854B4C" w:rsidRDefault="00854B4C" w:rsidP="00854B4C">
      <w:pPr>
        <w:jc w:val="both"/>
        <w:outlineLvl w:val="0"/>
        <w:rPr>
          <w:rFonts w:ascii="Arial" w:hAnsi="Arial" w:cs="Arial"/>
          <w:color w:val="000000" w:themeColor="text1"/>
          <w:sz w:val="22"/>
          <w:szCs w:val="22"/>
        </w:rPr>
      </w:pPr>
      <w:r>
        <w:rPr>
          <w:rFonts w:ascii="Arial" w:hAnsi="Arial" w:cs="Arial"/>
          <w:b/>
          <w:color w:val="000000" w:themeColor="text1"/>
          <w:sz w:val="22"/>
          <w:szCs w:val="22"/>
          <w:u w:val="single"/>
        </w:rPr>
        <w:t>Supplemental Note 3</w:t>
      </w:r>
      <w:r>
        <w:rPr>
          <w:rFonts w:ascii="Arial" w:hAnsi="Arial" w:cs="Arial"/>
          <w:b/>
          <w:color w:val="000000" w:themeColor="text1"/>
          <w:sz w:val="22"/>
          <w:szCs w:val="22"/>
        </w:rPr>
        <w:t>. Prior Construction details.</w:t>
      </w:r>
      <w:r>
        <w:rPr>
          <w:rFonts w:ascii="Arial" w:hAnsi="Arial" w:cs="Arial"/>
          <w:color w:val="000000" w:themeColor="text1"/>
          <w:sz w:val="22"/>
          <w:szCs w:val="22"/>
        </w:rPr>
        <w:t xml:space="preserve"> (Note that</w:t>
      </w:r>
      <w:r w:rsidRPr="00D72ADD">
        <w:rPr>
          <w:rFonts w:ascii="Arial" w:hAnsi="Arial" w:cs="Arial"/>
          <w:color w:val="000000" w:themeColor="text1"/>
          <w:sz w:val="22"/>
          <w:szCs w:val="22"/>
        </w:rPr>
        <w:t xml:space="preserve"> </w:t>
      </w:r>
      <w:r w:rsidRPr="00D72ADD">
        <w:rPr>
          <w:rFonts w:ascii="Arial" w:hAnsi="Arial" w:cs="Arial"/>
          <w:b/>
          <w:color w:val="000000" w:themeColor="text1"/>
          <w:sz w:val="22"/>
          <w:szCs w:val="22"/>
        </w:rPr>
        <w:t>Methods</w:t>
      </w:r>
      <w:r w:rsidRPr="00D72ADD">
        <w:rPr>
          <w:rFonts w:ascii="Arial" w:hAnsi="Arial" w:cs="Arial"/>
          <w:color w:val="000000" w:themeColor="text1"/>
          <w:sz w:val="22"/>
          <w:szCs w:val="22"/>
        </w:rPr>
        <w:t xml:space="preserve"> d</w:t>
      </w:r>
      <w:r>
        <w:rPr>
          <w:rFonts w:ascii="Arial" w:hAnsi="Arial" w:cs="Arial"/>
          <w:color w:val="000000" w:themeColor="text1"/>
          <w:sz w:val="22"/>
          <w:szCs w:val="22"/>
        </w:rPr>
        <w:t>etail ATAC-seq prior generation.)</w:t>
      </w:r>
    </w:p>
    <w:p w14:paraId="38B37994" w14:textId="77777777" w:rsidR="00854B4C" w:rsidRPr="00854B4C" w:rsidRDefault="00854B4C" w:rsidP="00854B4C">
      <w:pPr>
        <w:jc w:val="both"/>
        <w:outlineLvl w:val="0"/>
        <w:rPr>
          <w:rFonts w:ascii="Arial" w:hAnsi="Arial" w:cs="Arial"/>
          <w:sz w:val="22"/>
          <w:szCs w:val="22"/>
        </w:rPr>
      </w:pPr>
    </w:p>
    <w:p w14:paraId="783880DF" w14:textId="3BB4A42F" w:rsidR="00854B4C" w:rsidRPr="007A0480" w:rsidRDefault="00854B4C" w:rsidP="00854B4C">
      <w:pPr>
        <w:jc w:val="both"/>
        <w:rPr>
          <w:rFonts w:ascii="Arial" w:hAnsi="Arial" w:cs="Arial"/>
          <w:color w:val="000000" w:themeColor="text1"/>
          <w:sz w:val="22"/>
          <w:szCs w:val="22"/>
        </w:rPr>
      </w:pPr>
      <w:r w:rsidRPr="007A0480">
        <w:rPr>
          <w:rFonts w:ascii="Arial" w:hAnsi="Arial" w:cs="Arial"/>
          <w:i/>
          <w:color w:val="000000" w:themeColor="text1"/>
          <w:sz w:val="22"/>
          <w:szCs w:val="22"/>
        </w:rPr>
        <w:t>ChIP-seq</w:t>
      </w:r>
      <w:r w:rsidRPr="007A0480">
        <w:rPr>
          <w:rFonts w:ascii="Arial" w:hAnsi="Arial" w:cs="Arial"/>
          <w:color w:val="000000" w:themeColor="text1"/>
          <w:sz w:val="22"/>
          <w:szCs w:val="22"/>
        </w:rPr>
        <w:t xml:space="preserve">: TF ChIP-seq and control sequencing data were downloaded from GEO (GSE40918), mapped to the murine genome (mm10) with bowtie2 (2.2.3), filtered based on mapping score </w:t>
      </w:r>
      <w:r w:rsidRPr="007A0480">
        <w:rPr>
          <w:rFonts w:ascii="Arial" w:hAnsi="Arial" w:cs="Arial"/>
          <w:color w:val="000000" w:themeColor="text1"/>
          <w:sz w:val="22"/>
          <w:szCs w:val="22"/>
        </w:rPr>
        <w:lastRenderedPageBreak/>
        <w:t>(MAPQ &gt; 30, Samtools (0.1.19)), and duplicates removed (Picard). Peaks were called with mac</w:t>
      </w:r>
      <w:r w:rsidR="002B28DD">
        <w:rPr>
          <w:rFonts w:ascii="Arial" w:hAnsi="Arial" w:cs="Arial"/>
          <w:color w:val="000000" w:themeColor="text1"/>
          <w:sz w:val="22"/>
          <w:szCs w:val="22"/>
        </w:rPr>
        <w:t>S12</w:t>
      </w:r>
      <w:r w:rsidRPr="007A0480">
        <w:rPr>
          <w:rFonts w:ascii="Arial" w:hAnsi="Arial" w:cs="Arial"/>
          <w:color w:val="000000" w:themeColor="text1"/>
          <w:sz w:val="22"/>
          <w:szCs w:val="22"/>
        </w:rPr>
        <w:t xml:space="preserve"> version 1.4.2 (parameters: -m 10,30 -g 1865500000 --bw=200) and retained for raw p-value &lt; </w:t>
      </w:r>
      <w:r>
        <w:rPr>
          <w:rFonts w:ascii="Arial" w:hAnsi="Arial" w:cs="Arial"/>
          <w:color w:val="000000" w:themeColor="text1"/>
          <w:sz w:val="22"/>
          <w:szCs w:val="22"/>
        </w:rPr>
        <w:t>10</w:t>
      </w:r>
      <w:r w:rsidRPr="00ED5601">
        <w:rPr>
          <w:rFonts w:ascii="Arial" w:hAnsi="Arial" w:cs="Arial"/>
          <w:color w:val="000000" w:themeColor="text1"/>
          <w:sz w:val="22"/>
          <w:szCs w:val="22"/>
          <w:vertAlign w:val="superscript"/>
        </w:rPr>
        <w:t>-10</w:t>
      </w:r>
      <w:r w:rsidRPr="007A0480">
        <w:rPr>
          <w:rFonts w:ascii="Arial" w:hAnsi="Arial" w:cs="Arial"/>
          <w:color w:val="000000" w:themeColor="text1"/>
          <w:sz w:val="22"/>
          <w:szCs w:val="22"/>
        </w:rPr>
        <w:t xml:space="preserve">. TFs were associated with a target gene, if the ChIP peak fell within +/-10kb of gene body. </w:t>
      </w:r>
    </w:p>
    <w:p w14:paraId="2AB4E1ED" w14:textId="77777777" w:rsidR="00854B4C" w:rsidRPr="007A0480" w:rsidRDefault="00854B4C" w:rsidP="00854B4C">
      <w:pPr>
        <w:jc w:val="both"/>
        <w:rPr>
          <w:rFonts w:ascii="Arial" w:hAnsi="Arial" w:cs="Arial"/>
          <w:color w:val="000000" w:themeColor="text1"/>
          <w:sz w:val="22"/>
          <w:szCs w:val="22"/>
        </w:rPr>
      </w:pPr>
    </w:p>
    <w:p w14:paraId="784BFEC3" w14:textId="1DEF4AAF" w:rsidR="00854B4C" w:rsidRPr="007A0480" w:rsidRDefault="00854B4C" w:rsidP="00854B4C">
      <w:pPr>
        <w:jc w:val="both"/>
        <w:rPr>
          <w:rFonts w:ascii="Arial" w:hAnsi="Arial" w:cs="Arial"/>
          <w:color w:val="000000" w:themeColor="text1"/>
          <w:sz w:val="22"/>
          <w:szCs w:val="22"/>
        </w:rPr>
      </w:pPr>
      <w:r w:rsidRPr="007A0480">
        <w:rPr>
          <w:rFonts w:ascii="Arial" w:hAnsi="Arial" w:cs="Arial"/>
          <w:i/>
          <w:color w:val="000000" w:themeColor="text1"/>
          <w:sz w:val="22"/>
          <w:szCs w:val="22"/>
        </w:rPr>
        <w:t>ENCODE DHS</w:t>
      </w:r>
      <w:r w:rsidRPr="007A0480">
        <w:rPr>
          <w:rFonts w:ascii="Arial" w:hAnsi="Arial" w:cs="Arial"/>
          <w:color w:val="000000" w:themeColor="text1"/>
          <w:sz w:val="22"/>
          <w:szCs w:val="22"/>
        </w:rPr>
        <w:t xml:space="preserve">: TF-gene interactions, based on TF-footprinting analysis in ENCODE DNase1-hypersensitivity (DHS) in 25 mouse tissues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{"citationItems":[{"id":"ITEM-1","itemData":{"DOI":"10.1038/nature13972","ISBN":"1476-4687 (Electronic)\\r0028-0836 (Linking)","ISSN":"0028-0836","PMID":"25409825","abstract":"The basic body plan and major physiological axes have been highly conserved during mammalian evolution, yet only a small fraction of the human genome sequence appears to be subject to evolutionary constraint. To quantify cis- versus trans-acting contributions to mammalian regulatory evolution, we performed genomic DNase I footprinting of the mouse genome across 25 cell and tissue types, collectively defining ~8.6 million transcription factor (TF) occupancy sites at nucleotide resolution. Here we show that mouse TF footprints conjointly encode a regulatory lexicon that is ~95% similar with that derived from human TF footprints. However, only ~20% of mouse TF footprints have human orthologues. Despite substantial turnover of the cis-regulatory landscape, nearly half of all pairwise regulatory interactions connecting mouse TF genes have been maintained in orthologous human cell types through evolutionary innovation of TF recognition sequences. Furthermore, the higher-level organization of mouse TF-to-TF connections into cellular network architectures is nearly identical with human. Our results indicate that evolutionary selection on mammalian gene regulation is targeted chiefly at the level of trans-regulatory circuitry, enabling and potentiating cis-regulatory plasticity.","author":[{"dropping-particle":"","family":"Stergachis","given":"Andrew B.","non-dropping-particle":"","parse-names":false,"suffix":""},{"dropping-particle":"","family":"Neph","given":"Shane","non-dropping-particle":"","parse-names":false,"suffix":""},{"dropping-particle":"","family":"Sandstrom","given":"Richard","non-dropping-particle":"","parse-names":false,"suffix":""},{"dropping-particle":"","family":"Haugen","given":"Eric","non-dropping-particle":"","parse-names":false,"suffix":""},{"dropping-particle":"","family":"Reynolds","given":"Alex P.","non-dropping-particle":"","parse-names":false,"suffix":""},{"dropping-particle":"","family":"Zhang","given":"Miaohua","non-dropping-particle":"","parse-names":false,"suffix":""},{"dropping-particle":"","family":"Byron","given":"Rachel","non-dropping-particle":"","parse-names":false,"suffix":""},{"dropping-particle":"","family":"Canfield","given":"Theresa","non-dropping-particle":"","parse-names":false,"suffix":""},{"dropping-particle":"","family":"Stelhing-Sun","given":"Sandra","non-dropping-particle":"","parse-names":false,"suffix":""},{"dropping-particle":"","family":"Lee","given":"Kristen","non-dropping-particle":"","parse-names":false,"suffix":""},{"dropping-particle":"","family":"Thurman","given":"Robert E.","non-dropping-particle":"","parse-names":false,"suffix":""},{"dropping-particle":"","family":"Vong","given":"Shinny","non-dropping-particle":"","parse-names":false,"suffix":""},{"dropping-particle":"","family":"Bates","given":"Daniel","non-dropping-particle":"","parse-names":false,"suffix":""},{"dropping-particle":"","family":"Neri","given":"Fidencio","non-dropping-particle":"","parse-names":false,"suffix":""},{"dropping-particle":"","family":"Diegel","given":"Morgan","non-dropping-particle":"","parse-names":false,"suffix":""},{"dropping-particle":"","family":"Giste","given":"Erika","non-dropping-particle":"","parse-names":false,"suffix":""},{"dropping-particle":"","family":"Dunn","given":"Douglas","non-dropping-particle":"","parse-names":false,"suffix":""},{"dropping-particle":"","family":"Vierstra","given":"Jeff","non-dropping-particle":"","parse-names":false,"suffix":""},{"dropping-particle":"","family":"Hansen","given":"R. Scott","non-dropping-particle":"","parse-names":false,"suffix":""},{"dropping-particle":"","family":"Johnson","given":"Audra K.","non-dropping-particle":"","parse-names":false,"suffix":""},{"dropping-particle":"","family":"Sabo","given":"Peter J.","non-dropping-particle":"","parse-names":false,"suffix":""},{"dropping-particle":"","family":"Wilken","given":"Matthew S.","non-dropping-particle":"","parse-names":false,"suffix":""},{"dropping-particle":"","family":"Reh","given":"Thomas A.","non-dropping-particle":"","parse-names":false,"suffix":""},{"dropping-particle":"","family":"Treuting","given":"Piper M.","non-dropping-particle":"","parse-names":false,"suffix":""},{"dropping-particle":"","family":"Kaul","given":"Rajinder","non-dropping-particle":"","parse-names":false,"suffix":""},{"dropping-particle":"","family":"Groudine","given":"Mark","non-dropping-particle":"","parse-names":false,"suffix":""},{"dropping-particle":"","family":"Bender","given":"M. A.","non-dropping-particle":"","parse-names":false,"suffix":""},{"dropping-particle":"","family":"Borenstein","given":"Elhanan","non-dropping-particle":"","parse-names":false,"suffix":""},{"dropping-particle":"","family":"Stamatoyannopoulos","given":"John A.","non-dropping-particle":"","parse-names":false,"suffix":""}],"container-title":"Nature","id":"ITEM-1","issue":"7527","issued":{"date-parts":[["2014"]]},"page":"365-370","title":"Conservation of trans-acting circuitry during mammalian regulatory evolution","type":"article-journal","volume":"515"},"uris":["http://www.mendeley.com/documents/?uuid=ee02a0e3-6764-4969-ab7b-cd37d168f15c"]}],"mendeley":{"formattedCitation":"(Stergachis et al. 2014)","plainTextFormattedCitation":"(Stergachis et al. 2014)","previouslyFormattedCitation":"(Stergachis et al. 2014)"},"properties":{"noteIndex":0},"schema":"https://github.com/citation-style-language/schema/raw/master/csl-citation.json"}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(Stergachis et al. 2014)</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xml:space="preserve"> were downloaded from </w:t>
      </w:r>
      <w:hyperlink r:id="rId7" w:history="1">
        <w:r w:rsidRPr="007A0480">
          <w:rPr>
            <w:rStyle w:val="Hyperlink"/>
            <w:rFonts w:ascii="Arial" w:hAnsi="Arial" w:cs="Arial"/>
            <w:color w:val="000000" w:themeColor="text1"/>
            <w:sz w:val="22"/>
            <w:szCs w:val="22"/>
          </w:rPr>
          <w:t>http://www.regulatorynetworks.org</w:t>
        </w:r>
      </w:hyperlink>
      <w:r w:rsidRPr="007A0480">
        <w:rPr>
          <w:rFonts w:ascii="Arial" w:hAnsi="Arial" w:cs="Arial"/>
          <w:color w:val="000000" w:themeColor="text1"/>
          <w:sz w:val="22"/>
          <w:szCs w:val="22"/>
        </w:rPr>
        <w:t>.</w:t>
      </w:r>
    </w:p>
    <w:p w14:paraId="16796B7D" w14:textId="77777777" w:rsidR="00854B4C" w:rsidRPr="007A0480" w:rsidRDefault="00854B4C" w:rsidP="00854B4C">
      <w:pPr>
        <w:jc w:val="both"/>
        <w:rPr>
          <w:rFonts w:ascii="Arial" w:hAnsi="Arial" w:cs="Arial"/>
          <w:color w:val="000000" w:themeColor="text1"/>
          <w:sz w:val="22"/>
          <w:szCs w:val="22"/>
        </w:rPr>
      </w:pPr>
    </w:p>
    <w:p w14:paraId="4B1D5C92" w14:textId="180C3898" w:rsidR="00854B4C" w:rsidRPr="007A0480" w:rsidRDefault="00854B4C" w:rsidP="00854B4C">
      <w:pPr>
        <w:jc w:val="both"/>
        <w:rPr>
          <w:rFonts w:ascii="Arial" w:hAnsi="Arial" w:cs="Arial"/>
          <w:color w:val="000000" w:themeColor="text1"/>
          <w:sz w:val="22"/>
          <w:szCs w:val="22"/>
        </w:rPr>
      </w:pPr>
      <w:r w:rsidRPr="007A0480">
        <w:rPr>
          <w:rFonts w:ascii="Arial" w:hAnsi="Arial" w:cs="Arial"/>
          <w:i/>
          <w:color w:val="000000" w:themeColor="text1"/>
          <w:sz w:val="22"/>
          <w:szCs w:val="22"/>
        </w:rPr>
        <w:t>TRRUST</w:t>
      </w:r>
      <w:r w:rsidRPr="007A0480">
        <w:rPr>
          <w:rFonts w:ascii="Arial" w:hAnsi="Arial" w:cs="Arial"/>
          <w:color w:val="000000" w:themeColor="text1"/>
          <w:sz w:val="22"/>
          <w:szCs w:val="22"/>
        </w:rPr>
        <w:t xml:space="preserve">: Signed, human TF-gene interactions were downloaded from the Transcriptional Regulatory Relationships Unraveled by Sentence-base Text-mining (TRRUST) database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{"citationItems":[{"id":"ITEM-1","itemData":{"DOI":"10.1038/srep11432","ISSN":"2045-2322","PMID":"26066708","abstract":"The reconstruction of transcriptional regulatory networks (TRNs) is a long-standing challenge in human genetics. Numerous computational methods have been developed to infer regulatory interactions between human transcriptional factors (TFs) and target genes from high-throughput data, and their performance evaluation requires gold-standard interactions. Here we present a database of literature-curated human TF-target interactions, TRRUST (transcriptional regulatory relationships unravelled by sentence-based text-mining, http://www.grnpedia.org/trrust), which currently contains 8,015 interactions between 748 TF genes and 1,975 non-TF genes. A sentence-based text-mining approach was employed for efficient manual curation of regulatory interactions from approximately 20 million Medline abstracts. To the best of our knowledge, TRRUST is the largest publicly available database of literature-curated human TF-target interactions to date. TRRUST also has several useful features: i) information about the mode-of-regulation; ii) tests for target modularity of a query TF; iii) tests for TF cooperativity of a query target; iv) inferences about cooperating TFs of a query TF; and v) prioritizing associated pathways and diseases with a query TF. We observed high enrichment of TF-target pairs in TRRUST for top-scored interactions inferred from high-throughput data, which suggests that TRRUST provides a reliable benchmark for the computational reconstruction of human TRNs.","author":[{"dropping-particle":"","family":"Han","given":"Heonjong","non-dropping-particle":"","parse-names":false,"suffix":""},{"dropping-particle":"","family":"Shim","given":"Hongseok","non-dropping-particle":"","parse-names":false,"suffix":""},{"dropping-particle":"","family":"Shin","given":"Donghyun","non-dropping-particle":"","parse-names":false,"suffix":""},{"dropping-particle":"","family":"Shim","given":"Jung Eun","non-dropping-particle":"","parse-names":false,"suffix":""},{"dropping-particle":"","family":"Ko","given":"Yunhee","non-dropping-particle":"","parse-names":false,"suffix":""},{"dropping-particle":"","family":"Shin","given":"Junha","non-dropping-particle":"","parse-names":false,"suffix":""},{"dropping-particle":"","family":"Kim","given":"Hanhae","non-dropping-particle":"","parse-names":false,"suffix":""},{"dropping-particle":"","family":"Cho","given":"Ara","non-dropping-particle":"","parse-names":false,"suffix":""},{"dropping-particle":"","family":"Kim","given":"Eiru","non-dropping-particle":"","parse-names":false,"suffix":""},{"dropping-particle":"","family":"Lee","given":"Tak","non-dropping-particle":"","parse-names":false,"suffix":""},{"dropping-particle":"","family":"Kim","given":"Hyojin","non-dropping-particle":"","parse-names":false,"suffix":""},{"dropping-particle":"","family":"Kim","given":"Kyungsoo","non-dropping-particle":"","parse-names":false,"suffix":""},{"dropping-particle":"","family":"Yang","given":"Sunmo","non-dropping-particle":"","parse-names":false,"suffix":""},{"dropping-particle":"","family":"Bae","given":"Dasom","non-dropping-particle":"","parse-names":false,"suffix":""},{"dropping-particle":"","family":"Yun","given":"Ayoung","non-dropping-particle":"","parse-names":false,"suffix":""},{"dropping-particle":"","family":"Kim","given":"Sunphil","non-dropping-particle":"","parse-names":false,"suffix":""},{"dropping-particle":"","family":"Kim","given":"Chan Yeong","non-dropping-particle":"","parse-names":false,"suffix":""},{"dropping-particle":"","family":"Cho","given":"Hyeon Jin","non-dropping-particle":"","parse-names":false,"suffix":""},{"dropping-particle":"","family":"Kang","given":"Byunghee","non-dropping-particle":"","parse-names":false,"suffix":""},{"dropping-particle":"","family":"Shin","given":"Susie","non-dropping-particle":"","parse-names":false,"suffix":""},{"dropping-particle":"","family":"Lee","given":"Insuk","non-dropping-particle":"","parse-names":false,"suffix":""}],"container-title":"Scientific reports","id":"ITEM-1","issued":{"date-parts":[["2015"]]},"page":"11432","title":"TRRUST: a reference database of human transcriptional regulatory interactions.","type":"article-journal","volume":"5"},"uris":["http://www.mendeley.com/documents/?uuid=9102c8bf-9b84-41ef-83a2-db38196e8550"]}],"mendeley":{"formattedCitation":"(Han et al. 2015)","plainTextFormattedCitation":"(Han et al. 2015)","previouslyFormattedCitation":"(Han et al. 2015)"},"properties":{"noteIndex":0},"schema":"https://github.com/citation-style-language/schema/raw/master/csl-citation.json"}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(Han et al. 2015)</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xml:space="preserve">, version 1, and mapped to mouse orthologs using the MGI database (one-to-many mappings included). </w:t>
      </w:r>
    </w:p>
    <w:p w14:paraId="407535CA" w14:textId="77777777" w:rsidR="00854B4C" w:rsidRPr="007A0480" w:rsidRDefault="00854B4C" w:rsidP="00854B4C">
      <w:pPr>
        <w:jc w:val="both"/>
        <w:rPr>
          <w:rFonts w:ascii="Arial" w:hAnsi="Arial" w:cs="Arial"/>
          <w:color w:val="000000" w:themeColor="text1"/>
          <w:sz w:val="22"/>
          <w:szCs w:val="22"/>
        </w:rPr>
      </w:pPr>
    </w:p>
    <w:p w14:paraId="6B9D5DAC" w14:textId="77777777" w:rsidR="00854B4C" w:rsidRPr="007A0480" w:rsidRDefault="00854B4C" w:rsidP="00854B4C">
      <w:pPr>
        <w:jc w:val="both"/>
        <w:rPr>
          <w:rFonts w:ascii="Arial" w:hAnsi="Arial" w:cs="Arial"/>
          <w:color w:val="000000" w:themeColor="text1"/>
          <w:sz w:val="22"/>
          <w:szCs w:val="22"/>
        </w:rPr>
      </w:pPr>
      <w:r w:rsidRPr="007A0480">
        <w:rPr>
          <w:rFonts w:ascii="Arial" w:hAnsi="Arial" w:cs="Arial"/>
          <w:i/>
          <w:color w:val="000000" w:themeColor="text1"/>
          <w:sz w:val="22"/>
          <w:szCs w:val="22"/>
        </w:rPr>
        <w:t>ChIP/A(Th17)</w:t>
      </w:r>
      <w:r w:rsidRPr="007A0480">
        <w:rPr>
          <w:rFonts w:ascii="Arial" w:hAnsi="Arial" w:cs="Arial"/>
          <w:color w:val="000000" w:themeColor="text1"/>
          <w:sz w:val="22"/>
          <w:szCs w:val="22"/>
        </w:rPr>
        <w:t xml:space="preserve">: This prior uses TF ChIP data when available and TF motif analysis of 48h Th17 ATAC-seq data otherwise. </w:t>
      </w:r>
    </w:p>
    <w:p w14:paraId="0F1F80C7" w14:textId="77777777" w:rsidR="00854B4C" w:rsidRPr="007A0480" w:rsidRDefault="00854B4C" w:rsidP="00854B4C">
      <w:pPr>
        <w:jc w:val="both"/>
        <w:rPr>
          <w:rFonts w:ascii="Arial" w:hAnsi="Arial" w:cs="Arial"/>
          <w:color w:val="000000" w:themeColor="text1"/>
          <w:sz w:val="22"/>
          <w:szCs w:val="22"/>
        </w:rPr>
      </w:pPr>
    </w:p>
    <w:p w14:paraId="469C1E58" w14:textId="77777777" w:rsidR="00854B4C" w:rsidRPr="007A0480" w:rsidRDefault="00854B4C" w:rsidP="00854B4C">
      <w:pPr>
        <w:jc w:val="both"/>
        <w:rPr>
          <w:rFonts w:ascii="Arial" w:hAnsi="Arial" w:cs="Arial"/>
          <w:color w:val="000000" w:themeColor="text1"/>
          <w:sz w:val="22"/>
          <w:szCs w:val="22"/>
        </w:rPr>
      </w:pPr>
      <w:r w:rsidRPr="007A0480">
        <w:rPr>
          <w:rFonts w:ascii="Arial" w:hAnsi="Arial" w:cs="Arial"/>
          <w:i/>
          <w:color w:val="000000" w:themeColor="text1"/>
          <w:sz w:val="22"/>
          <w:szCs w:val="22"/>
        </w:rPr>
        <w:t>ChIP/A(Th17)+KO+A(Th)</w:t>
      </w:r>
      <w:r w:rsidRPr="007A0480">
        <w:rPr>
          <w:rFonts w:ascii="Arial" w:hAnsi="Arial" w:cs="Arial"/>
          <w:color w:val="000000" w:themeColor="text1"/>
          <w:sz w:val="22"/>
          <w:szCs w:val="22"/>
        </w:rPr>
        <w:t xml:space="preserve">: This prior represents a combination of ChIP/A(Th17) prior, the 25 TF KO experiments in the G.S., and A(Th) prior. Each prior matrix was Frobenius-norm normalized and multiplied by the number of TFs, so that the predictions of each TF per prior had comparable weight. The interactions in the normalized priors were then summed, and the sign of prior interaction was determined from KO data, when available. </w:t>
      </w:r>
    </w:p>
    <w:p w14:paraId="6E44FDD1" w14:textId="77777777" w:rsidR="00854B4C" w:rsidRPr="007A0480" w:rsidRDefault="00854B4C" w:rsidP="00854B4C">
      <w:pPr>
        <w:jc w:val="both"/>
        <w:rPr>
          <w:rFonts w:ascii="Arial" w:hAnsi="Arial" w:cs="Arial"/>
          <w:color w:val="000000" w:themeColor="text1"/>
          <w:sz w:val="22"/>
          <w:szCs w:val="22"/>
        </w:rPr>
      </w:pPr>
    </w:p>
    <w:p w14:paraId="67CA31AF" w14:textId="77777777" w:rsidR="00854B4C" w:rsidRPr="007A0480" w:rsidRDefault="00854B4C" w:rsidP="00854B4C">
      <w:pPr>
        <w:jc w:val="both"/>
        <w:rPr>
          <w:rFonts w:ascii="Arial" w:hAnsi="Arial" w:cs="Arial"/>
          <w:color w:val="000000" w:themeColor="text1"/>
          <w:sz w:val="22"/>
          <w:szCs w:val="22"/>
        </w:rPr>
      </w:pPr>
      <w:r w:rsidRPr="007A0480">
        <w:rPr>
          <w:rFonts w:ascii="Arial" w:hAnsi="Arial" w:cs="Arial"/>
          <w:color w:val="000000" w:themeColor="text1"/>
          <w:sz w:val="22"/>
          <w:szCs w:val="22"/>
        </w:rPr>
        <w:t>Given the degeneracy of TF motifs, some TFs had identical target gene sets within ATAC-seq and ENCODE DHS priors. Degenerate TFs were merged for TRN inference. For precision-recall analysis, resulting target edges for merged TFs were included for all degenerate TFs in the set.</w:t>
      </w:r>
    </w:p>
    <w:p w14:paraId="42C4D0DB" w14:textId="77777777" w:rsidR="00B65896" w:rsidRPr="007A0480" w:rsidRDefault="00B65896" w:rsidP="00B65896">
      <w:pPr>
        <w:jc w:val="both"/>
        <w:rPr>
          <w:rFonts w:ascii="Arial" w:hAnsi="Arial" w:cs="Arial"/>
          <w:color w:val="000000" w:themeColor="text1"/>
          <w:sz w:val="22"/>
          <w:szCs w:val="22"/>
        </w:rPr>
      </w:pPr>
    </w:p>
    <w:p w14:paraId="138D2A3E" w14:textId="7468C130" w:rsidR="00B65896" w:rsidRPr="007A0480" w:rsidRDefault="00B65896" w:rsidP="00B65896">
      <w:pPr>
        <w:jc w:val="both"/>
        <w:rPr>
          <w:rFonts w:ascii="Arial" w:hAnsi="Arial" w:cs="Arial"/>
          <w:color w:val="000000" w:themeColor="text1"/>
          <w:sz w:val="22"/>
          <w:szCs w:val="22"/>
        </w:rPr>
      </w:pPr>
      <w:r w:rsidRPr="00B65896">
        <w:rPr>
          <w:rFonts w:ascii="Arial" w:hAnsi="Arial" w:cs="Arial"/>
          <w:b/>
          <w:color w:val="000000" w:themeColor="text1"/>
          <w:sz w:val="22"/>
          <w:szCs w:val="22"/>
          <w:u w:val="single"/>
        </w:rPr>
        <w:t>Sup</w:t>
      </w:r>
      <w:r>
        <w:rPr>
          <w:rFonts w:ascii="Arial" w:hAnsi="Arial" w:cs="Arial"/>
          <w:b/>
          <w:color w:val="000000" w:themeColor="text1"/>
          <w:sz w:val="22"/>
          <w:szCs w:val="22"/>
          <w:u w:val="single"/>
        </w:rPr>
        <w:t>plemental Note 4</w:t>
      </w:r>
      <w:r>
        <w:rPr>
          <w:rFonts w:ascii="Arial" w:hAnsi="Arial" w:cs="Arial"/>
          <w:b/>
          <w:color w:val="000000" w:themeColor="text1"/>
          <w:sz w:val="22"/>
          <w:szCs w:val="22"/>
        </w:rPr>
        <w:t xml:space="preserve">. </w:t>
      </w:r>
      <w:r w:rsidRPr="00B65896">
        <w:rPr>
          <w:rFonts w:ascii="Arial" w:hAnsi="Arial" w:cs="Arial"/>
          <w:b/>
          <w:color w:val="000000" w:themeColor="text1"/>
          <w:sz w:val="22"/>
          <w:szCs w:val="22"/>
        </w:rPr>
        <w:t>Consideration of time-series samples</w:t>
      </w:r>
      <w:r w:rsidRPr="007A0480">
        <w:rPr>
          <w:rFonts w:ascii="Arial" w:hAnsi="Arial" w:cs="Arial"/>
          <w:i/>
          <w:color w:val="000000" w:themeColor="text1"/>
          <w:sz w:val="22"/>
          <w:szCs w:val="22"/>
        </w:rPr>
        <w:t>.</w:t>
      </w:r>
      <w:r w:rsidRPr="007A0480">
        <w:rPr>
          <w:rFonts w:ascii="Arial" w:hAnsi="Arial" w:cs="Arial"/>
          <w:color w:val="000000" w:themeColor="text1"/>
          <w:sz w:val="22"/>
          <w:szCs w:val="22"/>
        </w:rPr>
        <w:t xml:space="preserve"> Our gene expression matrix includes a small fraction of time-series samples (15 out of 254), and so we tested whether linear differential equations, as proposed in the original </w:t>
      </w:r>
      <w:r w:rsidRPr="007A0480">
        <w:rPr>
          <w:rFonts w:ascii="Arial" w:hAnsi="Arial" w:cs="Arial"/>
          <w:i/>
          <w:color w:val="000000" w:themeColor="text1"/>
          <w:sz w:val="22"/>
          <w:szCs w:val="22"/>
        </w:rPr>
        <w:t xml:space="preserve">Inferelator </w:t>
      </w:r>
      <w:r w:rsidRPr="007A0480">
        <w:rPr>
          <w:rFonts w:ascii="Arial" w:hAnsi="Arial" w:cs="Arial"/>
          <w:color w:val="000000" w:themeColor="text1"/>
          <w:sz w:val="22"/>
          <w:szCs w:val="22"/>
        </w:rPr>
        <w:t xml:space="preserve">algorithm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{"citationItems":[{"id":"ITEM-1","itemData":{"DOI":"10.1186/gb-2006-7-5-r36","ISBN":"1465-6914","ISSN":"1465-6906","PMID":"16686963","abstract":"We present a method (the Inferelator) for deriving genome-wide transcriptional regulatory interactions, and apply the method to predict a large portion of the regulatory network of the archaeon &lt;Emphasis Type=\"Italic\"&gt;Halobacterium NRC-1&lt;/Emphasis&gt;. The Inferelator uses regression and variable selection to identify transcriptional influences on genes based on the integration of genome annotation and expression data. The learned network successfully predicted &lt;Emphasis Type=\"Italic\"&gt;Halobacterium&lt;/Emphasis&gt;'s global expression under novel perturbations with predictive power similar to that seen over training data. Several specific regulatory predictions were experimentally tested and verified.","author":[{"dropping-particle":"","family":"Bonneau","given":"Richard","non-dropping-particle":"","parse-names":false,"suffix":""},{"dropping-particle":"","family":"Reiss","given":"David J","non-dropping-particle":"","parse-names":false,"suffix":""},{"dropping-particle":"","family":"Shannon","given":"Paul","non-dropping-particle":"","parse-names":false,"suffix":""},{"dropping-particle":"","family":"Facciotti","given":"Marc","non-dropping-particle":"","parse-names":false,"suffix":""},{"dropping-particle":"","family":"Hood","given":"Leroy","non-dropping-particle":"","parse-names":false,"suffix":""},{"dropping-particle":"","family":"Baliga","given":"Nitin S","non-dropping-particle":"","parse-names":false,"suffix":""},{"dropping-particle":"","family":"Thorsson","given":"Vesteinn","non-dropping-particle":"","parse-names":false,"suffix":""}],"container-title":"Genome Biology","id":"ITEM-1","issue":"5","issued":{"date-parts":[["2006"]]},"page":"1","title":"The Inferelator: an algorithm for learning parsimonious regulatory networks from systems-biology data sets de novo","type":"article-journal","volume":"7"},"uris":["http://www.mendeley.com/documents/?uuid=9cd949a7-9bc3-4fcd-9499-0e4b0c2edf90"]}],"mendeley":{"formattedCitation":"(Bonneau et al. 2006)","plainTextFormattedCitation":"(Bonneau et al. 2006)","previouslyFormattedCitation":"(Bonneau et al. 2006)"},"properties":{"noteIndex":0},"schema":"https://github.com/citation-style-language/schema/raw/master/csl-citation.json"}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(Bonneau et al. 2006)</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would improve inference over the steady-state assumpt</w:t>
      </w:r>
      <w:r w:rsidRPr="00D72ADD">
        <w:rPr>
          <w:rFonts w:ascii="Arial" w:hAnsi="Arial" w:cs="Arial"/>
          <w:color w:val="000000" w:themeColor="text1"/>
          <w:sz w:val="22"/>
          <w:szCs w:val="22"/>
        </w:rPr>
        <w:t>ion (</w:t>
      </w:r>
      <w:r w:rsidRPr="00D72ADD">
        <w:rPr>
          <w:rFonts w:ascii="Arial" w:hAnsi="Arial" w:cs="Arial"/>
          <w:b/>
          <w:color w:val="000000" w:themeColor="text1"/>
          <w:sz w:val="22"/>
          <w:szCs w:val="22"/>
        </w:rPr>
        <w:t>Equation 1</w:t>
      </w:r>
      <w:r w:rsidRPr="00D72ADD">
        <w:rPr>
          <w:rFonts w:ascii="Arial" w:hAnsi="Arial" w:cs="Arial"/>
          <w:color w:val="000000" w:themeColor="text1"/>
          <w:sz w:val="22"/>
          <w:szCs w:val="22"/>
        </w:rPr>
        <w:t xml:space="preserve">) for our particular </w:t>
      </w:r>
      <w:r w:rsidRPr="007A0480">
        <w:rPr>
          <w:rFonts w:ascii="Arial" w:hAnsi="Arial" w:cs="Arial"/>
          <w:color w:val="000000" w:themeColor="text1"/>
          <w:sz w:val="22"/>
          <w:szCs w:val="22"/>
        </w:rPr>
        <w:t xml:space="preserve">experimental design. </w:t>
      </w:r>
      <w:r w:rsidRPr="007A0480">
        <w:rPr>
          <w:rFonts w:ascii="Arial" w:eastAsia="Times New Roman" w:hAnsi="Arial" w:cs="Arial"/>
          <w:color w:val="000000" w:themeColor="text1"/>
          <w:sz w:val="22"/>
          <w:szCs w:val="22"/>
        </w:rPr>
        <w:t>For prior-based TFA (in contrast to TF mRNA), there is no obvious biological motivation for time-lag. However, given that TF mRNA is used to estimate the activities of TFs without prior information (~60% of TFs in our study), the steady-state assumption could also affect prior-based TFA.</w:t>
      </w:r>
      <w:r w:rsidRPr="007A0480">
        <w:rPr>
          <w:rFonts w:ascii="Arial" w:hAnsi="Arial" w:cs="Arial"/>
          <w:color w:val="000000" w:themeColor="text1"/>
          <w:sz w:val="22"/>
          <w:szCs w:val="22"/>
        </w:rPr>
        <w:t xml:space="preserve"> Using the time-lag parameter tau (30 minutes) from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{"citationItems":[{"id":"ITEM-1","itemData":{"DOI":"10.1016/j.cell.2012.09.016","ISSN":"1097-4172","PMID":"23021777","abstract":"Th17 cells have critical roles in mucosal defense and are major contributors to inflammatory disease. Their differentiation requires the nuclear hormone receptor RORγt working with multiple other essential transcription factors (TFs). We have used an iterative systems approach, combining genome-wide TF occupancy, expression profiling of TF mutants, and expression time series to delineate the Th17 global transcriptional regulatory network. We find that cooperatively bound BATF and IRF4 contribute to initial chromatin accessibility and, with STAT3, initiate a transcriptional program that is then globally tuned by the lineage-specifying TF RORγt, which plays a focal deterministic role at key loci. Integration of multiple data sets allowed inference of an accurate predictive model that we computationally and experimentally validated, identifying multiple new Th17 regulators, including Fosl2, a key determinant of cellular plasticity. This interconnected network can be used to investigate new therapeutic approaches to manipulate Th17 functions in the setting of inflammatory disease.","author":[{"dropping-particle":"","family":"Ciofani","given":"Maria","non-dropping-particle":"","parse-names":false,"suffix":""},{"dropping-particle":"","family":"Madar","given":"Aviv","non-dropping-particle":"","parse-names":false,"suffix":""},{"dropping-particle":"","family":"Galan","given":"Carolina","non-dropping-particle":"","parse-names":false,"suffix":""},{"dropping-particle":"","family":"Sellars","given":"Maclean","non-dropping-particle":"","parse-names":false,"suffix":""},{"dropping-particle":"","family":"Mace","given":"Kieran","non-dropping-particle":"","parse-names":false,"suffix":""},{"dropping-particle":"","family":"Pauli","given":"Florencia","non-dropping-particle":"","parse-names":false,"suffix":""},{"dropping-particle":"","family":"Agarwal","given":"Ashish","non-dropping-particle":"","parse-names":false,"suffix":""},{"dropping-particle":"","family":"Huang","given":"Wendy","non-dropping-particle":"","parse-names":false,"suffix":""},{"dropping-particle":"","family":"Parkurst","given":"Christopher N","non-dropping-particle":"","parse-names":false,"suffix":""},{"dropping-particle":"","family":"Muratet","given":"Michael","non-dropping-particle":"","parse-names":false,"suffix":""},{"dropping-particle":"","family":"Newberry","given":"Kim M","non-dropping-particle":"","parse-names":false,"suffix":""},{"dropping-particle":"","family":"Meadows","given":"Sarah","non-dropping-particle":"","parse-names":false,"suffix":""},{"dropping-particle":"","family":"Greenfield","given":"Alex","non-dropping-particle":"","parse-names":false,"suffix":""},{"dropping-particle":"","family":"Yang","given":"Yi","non-dropping-particle":"","parse-names":false,"suffix":""},{"dropping-particle":"","family":"Jain","given":"Preti","non-dropping-particle":"","parse-names":false,"suffix":""},{"dropping-particle":"","family":"Kirigin","given":"Francis K","non-dropping-particle":"","parse-names":false,"suffix":""},{"dropping-particle":"","family":"Birchmeier","given":"Carmen","non-dropping-particle":"","parse-names":false,"suffix":""},{"dropping-particle":"","family":"Wagner","given":"Erwin F","non-dropping-particle":"","parse-names":false,"suffix":""},{"dropping-particle":"","family":"Murphy","given":"Kenneth M","non-dropping-particle":"","parse-names":false,"suffix":""},{"dropping-particle":"","family":"Myers","given":"Richard M","non-dropping-particle":"","parse-names":false,"suffix":""},{"dropping-particle":"","family":"Bonneau","given":"Richard","non-dropping-particle":"","parse-names":false,"suffix":""},{"dropping-particle":"","family":"Littman","given":"Dan R","non-dropping-particle":"","parse-names":false,"suffix":""}],"container-title":"Cell","id":"ITEM-1","issue":"2","issued":{"date-parts":[["2012","10","12"]]},"page":"289-303","publisher":"Elsevier Inc.","title":"A validated regulatory network for Th17 cell specification.","type":"article-journal","volume":"151"},"uris":["http://www.mendeley.com/documents/?uuid=87a624dc-a9a4-4ffc-9f90-6828a47b2582"]}],"mendeley":{"formattedCitation":"(Ciofani et al. 2012)","plainTextFormattedCitation":"(Ciofani et al. 2012)","previouslyFormattedCitation":"(Ciofani et al. 2012)"},"properties":{"noteIndex":0},"schema":"https://github.com/citation-style-language/schema/raw/master/csl-citation.json"}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(Ciofani et al. 2012)</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we compared performance between TRNs built with and without time-lag. Precision-recall of the KO+ChIP and KO G.S.’s did not change between time-lagged and steady-state models (</w:t>
      </w:r>
      <w:r>
        <w:rPr>
          <w:rFonts w:ascii="Arial" w:hAnsi="Arial" w:cs="Arial"/>
          <w:b/>
          <w:color w:val="000000" w:themeColor="text1"/>
          <w:sz w:val="22"/>
          <w:szCs w:val="22"/>
        </w:rPr>
        <w:t xml:space="preserve">Supplemental Fig. </w:t>
      </w:r>
      <w:r w:rsidR="0099775E">
        <w:rPr>
          <w:rFonts w:ascii="Arial" w:hAnsi="Arial" w:cs="Arial"/>
          <w:b/>
          <w:color w:val="000000" w:themeColor="text1"/>
          <w:sz w:val="22"/>
          <w:szCs w:val="22"/>
        </w:rPr>
        <w:t>S2</w:t>
      </w:r>
      <w:r w:rsidR="00AD6C7A">
        <w:rPr>
          <w:rFonts w:ascii="Arial" w:hAnsi="Arial" w:cs="Arial"/>
          <w:b/>
          <w:color w:val="000000" w:themeColor="text1"/>
          <w:sz w:val="22"/>
          <w:szCs w:val="22"/>
        </w:rPr>
        <w:t>3</w:t>
      </w:r>
      <w:r w:rsidRPr="007A0480">
        <w:rPr>
          <w:rFonts w:ascii="Arial" w:hAnsi="Arial" w:cs="Arial"/>
          <w:color w:val="000000" w:themeColor="text1"/>
          <w:sz w:val="22"/>
          <w:szCs w:val="22"/>
        </w:rPr>
        <w:t>). However, we do recommend linear modeling of differential gene expression for study designs involving more time-series data, and we provide workflows with this option in our codebase (</w:t>
      </w:r>
      <w:r w:rsidRPr="007A0480">
        <w:rPr>
          <w:rFonts w:ascii="Arial" w:hAnsi="Arial" w:cs="Arial"/>
          <w:color w:val="000000" w:themeColor="text1"/>
          <w:sz w:val="22"/>
          <w:szCs w:val="22"/>
          <w:u w:val="single"/>
        </w:rPr>
        <w:t>https://github.com/emiraldi/infTRN_lassoStARS.git</w:t>
      </w:r>
      <w:r w:rsidRPr="007A0480">
        <w:rPr>
          <w:rFonts w:ascii="Arial" w:hAnsi="Arial" w:cs="Arial"/>
          <w:color w:val="000000" w:themeColor="text1"/>
          <w:sz w:val="22"/>
          <w:szCs w:val="22"/>
        </w:rPr>
        <w:t>).</w:t>
      </w:r>
    </w:p>
    <w:p w14:paraId="3E28EACF" w14:textId="2320293E" w:rsidR="00B65896" w:rsidRDefault="00B65896" w:rsidP="000C0876">
      <w:pPr>
        <w:jc w:val="both"/>
        <w:outlineLvl w:val="0"/>
        <w:rPr>
          <w:rFonts w:ascii="Arial" w:hAnsi="Arial" w:cs="Arial"/>
          <w:b/>
          <w:sz w:val="22"/>
          <w:szCs w:val="22"/>
          <w:u w:val="single"/>
        </w:rPr>
      </w:pPr>
    </w:p>
    <w:p w14:paraId="03220DBD" w14:textId="3E3ED565" w:rsidR="004F6DAA" w:rsidRDefault="004F6DAA" w:rsidP="004F6DAA">
      <w:pPr>
        <w:jc w:val="both"/>
        <w:rPr>
          <w:rFonts w:ascii="Arial" w:eastAsiaTheme="minorEastAsia" w:hAnsi="Arial" w:cs="Arial"/>
          <w:color w:val="000000" w:themeColor="text1"/>
          <w:sz w:val="22"/>
          <w:szCs w:val="22"/>
        </w:rPr>
      </w:pPr>
      <w:r>
        <w:rPr>
          <w:rFonts w:ascii="Arial" w:hAnsi="Arial" w:cs="Arial"/>
          <w:b/>
          <w:sz w:val="22"/>
          <w:szCs w:val="22"/>
          <w:u w:val="single"/>
        </w:rPr>
        <w:t>Supplemental Note 5</w:t>
      </w:r>
      <w:r w:rsidRPr="004F6DAA">
        <w:rPr>
          <w:rFonts w:ascii="Arial" w:hAnsi="Arial" w:cs="Arial"/>
          <w:b/>
          <w:sz w:val="22"/>
          <w:szCs w:val="22"/>
        </w:rPr>
        <w:t>.</w:t>
      </w:r>
      <w:r>
        <w:rPr>
          <w:rFonts w:ascii="Arial" w:hAnsi="Arial" w:cs="Arial"/>
          <w:b/>
          <w:sz w:val="22"/>
          <w:szCs w:val="22"/>
        </w:rPr>
        <w:t xml:space="preserve"> Evaluating StARS for TRN inference. </w:t>
      </w:r>
      <w:r w:rsidRPr="007A0480">
        <w:rPr>
          <w:rFonts w:ascii="Arial" w:eastAsiaTheme="minorEastAsia" w:hAnsi="Arial" w:cs="Arial"/>
          <w:color w:val="000000" w:themeColor="text1"/>
          <w:sz w:val="22"/>
          <w:szCs w:val="22"/>
        </w:rPr>
        <w:t xml:space="preserve">We tested two ways of calculating average instability: for each gene model individually (“per-gene”) and for all gene models at a given </w:t>
      </w:r>
      <m:oMath>
        <m:r>
          <w:rPr>
            <w:rFonts w:ascii="Cambria Math" w:hAnsi="Cambria Math" w:cs="Arial"/>
            <w:color w:val="000000" w:themeColor="text1"/>
            <w:sz w:val="22"/>
            <w:szCs w:val="22"/>
          </w:rPr>
          <m:t>λ</m:t>
        </m:r>
      </m:oMath>
      <w:r w:rsidRPr="007A0480">
        <w:rPr>
          <w:rFonts w:ascii="Arial" w:eastAsiaTheme="minorEastAsia" w:hAnsi="Arial" w:cs="Arial"/>
          <w:color w:val="000000" w:themeColor="text1"/>
          <w:sz w:val="22"/>
          <w:szCs w:val="22"/>
        </w:rPr>
        <w:t xml:space="preserve"> (“network”). We reasoned that “per-gene” estimates might lead to better models for each gene, but the “network” average instability estimates would be more stable, requiring less search time for the </w:t>
      </w:r>
      <m:oMath>
        <m:r>
          <w:rPr>
            <w:rFonts w:ascii="Cambria Math" w:hAnsi="Cambria Math" w:cs="Arial"/>
            <w:color w:val="000000" w:themeColor="text1"/>
            <w:sz w:val="22"/>
            <w:szCs w:val="22"/>
          </w:rPr>
          <m:t>λ</m:t>
        </m:r>
      </m:oMath>
      <w:r w:rsidRPr="007A0480">
        <w:rPr>
          <w:rFonts w:ascii="Arial" w:eastAsiaTheme="minorEastAsia" w:hAnsi="Arial" w:cs="Arial"/>
          <w:color w:val="000000" w:themeColor="text1"/>
          <w:sz w:val="22"/>
          <w:szCs w:val="22"/>
        </w:rPr>
        <w:t xml:space="preserve"> corresponding to the desired instability cuto</w:t>
      </w:r>
      <w:r w:rsidRPr="00D72ADD">
        <w:rPr>
          <w:rFonts w:ascii="Arial" w:eastAsiaTheme="minorEastAsia" w:hAnsi="Arial" w:cs="Arial"/>
          <w:color w:val="000000" w:themeColor="text1"/>
          <w:sz w:val="22"/>
          <w:szCs w:val="22"/>
        </w:rPr>
        <w:t>ff (</w:t>
      </w:r>
      <w:r w:rsidRPr="00D72ADD">
        <w:rPr>
          <w:rFonts w:ascii="Arial" w:eastAsiaTheme="minorEastAsia" w:hAnsi="Arial" w:cs="Arial"/>
          <w:b/>
          <w:color w:val="000000" w:themeColor="text1"/>
          <w:sz w:val="22"/>
          <w:szCs w:val="22"/>
        </w:rPr>
        <w:t>Supplemental Fig. S2</w:t>
      </w:r>
      <w:r w:rsidR="00E51E49">
        <w:rPr>
          <w:rFonts w:ascii="Arial" w:eastAsiaTheme="minorEastAsia" w:hAnsi="Arial" w:cs="Arial"/>
          <w:b/>
          <w:color w:val="000000" w:themeColor="text1"/>
          <w:sz w:val="22"/>
          <w:szCs w:val="22"/>
        </w:rPr>
        <w:t>4</w:t>
      </w:r>
      <w:r w:rsidRPr="00D72ADD">
        <w:rPr>
          <w:rFonts w:ascii="Arial" w:eastAsiaTheme="minorEastAsia" w:hAnsi="Arial" w:cs="Arial"/>
          <w:color w:val="000000" w:themeColor="text1"/>
          <w:sz w:val="22"/>
          <w:szCs w:val="22"/>
        </w:rPr>
        <w:t>). We visualized the distribution of subsampled TF-gene edge frequencies for per-gene and network average instability estimates at cutoffs = .05, .1 and .2 (</w:t>
      </w:r>
      <w:r w:rsidRPr="00D72ADD">
        <w:rPr>
          <w:rFonts w:ascii="Arial" w:eastAsiaTheme="minorEastAsia" w:hAnsi="Arial" w:cs="Arial"/>
          <w:b/>
          <w:color w:val="000000" w:themeColor="text1"/>
          <w:sz w:val="22"/>
          <w:szCs w:val="22"/>
        </w:rPr>
        <w:t>Supplemental Fig. S2</w:t>
      </w:r>
      <w:r w:rsidR="00E51E49">
        <w:rPr>
          <w:rFonts w:ascii="Arial" w:eastAsiaTheme="minorEastAsia" w:hAnsi="Arial" w:cs="Arial"/>
          <w:b/>
          <w:color w:val="000000" w:themeColor="text1"/>
          <w:sz w:val="22"/>
          <w:szCs w:val="22"/>
        </w:rPr>
        <w:t>5</w:t>
      </w:r>
      <w:r w:rsidRPr="00D72ADD">
        <w:rPr>
          <w:rFonts w:ascii="Arial" w:eastAsiaTheme="minorEastAsia" w:hAnsi="Arial" w:cs="Arial"/>
          <w:color w:val="000000" w:themeColor="text1"/>
          <w:sz w:val="22"/>
          <w:szCs w:val="22"/>
        </w:rPr>
        <w:t>). Typically, the edges selected for the final network are those that are stably nonzero (i.e., present), with an instability less than or equal to the cutoff. For both per-gen</w:t>
      </w:r>
      <w:r w:rsidRPr="007A0480">
        <w:rPr>
          <w:rFonts w:ascii="Arial" w:eastAsiaTheme="minorEastAsia" w:hAnsi="Arial" w:cs="Arial"/>
          <w:color w:val="000000" w:themeColor="text1"/>
          <w:sz w:val="22"/>
          <w:szCs w:val="22"/>
        </w:rPr>
        <w:t xml:space="preserve">e and network average instability estimates, we noted that the average network size ranged from ~3.5 TFs/gene to ~9 TFs/gene </w:t>
      </w:r>
      <w:r w:rsidRPr="007A0480">
        <w:rPr>
          <w:rFonts w:ascii="Arial" w:eastAsiaTheme="minorEastAsia" w:hAnsi="Arial" w:cs="Arial"/>
          <w:color w:val="000000" w:themeColor="text1"/>
          <w:sz w:val="22"/>
          <w:szCs w:val="22"/>
        </w:rPr>
        <w:lastRenderedPageBreak/>
        <w:t xml:space="preserve">for the default cutoff .05 to .2. Thus, conventional filtering of edges with StARS would lead to very sparse models, especially using the recommended .05 cutoff. </w:t>
      </w:r>
    </w:p>
    <w:p w14:paraId="46BB753B" w14:textId="208D454F" w:rsidR="002B7EE6" w:rsidRDefault="002B7EE6" w:rsidP="004F6DAA">
      <w:pPr>
        <w:jc w:val="both"/>
        <w:rPr>
          <w:rFonts w:ascii="Arial" w:eastAsiaTheme="minorEastAsia" w:hAnsi="Arial" w:cs="Arial"/>
          <w:color w:val="000000" w:themeColor="text1"/>
          <w:sz w:val="22"/>
          <w:szCs w:val="22"/>
        </w:rPr>
      </w:pPr>
    </w:p>
    <w:p w14:paraId="42A9BF6D" w14:textId="367739D3" w:rsidR="0041030C" w:rsidRPr="00D72ADD" w:rsidRDefault="002B7EE6" w:rsidP="002B7EE6">
      <w:pPr>
        <w:jc w:val="both"/>
        <w:rPr>
          <w:rFonts w:ascii="Arial" w:eastAsiaTheme="minorEastAsia" w:hAnsi="Arial" w:cs="Arial"/>
          <w:color w:val="000000" w:themeColor="text1"/>
          <w:sz w:val="22"/>
          <w:szCs w:val="22"/>
        </w:rPr>
      </w:pPr>
      <w:r w:rsidRPr="00D72ADD">
        <w:rPr>
          <w:rFonts w:ascii="Arial" w:eastAsiaTheme="minorEastAsia" w:hAnsi="Arial" w:cs="Arial"/>
          <w:color w:val="000000" w:themeColor="text1"/>
          <w:sz w:val="22"/>
          <w:szCs w:val="22"/>
        </w:rPr>
        <w:t xml:space="preserve">As we had done previously with application of StARS to ecological network inference </w:t>
      </w:r>
      <w:r w:rsidRPr="00D72ADD">
        <w:rPr>
          <w:rFonts w:ascii="Arial" w:eastAsiaTheme="minorEastAsia" w:hAnsi="Arial" w:cs="Arial"/>
          <w:color w:val="000000" w:themeColor="text1"/>
          <w:sz w:val="22"/>
          <w:szCs w:val="22"/>
        </w:rPr>
        <w:fldChar w:fldCharType="begin" w:fldLock="1"/>
      </w:r>
      <w:r w:rsidR="008460C9">
        <w:rPr>
          <w:rFonts w:ascii="Arial" w:eastAsiaTheme="minorEastAsia" w:hAnsi="Arial" w:cs="Arial"/>
          <w:color w:val="000000" w:themeColor="text1"/>
          <w:sz w:val="22"/>
          <w:szCs w:val="22"/>
        </w:rPr>
        <w:instrText>ADDIN CSL_CITATION {"citationItems":[{"id":"ITEM-1","itemData":{"DOI":"10.1371/journal.pcbi.1004226","PMID":"25950956","abstract":"Genomic survey of microbes by 16S rRNA gene sequencing and metagenomics has inspired appreciation for the role of complex communities in diverse ecosystems. However, due to the unique properties of community composition data, standard data analysis tools are likely to produce statistical artifacts. For a typical experiment studying microbial ecosystems these artifacts can lead to erroneous conclusions about patterns of associations between microbial taxa. We developed a new procedure that seeks to infer ecological associations between microbial populations, by 1) taking advantage of the proportionality invariance of relative abundance data and 2) making assumptions about the underlying network structure when the number of taxa in the dataset is larger than the number of sampled communities. Additionally, we employed a novel tool to generate biologically plausible synthetic data and objectively benchmark current association inference tools. Finally, we tested our procedures on a large-scale 16S rRNA gene sequencing dataset sampled from the human gut.","author":[{"dropping-particle":"","family":"Kurtz","given":"Zachary D","non-dropping-particle":"","parse-names":false,"suffix":""},{"dropping-particle":"","family":"Müller","given":"Christian L","non-dropping-particle":"","parse-names":false,"suffix":""},{"dropping-particle":"","family":"Miraldi","given":"Emily R","non-dropping-particle":"","parse-names":false,"suffix":""},{"dropping-particle":"","family":"Littman","given":"Dan R","non-dropping-particle":"","parse-names":false,"suffix":""},{"dropping-particle":"","family":"Blaser","given":"Martin J","non-dropping-particle":"","parse-names":false,"suffix":""},{"dropping-particle":"","family":"Bonneau","given":"Richard A","non-dropping-particle":"","parse-names":false,"suffix":""}],"container-title":"PLoS Comput Biol","id":"ITEM-1","issue":"5","issued":{"date-parts":[["2015"]]},"page":"e1004226","publisher":"Public Library of Science","title":"Sparse and Compositionally Robust Inference of Microbial Ecological Networks","type":"article-journal","volume":"11"},"uris":["http://www.mendeley.com/documents/?uuid=bf9223b3-c146-48f0-892e-52415ecf8ba1"]}],"mendeley":{"formattedCitation":"(Kurtz et al. 2015)","plainTextFormattedCitation":"(Kurtz et al. 2015)","previouslyFormattedCitation":"(Kurtz et al. 2015)"},"properties":{"noteIndex":0},"schema":"https://github.com/citation-style-language/schema/raw/master/csl-citation.json"}</w:instrText>
      </w:r>
      <w:r w:rsidRPr="00D72ADD">
        <w:rPr>
          <w:rFonts w:ascii="Arial" w:eastAsiaTheme="minorEastAsia" w:hAnsi="Arial" w:cs="Arial"/>
          <w:color w:val="000000" w:themeColor="text1"/>
          <w:sz w:val="22"/>
          <w:szCs w:val="22"/>
        </w:rPr>
        <w:fldChar w:fldCharType="separate"/>
      </w:r>
      <w:r w:rsidR="009E17FE" w:rsidRPr="009E17FE">
        <w:rPr>
          <w:rFonts w:ascii="Arial" w:eastAsiaTheme="minorEastAsia" w:hAnsi="Arial" w:cs="Arial"/>
          <w:noProof/>
          <w:color w:val="000000" w:themeColor="text1"/>
          <w:sz w:val="22"/>
          <w:szCs w:val="22"/>
        </w:rPr>
        <w:t>(Kurtz et al. 2015)</w:t>
      </w:r>
      <w:r w:rsidRPr="00D72ADD">
        <w:rPr>
          <w:rFonts w:ascii="Arial" w:eastAsiaTheme="minorEastAsia" w:hAnsi="Arial" w:cs="Arial"/>
          <w:color w:val="000000" w:themeColor="text1"/>
          <w:sz w:val="22"/>
          <w:szCs w:val="22"/>
        </w:rPr>
        <w:fldChar w:fldCharType="end"/>
      </w:r>
      <w:r w:rsidRPr="00D72ADD">
        <w:rPr>
          <w:rFonts w:ascii="Arial" w:eastAsiaTheme="minorEastAsia" w:hAnsi="Arial" w:cs="Arial"/>
          <w:color w:val="000000" w:themeColor="text1"/>
          <w:sz w:val="22"/>
          <w:szCs w:val="22"/>
        </w:rPr>
        <w:t>, interactions were ranked according to nonzero subsamples per edge. However, this led to a plateau at the beginning of the precision-recall curve (at high precision, low recall) for 50 subsamples (</w:t>
      </w:r>
      <w:r w:rsidRPr="00D72ADD">
        <w:rPr>
          <w:rFonts w:ascii="Arial" w:eastAsiaTheme="minorEastAsia" w:hAnsi="Arial" w:cs="Arial"/>
          <w:b/>
          <w:color w:val="000000" w:themeColor="text1"/>
          <w:sz w:val="22"/>
          <w:szCs w:val="22"/>
        </w:rPr>
        <w:t>Supplemental Fig. S26A</w:t>
      </w:r>
      <w:r w:rsidRPr="00D72ADD">
        <w:rPr>
          <w:rFonts w:ascii="Arial" w:eastAsiaTheme="minorEastAsia" w:hAnsi="Arial" w:cs="Arial"/>
          <w:color w:val="000000" w:themeColor="text1"/>
          <w:sz w:val="22"/>
          <w:szCs w:val="22"/>
        </w:rPr>
        <w:t>), and the plateau was not much improved by more time-consuming calculations involving 100 or 200 subsamples. Thus, we proposed:</w:t>
      </w:r>
    </w:p>
    <w:p w14:paraId="780F09C9" w14:textId="73046F7B" w:rsidR="002B7EE6" w:rsidRPr="00D72ADD" w:rsidRDefault="002B7EE6" w:rsidP="0041030C">
      <w:pPr>
        <w:jc w:val="center"/>
        <w:rPr>
          <w:rFonts w:ascii="Arial" w:eastAsiaTheme="minorEastAsia" w:hAnsi="Arial" w:cs="Arial"/>
          <w:color w:val="000000" w:themeColor="text1"/>
          <w:sz w:val="22"/>
          <w:szCs w:val="22"/>
        </w:rPr>
      </w:pPr>
      <w:r w:rsidRPr="00D72ADD">
        <w:rPr>
          <w:rFonts w:ascii="Arial" w:eastAsiaTheme="minorEastAsia" w:hAnsi="Arial" w:cs="Arial"/>
          <w:color w:val="000000" w:themeColor="text1"/>
          <w:sz w:val="22"/>
          <w:szCs w:val="22"/>
        </w:rPr>
        <w:t>Confidence(</w:t>
      </w:r>
      <w:r w:rsidRPr="00D72ADD">
        <w:rPr>
          <w:rFonts w:ascii="Cambria Math" w:eastAsiaTheme="minorEastAsia" w:hAnsi="Cambria Math" w:cs="Arial"/>
          <w:color w:val="000000" w:themeColor="text1"/>
          <w:sz w:val="22"/>
          <w:szCs w:val="22"/>
        </w:rPr>
        <w:t>i,k</w:t>
      </w:r>
      <w:r w:rsidRPr="00D72ADD">
        <w:rPr>
          <w:rFonts w:ascii="Arial" w:eastAsiaTheme="minorEastAsia" w:hAnsi="Arial" w:cs="Arial"/>
          <w:color w:val="000000" w:themeColor="text1"/>
          <w:sz w:val="22"/>
          <w:szCs w:val="22"/>
        </w:rPr>
        <w:t>) = Nonzero Subsamples + |</w:t>
      </w:r>
      <w:r w:rsidRPr="00D72ADD">
        <w:rPr>
          <w:rFonts w:ascii="Arial" w:eastAsiaTheme="minorEastAsia" w:hAnsi="Arial" w:cs="Arial"/>
          <w:i/>
          <w:color w:val="000000" w:themeColor="text1"/>
          <w:sz w:val="22"/>
          <w:szCs w:val="22"/>
        </w:rPr>
        <w:t>pcorr</w:t>
      </w:r>
      <w:r w:rsidRPr="00D72ADD">
        <w:rPr>
          <w:rFonts w:ascii="Arial" w:eastAsiaTheme="minorEastAsia" w:hAnsi="Arial" w:cs="Arial"/>
          <w:color w:val="000000" w:themeColor="text1"/>
          <w:sz w:val="22"/>
          <w:szCs w:val="22"/>
        </w:rPr>
        <w:t>(</w:t>
      </w:r>
      <w:r w:rsidRPr="00D72ADD">
        <w:rPr>
          <w:rFonts w:ascii="Cambria Math" w:eastAsiaTheme="minorEastAsia" w:hAnsi="Cambria Math" w:cs="Arial"/>
          <w:color w:val="000000" w:themeColor="text1"/>
          <w:sz w:val="22"/>
          <w:szCs w:val="22"/>
        </w:rPr>
        <w:t>i,k</w:t>
      </w:r>
      <w:r w:rsidRPr="00D72ADD">
        <w:rPr>
          <w:rFonts w:ascii="Arial" w:eastAsiaTheme="minorEastAsia" w:hAnsi="Arial" w:cs="Arial"/>
          <w:color w:val="000000" w:themeColor="text1"/>
          <w:sz w:val="22"/>
          <w:szCs w:val="22"/>
        </w:rPr>
        <w:t>)|, [</w:t>
      </w:r>
      <w:r w:rsidRPr="00D72ADD">
        <w:rPr>
          <w:rFonts w:ascii="Arial" w:eastAsiaTheme="minorEastAsia" w:hAnsi="Arial" w:cs="Arial"/>
          <w:b/>
          <w:color w:val="000000" w:themeColor="text1"/>
          <w:sz w:val="22"/>
          <w:szCs w:val="22"/>
        </w:rPr>
        <w:t>Equation 4</w:t>
      </w:r>
      <w:r w:rsidRPr="00D72ADD">
        <w:rPr>
          <w:rFonts w:ascii="Arial" w:eastAsiaTheme="minorEastAsia" w:hAnsi="Arial" w:cs="Arial"/>
          <w:color w:val="000000" w:themeColor="text1"/>
          <w:sz w:val="22"/>
          <w:szCs w:val="22"/>
        </w:rPr>
        <w:t>]</w:t>
      </w:r>
    </w:p>
    <w:p w14:paraId="6C54E4C6" w14:textId="77777777" w:rsidR="002B7EE6" w:rsidRPr="00D72ADD" w:rsidRDefault="002B7EE6" w:rsidP="004F6DAA">
      <w:pPr>
        <w:jc w:val="both"/>
        <w:rPr>
          <w:rFonts w:ascii="Arial" w:eastAsiaTheme="minorEastAsia" w:hAnsi="Arial" w:cs="Arial"/>
          <w:color w:val="000000" w:themeColor="text1"/>
          <w:sz w:val="22"/>
          <w:szCs w:val="22"/>
        </w:rPr>
      </w:pPr>
      <w:r w:rsidRPr="00D72ADD">
        <w:rPr>
          <w:rFonts w:ascii="Arial" w:eastAsiaTheme="minorEastAsia" w:hAnsi="Arial" w:cs="Arial"/>
          <w:color w:val="000000" w:themeColor="text1"/>
          <w:sz w:val="22"/>
          <w:szCs w:val="22"/>
        </w:rPr>
        <w:t xml:space="preserve">where </w:t>
      </w:r>
      <w:r w:rsidRPr="00D72ADD">
        <w:rPr>
          <w:rFonts w:ascii="Cambria Math" w:eastAsiaTheme="minorEastAsia" w:hAnsi="Cambria Math" w:cs="Arial"/>
          <w:color w:val="000000" w:themeColor="text1"/>
          <w:sz w:val="22"/>
          <w:szCs w:val="22"/>
        </w:rPr>
        <w:t>i</w:t>
      </w:r>
      <w:r w:rsidRPr="00D72ADD">
        <w:rPr>
          <w:rFonts w:ascii="Arial" w:eastAsiaTheme="minorEastAsia" w:hAnsi="Arial" w:cs="Arial"/>
          <w:color w:val="000000" w:themeColor="text1"/>
          <w:sz w:val="22"/>
          <w:szCs w:val="22"/>
        </w:rPr>
        <w:t xml:space="preserve"> and </w:t>
      </w:r>
      <w:r w:rsidRPr="00D72ADD">
        <w:rPr>
          <w:rFonts w:ascii="Cambria Math" w:eastAsiaTheme="minorEastAsia" w:hAnsi="Cambria Math" w:cs="Arial"/>
          <w:color w:val="000000" w:themeColor="text1"/>
          <w:sz w:val="22"/>
          <w:szCs w:val="22"/>
        </w:rPr>
        <w:t>k</w:t>
      </w:r>
      <w:r w:rsidRPr="00D72ADD">
        <w:rPr>
          <w:rFonts w:ascii="Arial" w:eastAsiaTheme="minorEastAsia" w:hAnsi="Arial" w:cs="Arial"/>
          <w:color w:val="000000" w:themeColor="text1"/>
          <w:sz w:val="22"/>
          <w:szCs w:val="22"/>
        </w:rPr>
        <w:t xml:space="preserve">, again correspond to gene </w:t>
      </w:r>
      <w:r w:rsidRPr="00D72ADD">
        <w:rPr>
          <w:rFonts w:ascii="Cambria Math" w:eastAsiaTheme="minorEastAsia" w:hAnsi="Cambria Math" w:cs="Arial"/>
          <w:color w:val="000000" w:themeColor="text1"/>
          <w:sz w:val="22"/>
          <w:szCs w:val="22"/>
        </w:rPr>
        <w:t>i</w:t>
      </w:r>
      <w:r w:rsidRPr="00D72ADD">
        <w:rPr>
          <w:rFonts w:ascii="Arial" w:eastAsiaTheme="minorEastAsia" w:hAnsi="Arial" w:cs="Arial"/>
          <w:color w:val="000000" w:themeColor="text1"/>
          <w:sz w:val="22"/>
          <w:szCs w:val="22"/>
        </w:rPr>
        <w:t xml:space="preserve"> and TF </w:t>
      </w:r>
      <w:r w:rsidRPr="00D72ADD">
        <w:rPr>
          <w:rFonts w:ascii="Cambria Math" w:eastAsiaTheme="minorEastAsia" w:hAnsi="Cambria Math" w:cs="Arial"/>
          <w:color w:val="000000" w:themeColor="text1"/>
          <w:sz w:val="22"/>
          <w:szCs w:val="22"/>
        </w:rPr>
        <w:t>k</w:t>
      </w:r>
      <w:r w:rsidRPr="00D72ADD">
        <w:rPr>
          <w:rFonts w:ascii="Arial" w:eastAsiaTheme="minorEastAsia" w:hAnsi="Arial" w:cs="Arial"/>
          <w:color w:val="000000" w:themeColor="text1"/>
          <w:sz w:val="22"/>
          <w:szCs w:val="22"/>
        </w:rPr>
        <w:t xml:space="preserve">, and </w:t>
      </w:r>
      <w:r w:rsidRPr="00D72ADD">
        <w:rPr>
          <w:rFonts w:ascii="Arial" w:eastAsiaTheme="minorEastAsia" w:hAnsi="Arial" w:cs="Arial"/>
          <w:i/>
          <w:color w:val="000000" w:themeColor="text1"/>
          <w:sz w:val="22"/>
          <w:szCs w:val="22"/>
        </w:rPr>
        <w:t>pcorr</w:t>
      </w:r>
      <w:r w:rsidRPr="00D72ADD">
        <w:rPr>
          <w:rFonts w:ascii="Arial" w:eastAsiaTheme="minorEastAsia" w:hAnsi="Arial" w:cs="Arial"/>
          <w:color w:val="000000" w:themeColor="text1"/>
          <w:sz w:val="22"/>
          <w:szCs w:val="22"/>
        </w:rPr>
        <w:t>(</w:t>
      </w:r>
      <w:r w:rsidRPr="00D72ADD">
        <w:rPr>
          <w:rFonts w:ascii="Cambria Math" w:eastAsiaTheme="minorEastAsia" w:hAnsi="Cambria Math" w:cs="Arial"/>
          <w:color w:val="000000" w:themeColor="text1"/>
          <w:sz w:val="22"/>
          <w:szCs w:val="22"/>
        </w:rPr>
        <w:t>i</w:t>
      </w:r>
      <w:r w:rsidRPr="00D72ADD">
        <w:rPr>
          <w:rFonts w:ascii="Arial" w:eastAsiaTheme="minorEastAsia" w:hAnsi="Arial" w:cs="Arial"/>
          <w:color w:val="000000" w:themeColor="text1"/>
          <w:sz w:val="22"/>
          <w:szCs w:val="22"/>
        </w:rPr>
        <w:t>,</w:t>
      </w:r>
      <w:r w:rsidRPr="00D72ADD">
        <w:rPr>
          <w:rFonts w:ascii="Cambria Math" w:eastAsiaTheme="minorEastAsia" w:hAnsi="Cambria Math" w:cs="Arial"/>
          <w:color w:val="000000" w:themeColor="text1"/>
          <w:sz w:val="22"/>
          <w:szCs w:val="22"/>
        </w:rPr>
        <w:t>k</w:t>
      </w:r>
      <w:r w:rsidRPr="00D72ADD">
        <w:rPr>
          <w:rFonts w:ascii="Arial" w:eastAsiaTheme="minorEastAsia" w:hAnsi="Arial" w:cs="Arial"/>
          <w:color w:val="000000" w:themeColor="text1"/>
          <w:sz w:val="22"/>
          <w:szCs w:val="22"/>
        </w:rPr>
        <w:t xml:space="preserve">) is the partial correlation between gene </w:t>
      </w:r>
      <w:r w:rsidRPr="00D72ADD">
        <w:rPr>
          <w:rFonts w:ascii="Cambria Math" w:eastAsiaTheme="minorEastAsia" w:hAnsi="Cambria Math" w:cs="Arial"/>
          <w:color w:val="000000" w:themeColor="text1"/>
          <w:sz w:val="22"/>
          <w:szCs w:val="22"/>
        </w:rPr>
        <w:t>i</w:t>
      </w:r>
      <w:r w:rsidRPr="00D72ADD">
        <w:rPr>
          <w:rFonts w:ascii="Arial" w:eastAsiaTheme="minorEastAsia" w:hAnsi="Arial" w:cs="Arial"/>
          <w:color w:val="000000" w:themeColor="text1"/>
          <w:sz w:val="22"/>
          <w:szCs w:val="22"/>
        </w:rPr>
        <w:t xml:space="preserve"> and TF </w:t>
      </w:r>
      <w:r w:rsidRPr="00D72ADD">
        <w:rPr>
          <w:rFonts w:ascii="Cambria Math" w:eastAsiaTheme="minorEastAsia" w:hAnsi="Cambria Math" w:cs="Arial"/>
          <w:color w:val="000000" w:themeColor="text1"/>
          <w:sz w:val="22"/>
          <w:szCs w:val="22"/>
        </w:rPr>
        <w:t>k</w:t>
      </w:r>
      <w:r w:rsidRPr="00D72ADD">
        <w:rPr>
          <w:rFonts w:ascii="Arial" w:eastAsiaTheme="minorEastAsia" w:hAnsi="Arial" w:cs="Arial"/>
          <w:color w:val="000000" w:themeColor="text1"/>
          <w:sz w:val="22"/>
          <w:szCs w:val="22"/>
        </w:rPr>
        <w:t xml:space="preserve">, for a set model size. For TF-gene interactions with the same number of nonzero subsamples, the TF-gene interaction with high absolute partial correlation will be higher confidence. </w:t>
      </w:r>
    </w:p>
    <w:p w14:paraId="24803357" w14:textId="77777777" w:rsidR="002B7EE6" w:rsidRPr="00D72ADD" w:rsidRDefault="002B7EE6" w:rsidP="004F6DAA">
      <w:pPr>
        <w:jc w:val="both"/>
        <w:rPr>
          <w:rFonts w:ascii="Arial" w:eastAsiaTheme="minorEastAsia" w:hAnsi="Arial" w:cs="Arial"/>
          <w:b/>
          <w:color w:val="000000" w:themeColor="text1"/>
          <w:sz w:val="22"/>
          <w:szCs w:val="22"/>
        </w:rPr>
      </w:pPr>
    </w:p>
    <w:p w14:paraId="79BC6B89" w14:textId="2E9B237E" w:rsidR="002B7EE6" w:rsidRDefault="002B7EE6" w:rsidP="004F6DAA">
      <w:pPr>
        <w:jc w:val="both"/>
        <w:rPr>
          <w:rFonts w:ascii="Arial" w:hAnsi="Arial" w:cs="Arial"/>
          <w:color w:val="000000" w:themeColor="text1"/>
          <w:sz w:val="22"/>
          <w:szCs w:val="22"/>
        </w:rPr>
      </w:pPr>
      <w:r w:rsidRPr="00D72ADD">
        <w:rPr>
          <w:rFonts w:ascii="Arial" w:eastAsiaTheme="minorEastAsia" w:hAnsi="Arial" w:cs="Arial"/>
          <w:b/>
          <w:color w:val="000000" w:themeColor="text1"/>
          <w:sz w:val="22"/>
          <w:szCs w:val="22"/>
        </w:rPr>
        <w:t>Equation 4</w:t>
      </w:r>
      <w:r w:rsidRPr="00D72ADD">
        <w:rPr>
          <w:rFonts w:ascii="Arial" w:eastAsiaTheme="minorEastAsia" w:hAnsi="Arial" w:cs="Arial"/>
          <w:color w:val="000000" w:themeColor="text1"/>
          <w:sz w:val="22"/>
          <w:szCs w:val="22"/>
        </w:rPr>
        <w:t xml:space="preserve"> had the desired effect, improving precision-recall for both KO+ChIP (</w:t>
      </w:r>
      <w:r w:rsidRPr="00D72ADD">
        <w:rPr>
          <w:rFonts w:ascii="Arial" w:eastAsiaTheme="minorEastAsia" w:hAnsi="Arial" w:cs="Arial"/>
          <w:b/>
          <w:color w:val="000000" w:themeColor="text1"/>
          <w:sz w:val="22"/>
          <w:szCs w:val="22"/>
        </w:rPr>
        <w:t>Supplemental Fig. S26, S2</w:t>
      </w:r>
      <w:r w:rsidR="00E51E49">
        <w:rPr>
          <w:rFonts w:ascii="Arial" w:eastAsiaTheme="minorEastAsia" w:hAnsi="Arial" w:cs="Arial"/>
          <w:b/>
          <w:color w:val="000000" w:themeColor="text1"/>
          <w:sz w:val="22"/>
          <w:szCs w:val="22"/>
        </w:rPr>
        <w:t>7</w:t>
      </w:r>
      <w:r w:rsidRPr="00D72ADD">
        <w:rPr>
          <w:rFonts w:ascii="Arial" w:eastAsiaTheme="minorEastAsia" w:hAnsi="Arial" w:cs="Arial"/>
          <w:color w:val="000000" w:themeColor="text1"/>
          <w:sz w:val="22"/>
          <w:szCs w:val="22"/>
        </w:rPr>
        <w:t>) and KO (</w:t>
      </w:r>
      <w:r w:rsidRPr="00D72ADD">
        <w:rPr>
          <w:rFonts w:ascii="Arial" w:eastAsiaTheme="minorEastAsia" w:hAnsi="Arial" w:cs="Arial"/>
          <w:b/>
          <w:color w:val="000000" w:themeColor="text1"/>
          <w:sz w:val="22"/>
          <w:szCs w:val="22"/>
        </w:rPr>
        <w:t>Supplemental Fig. S28</w:t>
      </w:r>
      <w:r w:rsidRPr="00D72ADD">
        <w:rPr>
          <w:rFonts w:ascii="Arial" w:eastAsiaTheme="minorEastAsia" w:hAnsi="Arial" w:cs="Arial"/>
          <w:color w:val="000000" w:themeColor="text1"/>
          <w:sz w:val="22"/>
          <w:szCs w:val="22"/>
        </w:rPr>
        <w:t>) gold standards (</w:t>
      </w:r>
      <w:r w:rsidRPr="00D72ADD">
        <w:rPr>
          <w:rFonts w:ascii="Arial" w:hAnsi="Arial" w:cs="Arial"/>
          <w:color w:val="000000" w:themeColor="text1"/>
          <w:sz w:val="22"/>
          <w:szCs w:val="22"/>
        </w:rPr>
        <w:t xml:space="preserve">for both network- and gene-level average instabilities over a range of cutoffs: .05, .1 and .2). We also tested the same sets of conditions for all three out-of-sample prediction leave-out sets; representative results for the Early Th17 conditions are shown in </w:t>
      </w:r>
      <w:r w:rsidRPr="00D72ADD">
        <w:rPr>
          <w:rFonts w:ascii="Arial" w:hAnsi="Arial" w:cs="Arial"/>
          <w:b/>
          <w:color w:val="000000" w:themeColor="text1"/>
          <w:sz w:val="22"/>
          <w:szCs w:val="22"/>
        </w:rPr>
        <w:t>Supplemental Fig. S29</w:t>
      </w:r>
      <w:r w:rsidRPr="00D72ADD">
        <w:rPr>
          <w:rFonts w:ascii="Arial" w:hAnsi="Arial" w:cs="Arial"/>
          <w:color w:val="000000" w:themeColor="text1"/>
          <w:sz w:val="22"/>
          <w:szCs w:val="22"/>
        </w:rPr>
        <w:t>. Overall, precision-recall and out-of-sample prediction were robust to choice of network- versus per-gene average instability cutoff (</w:t>
      </w:r>
      <w:r w:rsidRPr="00D72ADD">
        <w:rPr>
          <w:rFonts w:ascii="Arial" w:hAnsi="Arial" w:cs="Arial"/>
          <w:b/>
          <w:color w:val="000000" w:themeColor="text1"/>
          <w:sz w:val="22"/>
          <w:szCs w:val="22"/>
        </w:rPr>
        <w:t xml:space="preserve">Supplemental Fig. </w:t>
      </w:r>
      <w:r w:rsidR="00E51E49">
        <w:rPr>
          <w:rFonts w:ascii="Arial" w:hAnsi="Arial" w:cs="Arial"/>
          <w:b/>
          <w:color w:val="000000" w:themeColor="text1"/>
          <w:sz w:val="22"/>
          <w:szCs w:val="22"/>
        </w:rPr>
        <w:t>S26-</w:t>
      </w:r>
      <w:r w:rsidR="00AD6C7A">
        <w:rPr>
          <w:rFonts w:ascii="Arial" w:hAnsi="Arial" w:cs="Arial"/>
          <w:b/>
          <w:color w:val="000000" w:themeColor="text1"/>
          <w:sz w:val="22"/>
          <w:szCs w:val="22"/>
        </w:rPr>
        <w:t>S</w:t>
      </w:r>
      <w:r w:rsidR="00E51E49">
        <w:rPr>
          <w:rFonts w:ascii="Arial" w:hAnsi="Arial" w:cs="Arial"/>
          <w:b/>
          <w:color w:val="000000" w:themeColor="text1"/>
          <w:sz w:val="22"/>
          <w:szCs w:val="22"/>
        </w:rPr>
        <w:t>28</w:t>
      </w:r>
      <w:r w:rsidRPr="00D72ADD">
        <w:rPr>
          <w:rFonts w:ascii="Arial" w:hAnsi="Arial" w:cs="Arial"/>
          <w:color w:val="000000" w:themeColor="text1"/>
          <w:sz w:val="22"/>
          <w:szCs w:val="22"/>
        </w:rPr>
        <w:t>). Out-of-sample prediction was consistently better using the instability cutoff .05 versus .1 and .2 (</w:t>
      </w:r>
      <w:r w:rsidRPr="00D72ADD">
        <w:rPr>
          <w:rFonts w:ascii="Arial" w:hAnsi="Arial" w:cs="Arial"/>
          <w:b/>
          <w:color w:val="000000" w:themeColor="text1"/>
          <w:sz w:val="22"/>
          <w:szCs w:val="22"/>
        </w:rPr>
        <w:t>Supplemental Fig. S29</w:t>
      </w:r>
      <w:r w:rsidRPr="00D72ADD">
        <w:rPr>
          <w:rFonts w:ascii="Arial" w:hAnsi="Arial" w:cs="Arial"/>
          <w:color w:val="000000" w:themeColor="text1"/>
          <w:sz w:val="22"/>
          <w:szCs w:val="22"/>
        </w:rPr>
        <w:t xml:space="preserve">). </w:t>
      </w:r>
      <w:r w:rsidRPr="00F53358">
        <w:rPr>
          <w:rFonts w:ascii="Arial" w:hAnsi="Arial" w:cs="Arial"/>
          <w:color w:val="000000" w:themeColor="text1"/>
          <w:sz w:val="22"/>
          <w:szCs w:val="22"/>
        </w:rPr>
        <w:t xml:space="preserve">Thus, we chose the cutoff of .05, additionally noting </w:t>
      </w:r>
      <w:r w:rsidRPr="00F53358">
        <w:rPr>
          <w:rFonts w:ascii="Arial" w:eastAsiaTheme="minorEastAsia" w:hAnsi="Arial" w:cs="Arial"/>
          <w:color w:val="000000" w:themeColor="text1"/>
          <w:sz w:val="22"/>
          <w:szCs w:val="22"/>
        </w:rPr>
        <w:t xml:space="preserve">reduced computation time </w:t>
      </w:r>
      <w:r w:rsidRPr="00F53358">
        <w:rPr>
          <w:rFonts w:ascii="Arial" w:hAnsi="Arial" w:cs="Arial"/>
          <w:color w:val="000000" w:themeColor="text1"/>
          <w:sz w:val="22"/>
          <w:szCs w:val="22"/>
        </w:rPr>
        <w:t xml:space="preserve">that (.05 corresponds to a larger </w:t>
      </w:r>
      <m:oMath>
        <m:r>
          <w:rPr>
            <w:rFonts w:ascii="Cambria Math" w:hAnsi="Cambria Math" w:cs="Arial"/>
            <w:color w:val="000000" w:themeColor="text1"/>
            <w:sz w:val="22"/>
            <w:szCs w:val="22"/>
          </w:rPr>
          <m:t>λ</m:t>
        </m:r>
      </m:oMath>
      <w:r w:rsidRPr="00F53358">
        <w:rPr>
          <w:rFonts w:ascii="Arial" w:eastAsiaTheme="minorEastAsia" w:hAnsi="Arial" w:cs="Arial"/>
          <w:color w:val="000000" w:themeColor="text1"/>
          <w:sz w:val="22"/>
          <w:szCs w:val="22"/>
        </w:rPr>
        <w:t xml:space="preserve">). </w:t>
      </w:r>
      <w:r w:rsidRPr="00F53358">
        <w:rPr>
          <w:rFonts w:ascii="Arial" w:hAnsi="Arial" w:cs="Arial"/>
          <w:color w:val="000000" w:themeColor="text1"/>
          <w:sz w:val="22"/>
          <w:szCs w:val="22"/>
        </w:rPr>
        <w:t>Given that network-level average instability performed on-par with per-gene and was computationally less expensive, we used network-level estimates for all subsequence analyses</w:t>
      </w:r>
      <w:r w:rsidRPr="007A0480">
        <w:rPr>
          <w:rFonts w:ascii="Arial" w:hAnsi="Arial" w:cs="Arial"/>
          <w:color w:val="000000" w:themeColor="text1"/>
          <w:sz w:val="22"/>
          <w:szCs w:val="22"/>
        </w:rPr>
        <w:t>.</w:t>
      </w:r>
    </w:p>
    <w:p w14:paraId="074766A3" w14:textId="59392566" w:rsidR="004D0C0A" w:rsidRDefault="004D0C0A" w:rsidP="004F6DAA">
      <w:pPr>
        <w:jc w:val="both"/>
        <w:rPr>
          <w:rFonts w:ascii="Arial" w:hAnsi="Arial" w:cs="Arial"/>
          <w:color w:val="000000" w:themeColor="text1"/>
          <w:sz w:val="22"/>
          <w:szCs w:val="22"/>
        </w:rPr>
      </w:pPr>
    </w:p>
    <w:p w14:paraId="7C269867" w14:textId="7442F6DF" w:rsidR="004D0C0A" w:rsidRPr="007A0480" w:rsidRDefault="004D0C0A" w:rsidP="004D0C0A">
      <w:pPr>
        <w:jc w:val="both"/>
        <w:rPr>
          <w:rFonts w:ascii="Arial" w:hAnsi="Arial" w:cs="Arial"/>
          <w:color w:val="000000" w:themeColor="text1"/>
          <w:sz w:val="22"/>
          <w:szCs w:val="22"/>
        </w:rPr>
      </w:pPr>
      <w:r w:rsidRPr="007A0480">
        <w:rPr>
          <w:rFonts w:ascii="Arial" w:eastAsiaTheme="minorEastAsia" w:hAnsi="Arial" w:cs="Arial"/>
          <w:color w:val="000000" w:themeColor="text1"/>
          <w:sz w:val="22"/>
          <w:szCs w:val="22"/>
        </w:rPr>
        <w:t xml:space="preserve">Although we relied on the instability cutoff of .05 to select </w:t>
      </w:r>
      <m:oMath>
        <m:r>
          <w:rPr>
            <w:rFonts w:ascii="Cambria Math" w:hAnsi="Cambria Math" w:cs="Arial"/>
            <w:color w:val="000000" w:themeColor="text1"/>
            <w:sz w:val="22"/>
            <w:szCs w:val="22"/>
          </w:rPr>
          <m:t>λ</m:t>
        </m:r>
      </m:oMath>
      <w:r w:rsidRPr="007A0480">
        <w:rPr>
          <w:rFonts w:ascii="Arial" w:eastAsiaTheme="minorEastAsia" w:hAnsi="Arial" w:cs="Arial"/>
          <w:color w:val="000000" w:themeColor="text1"/>
          <w:sz w:val="22"/>
          <w:szCs w:val="22"/>
        </w:rPr>
        <w:t xml:space="preserve"> and calculate edge confidences, we did not use the instability cutoff to select which edges to include in the final network, as is typically done using </w:t>
      </w:r>
      <w:r w:rsidRPr="00DD614C">
        <w:rPr>
          <w:rFonts w:ascii="Arial" w:eastAsiaTheme="minorEastAsia" w:hAnsi="Arial" w:cs="Arial"/>
          <w:color w:val="000000" w:themeColor="text1"/>
          <w:sz w:val="22"/>
          <w:szCs w:val="22"/>
        </w:rPr>
        <w:t>StARS. Instead, we recommend using quality metrics (precision, recall and out-of-sample prediction) to guide in selecting the final network size. Small differences in the cutoff (.05 to .2) led to large differences in network size (</w:t>
      </w:r>
      <w:r w:rsidRPr="00DD614C">
        <w:rPr>
          <w:rFonts w:ascii="Arial" w:eastAsiaTheme="minorEastAsia" w:hAnsi="Arial" w:cs="Arial"/>
          <w:b/>
          <w:color w:val="000000" w:themeColor="text1"/>
          <w:sz w:val="22"/>
          <w:szCs w:val="22"/>
        </w:rPr>
        <w:t>Supplemental Fig. S25</w:t>
      </w:r>
      <w:r w:rsidRPr="00DD614C">
        <w:rPr>
          <w:rFonts w:ascii="Arial" w:eastAsiaTheme="minorEastAsia" w:hAnsi="Arial" w:cs="Arial"/>
          <w:color w:val="000000" w:themeColor="text1"/>
          <w:sz w:val="22"/>
          <w:szCs w:val="22"/>
        </w:rPr>
        <w:t>), while network quality-metric curves (especially precision-recall (</w:t>
      </w:r>
      <w:r w:rsidRPr="00DD614C">
        <w:rPr>
          <w:rFonts w:ascii="Arial" w:eastAsiaTheme="minorEastAsia" w:hAnsi="Arial" w:cs="Arial"/>
          <w:b/>
          <w:color w:val="000000" w:themeColor="text1"/>
          <w:sz w:val="22"/>
          <w:szCs w:val="22"/>
        </w:rPr>
        <w:t>Supplemental Fig. S2</w:t>
      </w:r>
      <w:r w:rsidR="00116137">
        <w:rPr>
          <w:rFonts w:ascii="Arial" w:eastAsiaTheme="minorEastAsia" w:hAnsi="Arial" w:cs="Arial"/>
          <w:b/>
          <w:color w:val="000000" w:themeColor="text1"/>
          <w:sz w:val="22"/>
          <w:szCs w:val="22"/>
        </w:rPr>
        <w:t>7</w:t>
      </w:r>
      <w:r w:rsidRPr="00DD614C">
        <w:rPr>
          <w:rFonts w:ascii="Arial" w:eastAsiaTheme="minorEastAsia" w:hAnsi="Arial" w:cs="Arial"/>
          <w:b/>
          <w:color w:val="000000" w:themeColor="text1"/>
          <w:sz w:val="22"/>
          <w:szCs w:val="22"/>
        </w:rPr>
        <w:t>, S2</w:t>
      </w:r>
      <w:r w:rsidR="00116137">
        <w:rPr>
          <w:rFonts w:ascii="Arial" w:eastAsiaTheme="minorEastAsia" w:hAnsi="Arial" w:cs="Arial"/>
          <w:b/>
          <w:color w:val="000000" w:themeColor="text1"/>
          <w:sz w:val="22"/>
          <w:szCs w:val="22"/>
        </w:rPr>
        <w:t>8</w:t>
      </w:r>
      <w:r w:rsidRPr="00DD614C">
        <w:rPr>
          <w:rFonts w:ascii="Arial" w:eastAsiaTheme="minorEastAsia" w:hAnsi="Arial" w:cs="Arial"/>
          <w:color w:val="000000" w:themeColor="text1"/>
          <w:sz w:val="22"/>
          <w:szCs w:val="22"/>
        </w:rPr>
        <w:t>)), based only on ranking of TF-gene interactions (</w:t>
      </w:r>
      <w:r w:rsidRPr="00DD614C">
        <w:rPr>
          <w:rFonts w:ascii="Arial" w:eastAsiaTheme="minorEastAsia" w:hAnsi="Arial" w:cs="Arial"/>
          <w:b/>
          <w:color w:val="000000" w:themeColor="text1"/>
          <w:sz w:val="22"/>
          <w:szCs w:val="22"/>
        </w:rPr>
        <w:t>Equation 4</w:t>
      </w:r>
      <w:r w:rsidRPr="00DD614C">
        <w:rPr>
          <w:rFonts w:ascii="Arial" w:eastAsiaTheme="minorEastAsia" w:hAnsi="Arial" w:cs="Arial"/>
          <w:color w:val="000000" w:themeColor="text1"/>
          <w:sz w:val="22"/>
          <w:szCs w:val="22"/>
        </w:rPr>
        <w:t xml:space="preserve">), did not change much. </w:t>
      </w:r>
      <w:r w:rsidR="009E17FE">
        <w:rPr>
          <w:rFonts w:ascii="Arial" w:eastAsiaTheme="minorEastAsia" w:hAnsi="Arial" w:cs="Arial"/>
          <w:color w:val="000000" w:themeColor="text1"/>
          <w:sz w:val="22"/>
          <w:szCs w:val="22"/>
        </w:rPr>
        <w:t>A</w:t>
      </w:r>
      <w:r w:rsidRPr="00DD614C">
        <w:rPr>
          <w:rFonts w:ascii="Arial" w:eastAsiaTheme="minorEastAsia" w:hAnsi="Arial" w:cs="Arial"/>
          <w:color w:val="000000" w:themeColor="text1"/>
          <w:sz w:val="22"/>
          <w:szCs w:val="22"/>
        </w:rPr>
        <w:t xml:space="preserve">pplying the StARS cutoff to select the network size (represented by circles and x’s on curves in </w:t>
      </w:r>
      <w:r w:rsidRPr="00DD614C">
        <w:rPr>
          <w:rFonts w:ascii="Arial" w:eastAsiaTheme="minorEastAsia" w:hAnsi="Arial" w:cs="Arial"/>
          <w:b/>
          <w:color w:val="000000" w:themeColor="text1"/>
          <w:sz w:val="22"/>
          <w:szCs w:val="22"/>
        </w:rPr>
        <w:t xml:space="preserve">Supplemental Fig. </w:t>
      </w:r>
      <w:r w:rsidR="00E51E49">
        <w:rPr>
          <w:rFonts w:ascii="Arial" w:eastAsiaTheme="minorEastAsia" w:hAnsi="Arial" w:cs="Arial"/>
          <w:b/>
          <w:color w:val="000000" w:themeColor="text1"/>
          <w:sz w:val="22"/>
          <w:szCs w:val="22"/>
        </w:rPr>
        <w:t>S2</w:t>
      </w:r>
      <w:r w:rsidR="00116137">
        <w:rPr>
          <w:rFonts w:ascii="Arial" w:eastAsiaTheme="minorEastAsia" w:hAnsi="Arial" w:cs="Arial"/>
          <w:b/>
          <w:color w:val="000000" w:themeColor="text1"/>
          <w:sz w:val="22"/>
          <w:szCs w:val="22"/>
        </w:rPr>
        <w:t>7</w:t>
      </w:r>
      <w:r w:rsidR="00E51E49">
        <w:rPr>
          <w:rFonts w:ascii="Arial" w:eastAsiaTheme="minorEastAsia" w:hAnsi="Arial" w:cs="Arial"/>
          <w:b/>
          <w:color w:val="000000" w:themeColor="text1"/>
          <w:sz w:val="22"/>
          <w:szCs w:val="22"/>
        </w:rPr>
        <w:t>-S29</w:t>
      </w:r>
      <w:r w:rsidRPr="00DD614C">
        <w:rPr>
          <w:rFonts w:ascii="Arial" w:eastAsiaTheme="minorEastAsia" w:hAnsi="Arial" w:cs="Arial"/>
          <w:color w:val="000000" w:themeColor="text1"/>
          <w:sz w:val="22"/>
          <w:szCs w:val="22"/>
        </w:rPr>
        <w:t>) is likely overly conservative. For example, applying cutoff = .05 yields a model size averaging 3 TFs/gene</w:t>
      </w:r>
      <w:r w:rsidRPr="00DD614C">
        <w:rPr>
          <w:rFonts w:ascii="Arial" w:hAnsi="Arial" w:cs="Arial"/>
          <w:color w:val="000000" w:themeColor="text1"/>
          <w:sz w:val="22"/>
          <w:szCs w:val="22"/>
        </w:rPr>
        <w:t xml:space="preserve"> and corresponds to a median per-gene R</w:t>
      </w:r>
      <w:r w:rsidRPr="00DD614C">
        <w:rPr>
          <w:rFonts w:ascii="Arial" w:hAnsi="Arial" w:cs="Arial"/>
          <w:color w:val="000000" w:themeColor="text1"/>
          <w:sz w:val="22"/>
          <w:szCs w:val="22"/>
          <w:vertAlign w:val="superscript"/>
        </w:rPr>
        <w:t>2</w:t>
      </w:r>
      <w:r w:rsidRPr="00DD614C">
        <w:rPr>
          <w:rFonts w:ascii="Arial" w:hAnsi="Arial" w:cs="Arial"/>
          <w:color w:val="000000" w:themeColor="text1"/>
          <w:sz w:val="22"/>
          <w:szCs w:val="22"/>
          <w:vertAlign w:val="subscript"/>
        </w:rPr>
        <w:t>pred</w:t>
      </w:r>
      <w:r w:rsidRPr="00DD614C">
        <w:rPr>
          <w:rFonts w:ascii="Arial" w:hAnsi="Arial" w:cs="Arial"/>
          <w:color w:val="000000" w:themeColor="text1"/>
          <w:sz w:val="22"/>
          <w:szCs w:val="22"/>
        </w:rPr>
        <w:t xml:space="preserve"> value that is significantly lower than that of larger models (e.g., ~2-fold lower than median per-gene R</w:t>
      </w:r>
      <w:r w:rsidRPr="00DD614C">
        <w:rPr>
          <w:rFonts w:ascii="Arial" w:hAnsi="Arial" w:cs="Arial"/>
          <w:color w:val="000000" w:themeColor="text1"/>
          <w:sz w:val="22"/>
          <w:szCs w:val="22"/>
          <w:vertAlign w:val="superscript"/>
        </w:rPr>
        <w:t>2</w:t>
      </w:r>
      <w:r w:rsidRPr="00DD614C">
        <w:rPr>
          <w:rFonts w:ascii="Arial" w:hAnsi="Arial" w:cs="Arial"/>
          <w:color w:val="000000" w:themeColor="text1"/>
          <w:sz w:val="22"/>
          <w:szCs w:val="22"/>
          <w:vertAlign w:val="subscript"/>
        </w:rPr>
        <w:t>pred</w:t>
      </w:r>
      <w:r w:rsidRPr="00DD614C">
        <w:rPr>
          <w:rFonts w:ascii="Arial" w:hAnsi="Arial" w:cs="Arial"/>
          <w:color w:val="000000" w:themeColor="text1"/>
          <w:sz w:val="22"/>
          <w:szCs w:val="22"/>
        </w:rPr>
        <w:t xml:space="preserve"> at 15 TFs/gene, </w:t>
      </w:r>
      <w:r w:rsidRPr="00DD614C">
        <w:rPr>
          <w:rFonts w:ascii="Arial" w:hAnsi="Arial" w:cs="Arial"/>
          <w:b/>
          <w:color w:val="000000" w:themeColor="text1"/>
          <w:sz w:val="22"/>
          <w:szCs w:val="22"/>
        </w:rPr>
        <w:t>Supplemental Fig. S29B</w:t>
      </w:r>
      <w:r w:rsidRPr="00DD614C">
        <w:rPr>
          <w:rFonts w:ascii="Arial" w:hAnsi="Arial" w:cs="Arial"/>
          <w:color w:val="000000" w:themeColor="text1"/>
          <w:sz w:val="22"/>
          <w:szCs w:val="22"/>
        </w:rPr>
        <w:t xml:space="preserve">), suggesting that using </w:t>
      </w:r>
      <w:r w:rsidRPr="00DD614C">
        <w:rPr>
          <w:rFonts w:ascii="Arial" w:eastAsiaTheme="minorEastAsia" w:hAnsi="Arial" w:cs="Arial"/>
          <w:color w:val="000000" w:themeColor="text1"/>
          <w:sz w:val="22"/>
          <w:szCs w:val="22"/>
        </w:rPr>
        <w:t>cutoff = .05 to select model size would omit TF-gene interactions with predictive value from the model. Based on these analyses, we recommend using the above quality metrics to guide selection of model-size cutoff.</w:t>
      </w:r>
    </w:p>
    <w:p w14:paraId="5682766A" w14:textId="66059686" w:rsidR="00D72ADD" w:rsidRDefault="00D72ADD" w:rsidP="004F6DAA">
      <w:pPr>
        <w:jc w:val="both"/>
        <w:rPr>
          <w:rFonts w:ascii="Arial" w:eastAsiaTheme="minorEastAsia" w:hAnsi="Arial" w:cs="Arial"/>
          <w:color w:val="000000" w:themeColor="text1"/>
          <w:sz w:val="22"/>
          <w:szCs w:val="22"/>
        </w:rPr>
      </w:pPr>
    </w:p>
    <w:p w14:paraId="23DB0206" w14:textId="3C37AE40" w:rsidR="004F6DAA" w:rsidRDefault="00D72ADD" w:rsidP="00D72ADD">
      <w:pPr>
        <w:jc w:val="both"/>
        <w:rPr>
          <w:rFonts w:ascii="Arial" w:hAnsi="Arial" w:cs="Arial"/>
          <w:color w:val="000000" w:themeColor="text1"/>
          <w:sz w:val="22"/>
          <w:szCs w:val="22"/>
        </w:rPr>
      </w:pPr>
      <w:r>
        <w:rPr>
          <w:rFonts w:ascii="Arial" w:eastAsiaTheme="minorEastAsia" w:hAnsi="Arial" w:cs="Arial"/>
          <w:b/>
          <w:color w:val="000000" w:themeColor="text1"/>
          <w:sz w:val="22"/>
          <w:szCs w:val="22"/>
          <w:u w:val="single"/>
        </w:rPr>
        <w:t>Supplemental Note 6</w:t>
      </w:r>
      <w:r>
        <w:rPr>
          <w:rFonts w:ascii="Arial" w:eastAsiaTheme="minorEastAsia" w:hAnsi="Arial" w:cs="Arial"/>
          <w:b/>
          <w:color w:val="000000" w:themeColor="text1"/>
          <w:sz w:val="22"/>
          <w:szCs w:val="22"/>
        </w:rPr>
        <w:t xml:space="preserve">. mLASSO-StARS speed-ups using bStARS. </w:t>
      </w:r>
      <w:r w:rsidRPr="007A0480">
        <w:rPr>
          <w:rFonts w:ascii="Arial" w:hAnsi="Arial" w:cs="Arial"/>
          <w:color w:val="000000" w:themeColor="text1"/>
          <w:sz w:val="22"/>
          <w:szCs w:val="22"/>
        </w:rPr>
        <w:t xml:space="preserve">To expedite instability calculations, we use average instability upper and lower bounds from bStARS </w:t>
      </w:r>
      <w:r w:rsidRPr="007A0480">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{"citationItems":[{"id":"ITEM-1","itemData":{"abstract":"Selecting regularization parameters in penalized high-dimensional graphical models in a principled, data-driven, and computationally efficient manner continues to be one of the key challenges in high-dimensional statistics. We present substantial computational gains and conceptual generalizations of the Stability Approach to Regularization Selection (StARS), a state-of-the-art graphical model selection scheme. Using properties of the Poisson-Binomial distribution and convex non-asymptotic distributional modeling we propose lower and upper bounds on the StARS graph regularization path which results in greatly reduced computational cost without compromising regularization selection. We also generalize the StARS criterion from single edge to induced subgraph (graphlet) stability. We show that simultaneously requiring edge and graphlet stability leads to superior graph recovery performance independent of graph topology. These novel insights render Gaussian graphical model selection a routine task on standard multi-core computers.","author":[{"dropping-particle":"","family":"Müller","given":"Christian L.","non-dropping-particle":"","parse-names":false,"suffix":""},{"dropping-particle":"","family":"Bonneau","given":"Richard","non-dropping-particle":"","parse-names":false,"suffix":""},{"dropping-particle":"","family":"Kurtz","given":"Zachary","non-dropping-particle":"","parse-names":false,"suffix":""}],"container-title":"arXiv","id":"ITEM-1","issued":{"date-parts":[["2016"]]},"page":"1605.07072","title":"Generalized Stability Approach for Regularized Graphical Models","type":"article-journal"},"uris":["http://www.mendeley.com/documents/?uuid=11e038ea-7f9e-4e0c-be88-208766bfc726"]}],"mendeley":{"formattedCitation":"(Müller et al. 2016)","plainTextFormattedCitation":"(Müller et al. 2016)","previouslyFormattedCitation":"(Müller et al. 2016)"},"properties":{"noteIndex":0},"schema":"https://github.com/citation-style-language/schema/raw/master/csl-citation.json"}</w:instrText>
      </w:r>
      <w:r w:rsidRPr="007A0480">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(Müller et al. 2016)</w:t>
      </w:r>
      <w:r w:rsidRPr="007A0480">
        <w:rPr>
          <w:rFonts w:ascii="Arial" w:hAnsi="Arial" w:cs="Arial"/>
          <w:color w:val="000000" w:themeColor="text1"/>
          <w:sz w:val="22"/>
          <w:szCs w:val="22"/>
        </w:rPr>
        <w:fldChar w:fldCharType="end"/>
      </w:r>
      <w:r w:rsidRPr="007A0480">
        <w:rPr>
          <w:rFonts w:ascii="Arial" w:hAnsi="Arial" w:cs="Arial"/>
          <w:color w:val="000000" w:themeColor="text1"/>
          <w:sz w:val="22"/>
          <w:szCs w:val="22"/>
        </w:rPr>
        <w:t>. Using two subsamples to calculate upper and lower bounds and 50 subsamples for final instability estimates, the speed</w:t>
      </w:r>
      <w:r w:rsidRPr="00D72ADD">
        <w:rPr>
          <w:rFonts w:ascii="Arial" w:hAnsi="Arial" w:cs="Arial"/>
          <w:color w:val="000000" w:themeColor="text1"/>
          <w:sz w:val="22"/>
          <w:szCs w:val="22"/>
        </w:rPr>
        <w:t xml:space="preserve"> up from bStARS was negligible, while lower bounds estimated from five subsamples were tighter (</w:t>
      </w:r>
      <w:r w:rsidRPr="00D72ADD">
        <w:rPr>
          <w:rFonts w:ascii="Arial" w:hAnsi="Arial" w:cs="Arial"/>
          <w:b/>
          <w:color w:val="000000" w:themeColor="text1"/>
          <w:sz w:val="22"/>
          <w:szCs w:val="22"/>
        </w:rPr>
        <w:t>Supplemental Fig. S30</w:t>
      </w:r>
      <w:r w:rsidRPr="00D72ADD">
        <w:rPr>
          <w:rFonts w:ascii="Arial" w:hAnsi="Arial" w:cs="Arial"/>
          <w:color w:val="000000" w:themeColor="text1"/>
          <w:sz w:val="22"/>
          <w:szCs w:val="22"/>
        </w:rPr>
        <w:t>) and computation time was decreased &gt; two-fold (from 75 to 35 mi</w:t>
      </w:r>
      <w:r w:rsidRPr="007A0480">
        <w:rPr>
          <w:rFonts w:ascii="Arial" w:hAnsi="Arial" w:cs="Arial"/>
          <w:color w:val="000000" w:themeColor="text1"/>
          <w:sz w:val="22"/>
          <w:szCs w:val="22"/>
        </w:rPr>
        <w:t>nutes using a single core on a 2017 MacBook Pro with 2.9 GHz Intel Core i7 processor).</w:t>
      </w:r>
    </w:p>
    <w:p w14:paraId="30F8C74B" w14:textId="53025CFD" w:rsidR="00DD614C" w:rsidRDefault="00DD614C" w:rsidP="00D72ADD">
      <w:pPr>
        <w:jc w:val="both"/>
        <w:rPr>
          <w:rFonts w:ascii="Arial" w:eastAsiaTheme="minorEastAsia" w:hAnsi="Arial" w:cs="Arial"/>
          <w:color w:val="000000" w:themeColor="text1"/>
          <w:sz w:val="22"/>
          <w:szCs w:val="22"/>
        </w:rPr>
      </w:pPr>
    </w:p>
    <w:p w14:paraId="3E4A26BF" w14:textId="3E13C8A5" w:rsidR="00DD614C" w:rsidRPr="003D2625" w:rsidRDefault="00DD614C" w:rsidP="00DD614C">
      <w:pPr>
        <w:pStyle w:val="NormalWeb"/>
        <w:spacing w:before="0" w:beforeAutospacing="0" w:after="0" w:afterAutospacing="0"/>
        <w:jc w:val="both"/>
        <w:rPr>
          <w:rFonts w:ascii="Cambria" w:eastAsia="Times New Roman" w:hAnsi="Cambria"/>
          <w:color w:val="000000" w:themeColor="text1"/>
          <w:sz w:val="22"/>
          <w:szCs w:val="22"/>
        </w:rPr>
      </w:pPr>
      <w:r>
        <w:rPr>
          <w:rFonts w:ascii="Arial" w:eastAsiaTheme="minorEastAsia" w:hAnsi="Arial" w:cs="Arial"/>
          <w:b/>
          <w:color w:val="000000" w:themeColor="text1"/>
          <w:sz w:val="22"/>
          <w:szCs w:val="22"/>
          <w:u w:val="single"/>
        </w:rPr>
        <w:t>Supplemental Note 7</w:t>
      </w:r>
      <w:r>
        <w:rPr>
          <w:rFonts w:ascii="Arial" w:eastAsiaTheme="minorEastAsia" w:hAnsi="Arial" w:cs="Arial"/>
          <w:b/>
          <w:color w:val="000000" w:themeColor="text1"/>
          <w:sz w:val="22"/>
          <w:szCs w:val="22"/>
        </w:rPr>
        <w:t xml:space="preserve">. Potential overfitting in gene-expression prediction using prior-based TFA. </w:t>
      </w:r>
      <w:r w:rsidRPr="007A0480">
        <w:rPr>
          <w:rFonts w:ascii="Arial" w:eastAsia="Times New Roman" w:hAnsi="Arial" w:cs="Arial"/>
          <w:color w:val="000000" w:themeColor="text1"/>
          <w:sz w:val="22"/>
          <w:szCs w:val="22"/>
        </w:rPr>
        <w:t xml:space="preserve">For gene-expression prediction with prior-based TFA, the mRNA of target genes with edges </w:t>
      </w:r>
      <w:r w:rsidRPr="007A0480">
        <w:rPr>
          <w:rFonts w:ascii="Arial" w:eastAsia="Times New Roman" w:hAnsi="Arial" w:cs="Arial"/>
          <w:color w:val="000000" w:themeColor="text1"/>
          <w:sz w:val="22"/>
          <w:szCs w:val="22"/>
        </w:rPr>
        <w:lastRenderedPageBreak/>
        <w:t xml:space="preserve">in the prior contribute to TFA </w:t>
      </w:r>
      <w:r w:rsidRPr="003D2625">
        <w:rPr>
          <w:rFonts w:ascii="Arial" w:eastAsia="Times New Roman" w:hAnsi="Arial" w:cs="Arial"/>
          <w:color w:val="000000" w:themeColor="text1"/>
          <w:sz w:val="22"/>
          <w:szCs w:val="22"/>
        </w:rPr>
        <w:t>estimation (</w:t>
      </w:r>
      <w:r w:rsidRPr="003D2625">
        <w:rPr>
          <w:rFonts w:ascii="Arial" w:eastAsia="Times New Roman" w:hAnsi="Arial" w:cs="Arial"/>
          <w:b/>
          <w:color w:val="000000" w:themeColor="text1"/>
          <w:sz w:val="22"/>
          <w:szCs w:val="22"/>
        </w:rPr>
        <w:t>Equation 2</w:t>
      </w:r>
      <w:r w:rsidRPr="003D2625">
        <w:rPr>
          <w:rFonts w:ascii="Arial" w:eastAsia="Times New Roman" w:hAnsi="Arial" w:cs="Arial"/>
          <w:color w:val="000000" w:themeColor="text1"/>
          <w:sz w:val="22"/>
          <w:szCs w:val="22"/>
        </w:rPr>
        <w:t xml:space="preserve">), and then their gene expression patterns are predicted as a function of TFA. This circularity could lead to over-fitting and inflated </w:t>
      </w:r>
      <m:oMath>
        <m:sSubSup>
          <m:sSubSupPr>
            <m:ctrlPr>
              <w:rPr>
                <w:rFonts w:ascii="Cambria Math" w:hAnsi="Cambria Math" w:cs="Arial"/>
                <w:i/>
                <w:iCs/>
                <w:color w:val="000000" w:themeColor="text1"/>
                <w:sz w:val="22"/>
                <w:szCs w:val="22"/>
              </w:rPr>
            </m:ctrlPr>
          </m:sSubSupPr>
          <m:e>
            <m:r>
              <w:rPr>
                <w:rFonts w:ascii="Cambria Math" w:hAnsi="Cambria Math" w:cs="Arial"/>
                <w:color w:val="000000" w:themeColor="text1"/>
                <w:sz w:val="22"/>
                <w:szCs w:val="22"/>
              </w:rPr>
              <m:t>R</m:t>
            </m:r>
          </m:e>
          <m:sub>
            <m:r>
              <w:rPr>
                <w:rFonts w:ascii="Cambria Math" w:hAnsi="Cambria Math" w:cs="Arial"/>
                <w:color w:val="000000" w:themeColor="text1"/>
                <w:sz w:val="22"/>
                <w:szCs w:val="22"/>
              </w:rPr>
              <m:t>pred</m:t>
            </m:r>
          </m:sub>
          <m:sup>
            <m:r>
              <w:rPr>
                <w:rFonts w:ascii="Cambria Math" w:hAnsi="Cambria Math" w:cs="Arial"/>
                <w:color w:val="000000" w:themeColor="text1"/>
                <w:sz w:val="22"/>
                <w:szCs w:val="22"/>
              </w:rPr>
              <m:t>2</m:t>
            </m:r>
          </m:sup>
        </m:sSubSup>
      </m:oMath>
      <w:r w:rsidRPr="003D2625">
        <w:rPr>
          <w:rFonts w:ascii="Arial" w:eastAsia="Times New Roman" w:hAnsi="Arial" w:cs="Arial"/>
          <w:color w:val="000000" w:themeColor="text1"/>
          <w:sz w:val="22"/>
          <w:szCs w:val="22"/>
        </w:rPr>
        <w:t xml:space="preserve"> values. To test this possibility, we constructed a prior-based TFA, </w:t>
      </w:r>
      <w:r w:rsidRPr="003D2625">
        <w:rPr>
          <w:rFonts w:ascii="Cambria Math" w:eastAsia="Times New Roman" w:hAnsi="Cambria Math" w:cs="Arial"/>
          <w:color w:val="000000" w:themeColor="text1"/>
          <w:sz w:val="22"/>
          <w:szCs w:val="22"/>
        </w:rPr>
        <w:t>A</w:t>
      </w:r>
      <w:r w:rsidRPr="003D2625">
        <w:rPr>
          <w:rFonts w:ascii="Cambria Math" w:eastAsia="Times New Roman" w:hAnsi="Cambria Math" w:cs="Arial"/>
          <w:color w:val="000000" w:themeColor="text1"/>
          <w:sz w:val="22"/>
          <w:szCs w:val="22"/>
          <w:vertAlign w:val="superscript"/>
        </w:rPr>
        <w:t>-i</w:t>
      </w:r>
      <w:r w:rsidRPr="003D2625">
        <w:rPr>
          <w:rFonts w:ascii="Arial" w:eastAsia="Times New Roman" w:hAnsi="Arial" w:cs="Arial"/>
          <w:i/>
          <w:iCs/>
          <w:color w:val="000000" w:themeColor="text1"/>
          <w:sz w:val="13"/>
          <w:szCs w:val="13"/>
          <w:vertAlign w:val="superscript"/>
        </w:rPr>
        <w:t>i</w:t>
      </w:r>
      <w:r w:rsidRPr="003D2625">
        <w:rPr>
          <w:rFonts w:ascii="Arial" w:eastAsia="Times New Roman" w:hAnsi="Arial" w:cs="Arial"/>
          <w:color w:val="000000" w:themeColor="text1"/>
          <w:sz w:val="22"/>
          <w:szCs w:val="22"/>
        </w:rPr>
        <w:t xml:space="preserve">, for each gene </w:t>
      </w:r>
      <w:r w:rsidRPr="003D2625">
        <w:rPr>
          <w:rFonts w:ascii="Cambria Math" w:eastAsia="Times New Roman" w:hAnsi="Cambria Math" w:cs="Arial"/>
          <w:i/>
          <w:iCs/>
          <w:color w:val="000000" w:themeColor="text1"/>
          <w:sz w:val="22"/>
          <w:szCs w:val="22"/>
        </w:rPr>
        <w:t>i</w:t>
      </w:r>
      <w:r w:rsidRPr="003D2625">
        <w:rPr>
          <w:rFonts w:ascii="Arial" w:eastAsia="Times New Roman" w:hAnsi="Arial" w:cs="Arial"/>
          <w:color w:val="000000" w:themeColor="text1"/>
          <w:sz w:val="22"/>
          <w:szCs w:val="22"/>
        </w:rPr>
        <w:t xml:space="preserve">, by solving: </w:t>
      </w:r>
    </w:p>
    <w:p w14:paraId="3DBD3BC3" w14:textId="77777777" w:rsidR="00DD614C" w:rsidRPr="003D2625" w:rsidRDefault="00DD614C" w:rsidP="00DD614C">
      <w:pPr>
        <w:pStyle w:val="NormalWeb"/>
        <w:spacing w:before="0" w:beforeAutospacing="0" w:after="0" w:afterAutospacing="0"/>
        <w:jc w:val="center"/>
        <w:rPr>
          <w:rFonts w:ascii="Arial" w:eastAsia="Times New Roman" w:hAnsi="Arial" w:cs="Arial"/>
          <w:color w:val="000000" w:themeColor="text1"/>
          <w:sz w:val="22"/>
          <w:szCs w:val="22"/>
        </w:rPr>
      </w:pPr>
      <w:r w:rsidRPr="003D2625">
        <w:rPr>
          <w:rFonts w:ascii="Cambria Math" w:eastAsia="Times New Roman" w:hAnsi="Cambria Math"/>
          <w:color w:val="000000" w:themeColor="text1"/>
          <w:sz w:val="22"/>
          <w:szCs w:val="22"/>
        </w:rPr>
        <w:t>X</w:t>
      </w:r>
      <w:r w:rsidRPr="003D2625">
        <w:rPr>
          <w:rFonts w:ascii="Cambria Math" w:eastAsia="Times New Roman" w:hAnsi="Cambria Math"/>
          <w:color w:val="000000" w:themeColor="text1"/>
          <w:sz w:val="22"/>
          <w:szCs w:val="22"/>
          <w:vertAlign w:val="superscript"/>
        </w:rPr>
        <w:t>-i</w:t>
      </w:r>
      <w:r w:rsidRPr="003D2625">
        <w:rPr>
          <w:rFonts w:ascii="Cambria Math" w:eastAsia="Times New Roman" w:hAnsi="Cambria Math"/>
          <w:color w:val="000000" w:themeColor="text1"/>
          <w:sz w:val="22"/>
          <w:szCs w:val="22"/>
        </w:rPr>
        <w:t>=P</w:t>
      </w:r>
      <w:r w:rsidRPr="003D2625">
        <w:rPr>
          <w:rFonts w:ascii="Cambria Math" w:eastAsia="Times New Roman" w:hAnsi="Cambria Math"/>
          <w:color w:val="000000" w:themeColor="text1"/>
          <w:sz w:val="22"/>
          <w:szCs w:val="22"/>
          <w:vertAlign w:val="superscript"/>
        </w:rPr>
        <w:t>-i</w:t>
      </w:r>
      <w:r w:rsidRPr="003D2625">
        <w:rPr>
          <w:rFonts w:ascii="Cambria Math" w:eastAsia="Times New Roman" w:hAnsi="Cambria Math"/>
          <w:color w:val="000000" w:themeColor="text1"/>
          <w:sz w:val="22"/>
          <w:szCs w:val="22"/>
        </w:rPr>
        <w:t>A</w:t>
      </w:r>
      <w:r w:rsidRPr="003D2625">
        <w:rPr>
          <w:rFonts w:ascii="Cambria Math" w:eastAsia="Times New Roman" w:hAnsi="Cambria Math"/>
          <w:color w:val="000000" w:themeColor="text1"/>
          <w:sz w:val="22"/>
          <w:szCs w:val="22"/>
          <w:vertAlign w:val="superscript"/>
        </w:rPr>
        <w:t>-i</w:t>
      </w:r>
      <w:r w:rsidRPr="003D2625">
        <w:rPr>
          <w:rFonts w:ascii="Arial" w:eastAsia="Times New Roman" w:hAnsi="Arial" w:cs="Arial"/>
          <w:color w:val="000000" w:themeColor="text1"/>
          <w:sz w:val="22"/>
          <w:szCs w:val="22"/>
        </w:rPr>
        <w:t>,  [</w:t>
      </w:r>
      <w:r w:rsidRPr="003D2625">
        <w:rPr>
          <w:rFonts w:ascii="Arial" w:eastAsia="Times New Roman" w:hAnsi="Arial" w:cs="Arial"/>
          <w:b/>
          <w:color w:val="000000" w:themeColor="text1"/>
          <w:sz w:val="22"/>
          <w:szCs w:val="22"/>
        </w:rPr>
        <w:t>Equation 6</w:t>
      </w:r>
      <w:r w:rsidRPr="003D2625">
        <w:rPr>
          <w:rFonts w:ascii="Arial" w:eastAsia="Times New Roman" w:hAnsi="Arial" w:cs="Arial"/>
          <w:color w:val="000000" w:themeColor="text1"/>
          <w:sz w:val="22"/>
          <w:szCs w:val="22"/>
        </w:rPr>
        <w:t>]</w:t>
      </w:r>
    </w:p>
    <w:p w14:paraId="1C41C271" w14:textId="7A43253E" w:rsidR="001D3C8D" w:rsidRPr="003D2625" w:rsidRDefault="00DD614C" w:rsidP="00DD614C">
      <w:pPr>
        <w:pStyle w:val="NormalWeb"/>
        <w:spacing w:before="0" w:beforeAutospacing="0" w:after="0" w:afterAutospacing="0"/>
        <w:jc w:val="both"/>
        <w:rPr>
          <w:rFonts w:ascii="Arial" w:eastAsia="Times New Roman" w:hAnsi="Arial" w:cs="Arial"/>
          <w:color w:val="000000" w:themeColor="text1"/>
          <w:sz w:val="22"/>
          <w:szCs w:val="22"/>
        </w:rPr>
      </w:pPr>
      <w:r w:rsidRPr="003D2625">
        <w:rPr>
          <w:rFonts w:ascii="Arial" w:eastAsia="Times New Roman" w:hAnsi="Arial" w:cs="Arial"/>
          <w:color w:val="000000" w:themeColor="text1"/>
          <w:sz w:val="22"/>
          <w:szCs w:val="22"/>
        </w:rPr>
        <w:t xml:space="preserve">where matrices </w:t>
      </w:r>
      <w:r w:rsidRPr="003D2625">
        <w:rPr>
          <w:rFonts w:ascii="Cambria Math" w:eastAsia="Times New Roman" w:hAnsi="Cambria Math" w:cs="Arial"/>
          <w:iCs/>
          <w:color w:val="000000" w:themeColor="text1"/>
          <w:sz w:val="22"/>
          <w:szCs w:val="22"/>
        </w:rPr>
        <w:t>X</w:t>
      </w:r>
      <w:r w:rsidRPr="003D2625">
        <w:rPr>
          <w:rFonts w:ascii="Cambria Math" w:eastAsia="Times New Roman" w:hAnsi="Cambria Math" w:cs="Arial"/>
          <w:iCs/>
          <w:color w:val="000000" w:themeColor="text1"/>
          <w:sz w:val="22"/>
          <w:szCs w:val="22"/>
          <w:vertAlign w:val="superscript"/>
        </w:rPr>
        <w:t>-i</w:t>
      </w:r>
      <w:r w:rsidRPr="003D2625">
        <w:rPr>
          <w:rFonts w:ascii="Arial" w:eastAsia="Times New Roman" w:hAnsi="Arial" w:cs="Arial"/>
          <w:color w:val="000000" w:themeColor="text1"/>
          <w:sz w:val="22"/>
          <w:szCs w:val="22"/>
        </w:rPr>
        <w:t xml:space="preserve">, and </w:t>
      </w:r>
      <w:r w:rsidRPr="003D2625">
        <w:rPr>
          <w:rFonts w:ascii="Cambria Math" w:eastAsia="Times New Roman" w:hAnsi="Cambria Math" w:cs="Arial"/>
          <w:iCs/>
          <w:color w:val="000000" w:themeColor="text1"/>
          <w:sz w:val="22"/>
          <w:szCs w:val="22"/>
        </w:rPr>
        <w:t>P</w:t>
      </w:r>
      <w:r w:rsidRPr="003D2625">
        <w:rPr>
          <w:rFonts w:ascii="Cambria Math" w:eastAsia="Times New Roman" w:hAnsi="Cambria Math" w:cs="Arial"/>
          <w:iCs/>
          <w:color w:val="000000" w:themeColor="text1"/>
          <w:sz w:val="22"/>
          <w:szCs w:val="22"/>
          <w:vertAlign w:val="superscript"/>
        </w:rPr>
        <w:t>-i</w:t>
      </w:r>
      <w:r w:rsidRPr="003D2625">
        <w:rPr>
          <w:rFonts w:ascii="Arial" w:eastAsia="Times New Roman" w:hAnsi="Arial" w:cs="Arial"/>
          <w:color w:val="000000" w:themeColor="text1"/>
          <w:sz w:val="22"/>
          <w:szCs w:val="22"/>
        </w:rPr>
        <w:t xml:space="preserve"> omit the rows corresponding to target gene </w:t>
      </w:r>
      <w:r w:rsidRPr="003D2625">
        <w:rPr>
          <w:rFonts w:ascii="Cambria Math" w:eastAsia="Times New Roman" w:hAnsi="Cambria Math" w:cs="Arial"/>
          <w:iCs/>
          <w:color w:val="000000" w:themeColor="text1"/>
          <w:sz w:val="22"/>
          <w:szCs w:val="22"/>
        </w:rPr>
        <w:t>i</w:t>
      </w:r>
      <w:r w:rsidRPr="003D2625">
        <w:rPr>
          <w:rFonts w:ascii="Arial" w:eastAsia="Times New Roman" w:hAnsi="Arial" w:cs="Arial"/>
          <w:color w:val="000000" w:themeColor="text1"/>
          <w:sz w:val="22"/>
          <w:szCs w:val="22"/>
        </w:rPr>
        <w:t xml:space="preserve">. Given the large gene-dimension of the prior (e.g., 17,138 genes for the ATAC (Th17) prior), we anticipated that </w:t>
      </w:r>
      <w:r w:rsidRPr="003D2625">
        <w:rPr>
          <w:rFonts w:ascii="Cambria Math" w:eastAsia="Times New Roman" w:hAnsi="Cambria Math" w:cs="Arial"/>
          <w:iCs/>
          <w:color w:val="000000" w:themeColor="text1"/>
          <w:sz w:val="22"/>
          <w:szCs w:val="22"/>
        </w:rPr>
        <w:t>A</w:t>
      </w:r>
      <w:r w:rsidRPr="003D2625">
        <w:rPr>
          <w:rFonts w:ascii="Cambria Math" w:eastAsia="Times New Roman" w:hAnsi="Cambria Math" w:cs="Arial"/>
          <w:iCs/>
          <w:color w:val="000000" w:themeColor="text1"/>
          <w:sz w:val="22"/>
          <w:szCs w:val="22"/>
          <w:vertAlign w:val="superscript"/>
        </w:rPr>
        <w:t>-i</w:t>
      </w:r>
      <w:r w:rsidRPr="003D2625">
        <w:rPr>
          <w:rFonts w:ascii="Cambria Math" w:eastAsia="Times New Roman" w:hAnsi="Cambria Math" w:cs="Arial"/>
          <w:color w:val="000000" w:themeColor="text1"/>
          <w:sz w:val="22"/>
          <w:szCs w:val="22"/>
        </w:rPr>
        <w:t xml:space="preserve"> ~ </w:t>
      </w:r>
      <w:r w:rsidRPr="003D2625">
        <w:rPr>
          <w:rFonts w:ascii="Cambria Math" w:eastAsia="Times New Roman" w:hAnsi="Cambria Math" w:cs="Arial"/>
          <w:iCs/>
          <w:color w:val="000000" w:themeColor="text1"/>
          <w:sz w:val="22"/>
          <w:szCs w:val="22"/>
        </w:rPr>
        <w:t>A</w:t>
      </w:r>
      <w:r w:rsidRPr="003D2625">
        <w:rPr>
          <w:rFonts w:ascii="Arial" w:eastAsia="Times New Roman" w:hAnsi="Arial" w:cs="Arial"/>
          <w:color w:val="000000" w:themeColor="text1"/>
          <w:sz w:val="22"/>
          <w:szCs w:val="22"/>
        </w:rPr>
        <w:t>. To test this assumption, we regenerated results for prior-based TFA (Th17 ATAC prior, bias = .5) according to [</w:t>
      </w:r>
      <w:r w:rsidRPr="003D2625">
        <w:rPr>
          <w:rFonts w:ascii="Arial" w:eastAsia="Times New Roman" w:hAnsi="Arial" w:cs="Arial"/>
          <w:b/>
          <w:color w:val="000000" w:themeColor="text1"/>
          <w:sz w:val="22"/>
          <w:szCs w:val="22"/>
        </w:rPr>
        <w:t>Equation 6</w:t>
      </w:r>
      <w:r w:rsidRPr="003D2625">
        <w:rPr>
          <w:rFonts w:ascii="Arial" w:eastAsia="Times New Roman" w:hAnsi="Arial" w:cs="Arial"/>
          <w:color w:val="000000" w:themeColor="text1"/>
          <w:sz w:val="22"/>
          <w:szCs w:val="22"/>
        </w:rPr>
        <w:t xml:space="preserve">]. There were 2803 target genes (out of 3578) with edges in the ATAC prior. For those TFs </w:t>
      </w:r>
      <w:r w:rsidRPr="003D2625">
        <w:rPr>
          <w:rFonts w:ascii="Arial" w:eastAsia="Times New Roman" w:hAnsi="Arial" w:cs="Arial"/>
          <w:iCs/>
          <w:color w:val="000000" w:themeColor="text1"/>
          <w:sz w:val="22"/>
          <w:szCs w:val="22"/>
        </w:rPr>
        <w:t>k</w:t>
      </w:r>
      <w:r w:rsidRPr="003D2625">
        <w:rPr>
          <w:rFonts w:ascii="Arial" w:eastAsia="Times New Roman" w:hAnsi="Arial" w:cs="Arial"/>
          <w:color w:val="000000" w:themeColor="text1"/>
          <w:sz w:val="22"/>
          <w:szCs w:val="22"/>
        </w:rPr>
        <w:t xml:space="preserve"> that lost an edge to gene </w:t>
      </w:r>
      <w:r w:rsidRPr="003D2625">
        <w:rPr>
          <w:rFonts w:ascii="Arial" w:eastAsia="Times New Roman" w:hAnsi="Arial" w:cs="Arial"/>
          <w:iCs/>
          <w:color w:val="000000" w:themeColor="text1"/>
          <w:sz w:val="22"/>
          <w:szCs w:val="22"/>
        </w:rPr>
        <w:t>i</w:t>
      </w:r>
      <w:r w:rsidRPr="003D2625">
        <w:rPr>
          <w:rFonts w:ascii="Arial" w:eastAsia="Times New Roman" w:hAnsi="Arial" w:cs="Arial"/>
          <w:color w:val="000000" w:themeColor="text1"/>
          <w:sz w:val="22"/>
          <w:szCs w:val="22"/>
        </w:rPr>
        <w:t xml:space="preserve"> when calculating </w:t>
      </w:r>
      <w:r w:rsidRPr="003D2625">
        <w:rPr>
          <w:rFonts w:ascii="Arial" w:eastAsia="Times New Roman" w:hAnsi="Arial" w:cs="Arial"/>
          <w:iCs/>
          <w:color w:val="000000" w:themeColor="text1"/>
          <w:sz w:val="22"/>
          <w:szCs w:val="22"/>
        </w:rPr>
        <w:t>A</w:t>
      </w:r>
      <w:r w:rsidRPr="003D2625">
        <w:rPr>
          <w:rFonts w:ascii="Arial" w:eastAsia="Times New Roman" w:hAnsi="Arial" w:cs="Arial"/>
          <w:iCs/>
          <w:color w:val="000000" w:themeColor="text1"/>
          <w:sz w:val="13"/>
          <w:szCs w:val="13"/>
          <w:vertAlign w:val="superscript"/>
        </w:rPr>
        <w:t>-i</w:t>
      </w:r>
      <w:r w:rsidRPr="003D2625">
        <w:rPr>
          <w:rFonts w:ascii="Arial" w:eastAsia="Times New Roman" w:hAnsi="Arial" w:cs="Arial"/>
          <w:color w:val="000000" w:themeColor="text1"/>
          <w:sz w:val="22"/>
          <w:szCs w:val="22"/>
        </w:rPr>
        <w:t xml:space="preserve">, we calculated the Pearson correlation between </w:t>
      </w:r>
      <w:r w:rsidRPr="003D2625">
        <w:rPr>
          <w:rFonts w:ascii="Arial" w:eastAsia="Times New Roman" w:hAnsi="Arial" w:cs="Arial"/>
          <w:iCs/>
          <w:color w:val="000000" w:themeColor="text1"/>
          <w:sz w:val="22"/>
          <w:szCs w:val="22"/>
        </w:rPr>
        <w:t>A</w:t>
      </w:r>
      <w:r w:rsidRPr="003D2625">
        <w:rPr>
          <w:rFonts w:ascii="Arial" w:eastAsia="Times New Roman" w:hAnsi="Arial" w:cs="Arial"/>
          <w:iCs/>
          <w:color w:val="000000" w:themeColor="text1"/>
          <w:sz w:val="13"/>
          <w:szCs w:val="13"/>
          <w:vertAlign w:val="superscript"/>
        </w:rPr>
        <w:t>-i</w:t>
      </w:r>
      <w:r w:rsidRPr="003D2625">
        <w:rPr>
          <w:rFonts w:ascii="Arial" w:eastAsia="Times New Roman" w:hAnsi="Arial" w:cs="Arial"/>
          <w:color w:val="000000" w:themeColor="text1"/>
          <w:sz w:val="22"/>
          <w:szCs w:val="22"/>
        </w:rPr>
        <w:t xml:space="preserve">(k) and </w:t>
      </w:r>
      <w:r w:rsidRPr="003D2625">
        <w:rPr>
          <w:rFonts w:ascii="Arial" w:eastAsia="Times New Roman" w:hAnsi="Arial" w:cs="Arial"/>
          <w:iCs/>
          <w:color w:val="000000" w:themeColor="text1"/>
          <w:sz w:val="22"/>
          <w:szCs w:val="22"/>
        </w:rPr>
        <w:t>A</w:t>
      </w:r>
      <w:r w:rsidRPr="003D2625">
        <w:rPr>
          <w:rFonts w:ascii="Arial" w:eastAsia="Times New Roman" w:hAnsi="Arial" w:cs="Arial"/>
          <w:color w:val="000000" w:themeColor="text1"/>
          <w:sz w:val="22"/>
          <w:szCs w:val="22"/>
        </w:rPr>
        <w:t>(k) and plotted the cumulative distribution function (CDF) for the 108,850 resulting correlations (</w:t>
      </w:r>
      <w:r w:rsidRPr="003D2625">
        <w:rPr>
          <w:rFonts w:ascii="Arial" w:eastAsia="Times New Roman" w:hAnsi="Arial" w:cs="Arial"/>
          <w:b/>
          <w:color w:val="000000" w:themeColor="text1"/>
          <w:sz w:val="22"/>
          <w:szCs w:val="22"/>
        </w:rPr>
        <w:t>Supplemental Fig. S31</w:t>
      </w:r>
      <w:r w:rsidRPr="003D2625">
        <w:rPr>
          <w:rFonts w:ascii="Arial" w:eastAsia="Times New Roman" w:hAnsi="Arial" w:cs="Arial"/>
          <w:color w:val="000000" w:themeColor="text1"/>
          <w:sz w:val="22"/>
          <w:szCs w:val="22"/>
        </w:rPr>
        <w:t xml:space="preserve">). 99% of the TF activities were correlated with rho &gt; .99, while a handful of correlations dipped below rho .95 (15 correlations (1.4%)). Thus, </w:t>
      </w:r>
      <w:r w:rsidRPr="003D2625">
        <w:rPr>
          <w:rFonts w:ascii="Cambria Math" w:eastAsia="Times New Roman" w:hAnsi="Cambria Math" w:cs="Arial"/>
          <w:iCs/>
          <w:color w:val="000000" w:themeColor="text1"/>
          <w:sz w:val="22"/>
          <w:szCs w:val="22"/>
        </w:rPr>
        <w:t>A</w:t>
      </w:r>
      <w:r w:rsidRPr="003D2625">
        <w:rPr>
          <w:rFonts w:ascii="Cambria Math" w:eastAsia="Times New Roman" w:hAnsi="Cambria Math" w:cs="Arial"/>
          <w:iCs/>
          <w:color w:val="000000" w:themeColor="text1"/>
          <w:sz w:val="22"/>
          <w:szCs w:val="22"/>
          <w:vertAlign w:val="superscript"/>
        </w:rPr>
        <w:t>-i</w:t>
      </w:r>
      <w:r w:rsidRPr="003D2625">
        <w:rPr>
          <w:rFonts w:ascii="Cambria Math" w:eastAsia="Times New Roman" w:hAnsi="Cambria Math" w:cs="Arial"/>
          <w:color w:val="000000" w:themeColor="text1"/>
          <w:sz w:val="22"/>
          <w:szCs w:val="22"/>
        </w:rPr>
        <w:t xml:space="preserve"> ~ </w:t>
      </w:r>
      <w:r w:rsidRPr="003D2625">
        <w:rPr>
          <w:rFonts w:ascii="Cambria Math" w:eastAsia="Times New Roman" w:hAnsi="Cambria Math" w:cs="Arial"/>
          <w:iCs/>
          <w:color w:val="000000" w:themeColor="text1"/>
          <w:sz w:val="22"/>
          <w:szCs w:val="22"/>
        </w:rPr>
        <w:t>A</w:t>
      </w:r>
      <w:r w:rsidRPr="003D2625">
        <w:rPr>
          <w:rFonts w:ascii="Arial" w:eastAsia="Times New Roman" w:hAnsi="Arial" w:cs="Arial"/>
          <w:color w:val="000000" w:themeColor="text1"/>
          <w:sz w:val="22"/>
          <w:szCs w:val="22"/>
        </w:rPr>
        <w:t xml:space="preserve">. We repeated leave-out gene expression prediction used gene-specific </w:t>
      </w:r>
      <w:r w:rsidRPr="003D2625">
        <w:rPr>
          <w:rFonts w:ascii="Cambria Math" w:eastAsia="Times New Roman" w:hAnsi="Cambria Math" w:cs="Arial"/>
          <w:iCs/>
          <w:color w:val="000000" w:themeColor="text1"/>
          <w:sz w:val="22"/>
          <w:szCs w:val="22"/>
        </w:rPr>
        <w:t>A</w:t>
      </w:r>
      <w:r w:rsidRPr="003D2625">
        <w:rPr>
          <w:rFonts w:ascii="Cambria Math" w:eastAsia="Times New Roman" w:hAnsi="Cambria Math" w:cs="Arial"/>
          <w:iCs/>
          <w:color w:val="000000" w:themeColor="text1"/>
          <w:sz w:val="22"/>
          <w:szCs w:val="22"/>
          <w:vertAlign w:val="superscript"/>
        </w:rPr>
        <w:t>-i</w:t>
      </w:r>
      <w:r w:rsidRPr="003D2625">
        <w:rPr>
          <w:rFonts w:ascii="Arial" w:eastAsia="Times New Roman" w:hAnsi="Arial" w:cs="Arial"/>
          <w:color w:val="000000" w:themeColor="text1"/>
          <w:sz w:val="22"/>
          <w:szCs w:val="22"/>
        </w:rPr>
        <w:t>, and, for all three expression prediction challenges, results were similar, even when limiting to the set of target genes with edges in the prior (</w:t>
      </w:r>
      <w:r w:rsidRPr="003D2625">
        <w:rPr>
          <w:rFonts w:ascii="Arial" w:eastAsia="Times New Roman" w:hAnsi="Arial" w:cs="Arial"/>
          <w:b/>
          <w:color w:val="000000" w:themeColor="text1"/>
          <w:sz w:val="22"/>
          <w:szCs w:val="22"/>
        </w:rPr>
        <w:t>Supplemental Fig. S32</w:t>
      </w:r>
      <w:r w:rsidRPr="003D2625">
        <w:rPr>
          <w:rFonts w:ascii="Arial" w:eastAsia="Times New Roman" w:hAnsi="Arial" w:cs="Arial"/>
          <w:color w:val="000000" w:themeColor="text1"/>
          <w:sz w:val="22"/>
          <w:szCs w:val="22"/>
        </w:rPr>
        <w:t xml:space="preserve">). This analysis confirms that our </w:t>
      </w:r>
      <m:oMath>
        <m:sSubSup>
          <m:sSubSupPr>
            <m:ctrlPr>
              <w:rPr>
                <w:rFonts w:ascii="Cambria Math" w:hAnsi="Cambria Math" w:cs="Arial"/>
                <w:i/>
                <w:iCs/>
                <w:color w:val="000000" w:themeColor="text1"/>
                <w:sz w:val="22"/>
                <w:szCs w:val="22"/>
              </w:rPr>
            </m:ctrlPr>
          </m:sSubSupPr>
          <m:e>
            <m:r>
              <w:rPr>
                <w:rFonts w:ascii="Cambria Math" w:hAnsi="Cambria Math" w:cs="Arial"/>
                <w:color w:val="000000" w:themeColor="text1"/>
                <w:sz w:val="22"/>
                <w:szCs w:val="22"/>
              </w:rPr>
              <m:t>R</m:t>
            </m:r>
          </m:e>
          <m:sub>
            <m:r>
              <w:rPr>
                <w:rFonts w:ascii="Cambria Math" w:hAnsi="Cambria Math" w:cs="Arial"/>
                <w:color w:val="000000" w:themeColor="text1"/>
                <w:sz w:val="22"/>
                <w:szCs w:val="22"/>
              </w:rPr>
              <m:t>pred</m:t>
            </m:r>
          </m:sub>
          <m:sup>
            <m:r>
              <w:rPr>
                <w:rFonts w:ascii="Cambria Math" w:hAnsi="Cambria Math" w:cs="Arial"/>
                <w:color w:val="000000" w:themeColor="text1"/>
                <w:sz w:val="22"/>
                <w:szCs w:val="22"/>
              </w:rPr>
              <m:t>2</m:t>
            </m:r>
          </m:sup>
        </m:sSubSup>
      </m:oMath>
      <w:r w:rsidRPr="003D2625">
        <w:rPr>
          <w:rFonts w:ascii="Arial" w:eastAsia="Times New Roman" w:hAnsi="Arial" w:cs="Arial"/>
          <w:color w:val="000000" w:themeColor="text1"/>
          <w:sz w:val="22"/>
          <w:szCs w:val="22"/>
        </w:rPr>
        <w:t xml:space="preserve"> estimates were robust to our decision to approximate </w:t>
      </w:r>
      <w:r w:rsidRPr="003D2625">
        <w:rPr>
          <w:rFonts w:ascii="Cambria Math" w:eastAsia="Times New Roman" w:hAnsi="Cambria Math" w:cs="Arial"/>
          <w:iCs/>
          <w:color w:val="000000" w:themeColor="text1"/>
          <w:sz w:val="22"/>
          <w:szCs w:val="22"/>
        </w:rPr>
        <w:t>A</w:t>
      </w:r>
      <w:r w:rsidRPr="003D2625">
        <w:rPr>
          <w:rFonts w:ascii="Cambria Math" w:eastAsia="Times New Roman" w:hAnsi="Cambria Math" w:cs="Arial"/>
          <w:iCs/>
          <w:color w:val="000000" w:themeColor="text1"/>
          <w:sz w:val="22"/>
          <w:szCs w:val="22"/>
          <w:vertAlign w:val="superscript"/>
        </w:rPr>
        <w:t>-i</w:t>
      </w:r>
      <w:r w:rsidRPr="003D2625">
        <w:rPr>
          <w:rFonts w:ascii="Cambria Math" w:eastAsia="Times New Roman" w:hAnsi="Cambria Math" w:cs="Arial"/>
          <w:color w:val="000000" w:themeColor="text1"/>
          <w:sz w:val="22"/>
          <w:szCs w:val="22"/>
        </w:rPr>
        <w:t xml:space="preserve"> ~ </w:t>
      </w:r>
      <w:r w:rsidRPr="003D2625">
        <w:rPr>
          <w:rFonts w:ascii="Cambria Math" w:eastAsia="Times New Roman" w:hAnsi="Cambria Math" w:cs="Arial"/>
          <w:iCs/>
          <w:color w:val="000000" w:themeColor="text1"/>
          <w:sz w:val="22"/>
          <w:szCs w:val="22"/>
        </w:rPr>
        <w:t>A</w:t>
      </w:r>
      <w:r w:rsidR="001D3C8D" w:rsidRPr="003D2625">
        <w:rPr>
          <w:rFonts w:ascii="Arial" w:eastAsia="Times New Roman" w:hAnsi="Arial" w:cs="Arial"/>
          <w:color w:val="000000" w:themeColor="text1"/>
          <w:sz w:val="22"/>
          <w:szCs w:val="22"/>
        </w:rPr>
        <w:t>.</w:t>
      </w:r>
    </w:p>
    <w:p w14:paraId="1F7F6E0C" w14:textId="77777777" w:rsidR="001D3C8D" w:rsidRPr="003D2625" w:rsidRDefault="001D3C8D" w:rsidP="00DD614C">
      <w:pPr>
        <w:pStyle w:val="NormalWeb"/>
        <w:spacing w:before="0" w:beforeAutospacing="0" w:after="0" w:afterAutospacing="0"/>
        <w:jc w:val="both"/>
        <w:rPr>
          <w:rFonts w:ascii="Arial" w:eastAsia="Times New Roman" w:hAnsi="Arial" w:cs="Arial"/>
          <w:color w:val="000000" w:themeColor="text1"/>
          <w:sz w:val="22"/>
          <w:szCs w:val="22"/>
        </w:rPr>
      </w:pPr>
    </w:p>
    <w:p w14:paraId="089C92C8" w14:textId="45ACC407" w:rsidR="001D3C8D" w:rsidRPr="001D3C8D" w:rsidRDefault="001D3C8D" w:rsidP="00782E77">
      <w:pPr>
        <w:pStyle w:val="NormalWeb"/>
        <w:spacing w:before="0" w:beforeAutospacing="0" w:after="0" w:afterAutospacing="0"/>
        <w:jc w:val="both"/>
        <w:rPr>
          <w:rFonts w:ascii="Arial" w:hAnsi="Arial" w:cs="Arial"/>
          <w:color w:val="000000" w:themeColor="text1"/>
          <w:sz w:val="22"/>
          <w:szCs w:val="22"/>
          <w:lang w:bidi="mr-IN"/>
        </w:rPr>
      </w:pPr>
      <w:r w:rsidRPr="001D3C8D">
        <w:rPr>
          <w:rFonts w:ascii="Arial" w:eastAsia="Times New Roman" w:hAnsi="Arial" w:cs="Arial"/>
          <w:b/>
          <w:color w:val="000000" w:themeColor="text1"/>
          <w:sz w:val="22"/>
          <w:szCs w:val="22"/>
          <w:u w:val="single"/>
        </w:rPr>
        <w:t>Supplemental Note 8</w:t>
      </w:r>
      <w:r w:rsidRPr="001D3C8D">
        <w:rPr>
          <w:rFonts w:ascii="Arial" w:eastAsia="Times New Roman" w:hAnsi="Arial" w:cs="Arial"/>
          <w:b/>
          <w:color w:val="000000" w:themeColor="text1"/>
          <w:sz w:val="22"/>
          <w:szCs w:val="22"/>
        </w:rPr>
        <w:t xml:space="preserve">. </w:t>
      </w:r>
      <w:r w:rsidR="00782E77">
        <w:rPr>
          <w:rFonts w:ascii="Arial" w:eastAsia="Times New Roman" w:hAnsi="Arial" w:cs="Arial"/>
          <w:b/>
          <w:color w:val="000000" w:themeColor="text1"/>
          <w:sz w:val="22"/>
          <w:szCs w:val="22"/>
        </w:rPr>
        <w:t xml:space="preserve">Performance of max- and rank-combine to individual TRNs and combination of TRNs derived from different priors. </w:t>
      </w:r>
      <w:r w:rsidRPr="001D3C8D">
        <w:rPr>
          <w:rFonts w:ascii="Arial" w:hAnsi="Arial" w:cs="Arial"/>
          <w:color w:val="000000" w:themeColor="text1"/>
          <w:sz w:val="22"/>
          <w:szCs w:val="22"/>
          <w:lang w:bidi="mr-IN"/>
        </w:rPr>
        <w:t>Given the complementary performance of TF-mRNA- and prior-based TFA, we sought to combine the TRNs using both TFA methods (at moderate prior reinforcement). Given, t</w:t>
      </w:r>
      <w:r w:rsidRPr="003D2625">
        <w:rPr>
          <w:rFonts w:ascii="Arial" w:hAnsi="Arial" w:cs="Arial"/>
          <w:color w:val="000000" w:themeColor="text1"/>
          <w:sz w:val="22"/>
          <w:szCs w:val="22"/>
          <w:lang w:bidi="mr-IN"/>
        </w:rPr>
        <w:t>heir unique TF-specific AUPR profile (</w:t>
      </w:r>
      <w:r w:rsidRPr="003D2625">
        <w:rPr>
          <w:rFonts w:ascii="Arial" w:hAnsi="Arial" w:cs="Arial"/>
          <w:b/>
          <w:color w:val="000000" w:themeColor="text1"/>
          <w:sz w:val="22"/>
          <w:szCs w:val="22"/>
          <w:lang w:bidi="mr-IN"/>
        </w:rPr>
        <w:t>Fig. 2C</w:t>
      </w:r>
      <w:r w:rsidRPr="003D2625">
        <w:rPr>
          <w:rFonts w:ascii="Arial" w:hAnsi="Arial" w:cs="Arial"/>
          <w:color w:val="000000" w:themeColor="text1"/>
          <w:sz w:val="22"/>
          <w:szCs w:val="22"/>
          <w:lang w:bidi="mr-IN"/>
        </w:rPr>
        <w:t xml:space="preserve">), we combined methods by taking the maximum to preserve the individual strengths of each </w:t>
      </w:r>
      <w:r w:rsidRPr="003D2625">
        <w:rPr>
          <w:rFonts w:ascii="Arial" w:hAnsi="Arial" w:cs="Arial"/>
          <w:color w:val="000000" w:themeColor="text1"/>
          <w:sz w:val="22"/>
          <w:szCs w:val="22"/>
          <w:lang w:bidi="mr-IN"/>
        </w:rPr>
        <w:fldChar w:fldCharType="begin" w:fldLock="1"/>
      </w:r>
      <w:r w:rsidR="008460C9">
        <w:rPr>
          <w:rFonts w:ascii="Arial" w:hAnsi="Arial" w:cs="Arial"/>
          <w:color w:val="000000" w:themeColor="text1"/>
          <w:sz w:val="22"/>
          <w:szCs w:val="22"/>
          <w:lang w:bidi="mr-IN"/>
        </w:rPr>
        <w:instrText>ADDIN CSL_CITATION {"citationItems":[{"id":"ITEM-1","itemData":{"DOI":"10.1109/ICPR.1996.547205","ISBN":"081867282X","ISSN":"10514651","PMID":"20470429","abstract":"We develop a common theoretical framework for combining\\nclassifiers which use distinct pattern representations and show that\\nmany existing schemes can be considered as special cases of compound\\nclassification where all the pattern representations are used jointly to\\nmake a decision. An experimental comparison of various classifier\\ncombination schemes demonstrates that the combination rule developed\\nunder the most restrictive assumptions-the sum rule-outperforms other\\nclassifier combinations schemes. A sensitivity analysis of the various\\nschemes to estimation errors is carried out to show that this finding\\ncan be justified theoretically","author":[{"dropping-particle":"","family":"Kittler","given":"J.","non-dropping-particle":"","parse-names":false,"suffix":""},{"dropping-particle":"","family":"Hater","given":"M.","non-dropping-particle":"","parse-names":false,"suffix":""},{"dropping-particle":"","family":"Duin","given":"R. P.W.","non-dropping-particle":"","parse-names":false,"suffix":""}],"container-title":"Proceedings - International Conference on Pattern Recognition","id":"ITEM-1","issue":"3","issued":{"date-parts":[["1996"]]},"page":"897-901","title":"Combining classifiers","type":"article-journal","volume":"2"},"uris":["http://www.mendeley.com/documents/?uuid=93b1ec4f-d766-44f5-9e77-9d5e5ccb1483"]},{"id":"ITEM-2","itemData":{"DOI":"10.1101/279224. Accepted to PLoS Computational Biology.","abstract":"Gene regulatory networks are composed of sub-networks that are often shared across biological processes, cell-types, and organisms. Leveraging multiple sources of information, such as publicly available gene expression datasets, could therefore be helpful when learning a network of interest. Integrating data across different studies, however, raises numerous technical concerns. Hence, a common approach in network inference, and broadly in genomics research, is to separately learn models from each dataset and combine the results. Individual models, however, often suffer from under-sampling, poor generalization and limited network recovery. In this study, we explore previous integration strategies, such as batch-correction and model ensembles, and introduce a new multitask learning approach for joint network inference across several datasets. Our method initially estimates the activities of transcription factors, and subsequently, infers the relevant network topology. As regulatory interactions are context-dependent, we estimate model coefficients as a combination of both dataset-specific and conserved components. In addition, adaptive penalties may be used to favor models that include interactions derived from multiple sources of prior knowledge including orthogonal genomics experiments. We evaluate generalization and network recovery using examples from Bacillus subtilis and Saccharomyces cerevisiae, and show that sharing information across models improves network reconstruction. Finally, we demonstrate robustness to both false positives in the prior information and heterogeneity among datasets.","author":[{"dropping-particle":"","family":"Castro","given":"Dayanne M.","non-dropping-particle":"","parse-names":false,"suffix":""},{"dropping-particle":"de","family":"Veaux","given":"Nick","non-dropping-particle":"","parse-names":false,"suffix":""},{"dropping-particle":"","family":"Miraldi","given":"Emily R.","non-dropping-particle":"","parse-names":false,"suffix":""},{"dropping-particle":"","family":"Bonneau","given":"Richard","non-dropping-particle":"","parse-names":false,"suffix":""}],"container-title":"bioRxiv","id":"ITEM-2","issued":{"date-parts":[["2018"]]},"page":"279224","title":"Multi-study inference of regulatory networks for more accurate models of gene regulation","type":"article-journal"},"uris":["http://www.mendeley.com/documents/?uuid=54b6cf33-7085-4b82-a398-8c9f08bef8cc"]}],"mendeley":{"formattedCitation":"(Kittler et al. 1996; Castro et al. 2018)","plainTextFormattedCitation":"(Kittler et al. 1996; Castro et al. 2018)","previouslyFormattedCitation":"(Kittler et al. 1996; Castro et al. 2018)"},"properties":{"noteIndex":0},"schema":"https://github.com/citation-style-language/schema/raw/master/csl-citation.json"}</w:instrText>
      </w:r>
      <w:r w:rsidRPr="003D2625">
        <w:rPr>
          <w:rFonts w:ascii="Arial" w:hAnsi="Arial" w:cs="Arial"/>
          <w:color w:val="000000" w:themeColor="text1"/>
          <w:sz w:val="22"/>
          <w:szCs w:val="22"/>
          <w:lang w:bidi="mr-IN"/>
        </w:rPr>
        <w:fldChar w:fldCharType="separate"/>
      </w:r>
      <w:r w:rsidR="009E17FE" w:rsidRPr="009E17FE">
        <w:rPr>
          <w:rFonts w:ascii="Arial" w:hAnsi="Arial" w:cs="Arial"/>
          <w:noProof/>
          <w:color w:val="000000" w:themeColor="text1"/>
          <w:sz w:val="22"/>
          <w:szCs w:val="22"/>
          <w:lang w:bidi="mr-IN"/>
        </w:rPr>
        <w:t>(Kittler et al. 1996; Castro et al. 2018)</w:t>
      </w:r>
      <w:r w:rsidRPr="003D2625">
        <w:rPr>
          <w:rFonts w:ascii="Arial" w:hAnsi="Arial" w:cs="Arial"/>
          <w:color w:val="000000" w:themeColor="text1"/>
          <w:sz w:val="22"/>
          <w:szCs w:val="22"/>
          <w:lang w:bidi="mr-IN"/>
        </w:rPr>
        <w:fldChar w:fldCharType="end"/>
      </w:r>
      <w:r w:rsidRPr="003D2625">
        <w:rPr>
          <w:rFonts w:ascii="Arial" w:hAnsi="Arial" w:cs="Arial"/>
          <w:color w:val="000000" w:themeColor="text1"/>
          <w:sz w:val="22"/>
          <w:szCs w:val="22"/>
          <w:lang w:bidi="mr-IN"/>
        </w:rPr>
        <w:t xml:space="preserve">. We compare  and compared to rank-sum (or average) combination </w:t>
      </w:r>
      <w:r w:rsidRPr="003D2625">
        <w:rPr>
          <w:rFonts w:ascii="Arial" w:hAnsi="Arial" w:cs="Arial"/>
          <w:color w:val="000000" w:themeColor="text1"/>
          <w:sz w:val="22"/>
          <w:szCs w:val="22"/>
          <w:lang w:bidi="mr-IN"/>
        </w:rPr>
        <w:fldChar w:fldCharType="begin" w:fldLock="1"/>
      </w:r>
      <w:r w:rsidR="008460C9">
        <w:rPr>
          <w:rFonts w:ascii="Arial" w:hAnsi="Arial" w:cs="Arial"/>
          <w:color w:val="000000" w:themeColor="text1"/>
          <w:sz w:val="22"/>
          <w:szCs w:val="22"/>
          <w:lang w:bidi="mr-IN"/>
        </w:rPr>
        <w:instrText>ADDIN CSL_CITATION {"citationItems":[{"id":"ITEM-1","itemData":{"ISSN":"1548-7105","author":[{"dropping-particle":"","family":"Marbach","given":"Daniel","non-dropping-particle":"","parse-names":false,"suffix":""},{"dropping-particle":"","family":"Costello","given":"James C","non-dropping-particle":"","parse-names":false,"suffix":""},{"dropping-particle":"","family":"Küffner","given":"Robert","non-dropping-particle":"","parse-names":false,"suffix":""},{"dropping-particle":"","family":"Vega","given":"Nicole M","non-dropping-particle":"","parse-names":false,"suffix":""},{"dropping-particle":"","family":"Prill","given":"Robert J","non-dropping-particle":"","parse-names":false,"suffix":""},{"dropping-particle":"","family":"Camacho","given":"Diogo M","non-dropping-particle":"","parse-names":false,"suffix":""},{"dropping-particle":"","family":"Allison","given":"Kyle R","non-dropping-particle":"","parse-names":false,"suffix":""},{"dropping-particle":"","family":"Aderhold","given":"Andrej","non-dropping-particle":"","parse-names":false,"suffix":""},{"dropping-particle":"","family":"Bonneau","given":"Richard","non-dropping-particle":"","parse-names":false,"suffix":""},{"dropping-particle":"","family":"Chen","given":"Yukun","non-dropping-particle":"","parse-names":false,"suffix":""}],"container-title":"Nature methods","id":"ITEM-1","issue":"8","issued":{"date-parts":[["2012"]]},"page":"796","publisher":"Nature Publishing Group","title":"Wisdom of crowds for robust gene network inference","type":"article-journal","volume":"9"},"uris":["http://www.mendeley.com/documents/?uuid=0b2247be-0418-4830-b1e5-a9f35c414551"]}],"mendeley":{"formattedCitation":"(Marbach et al. 2012)","plainTextFormattedCitation":"(Marbach et al. 2012)","previouslyFormattedCitation":"(Marbach et al. 2012)"},"properties":{"noteIndex":0},"schema":"https://github.com/citation-style-language/schema/raw/master/csl-citation.json"}</w:instrText>
      </w:r>
      <w:r w:rsidRPr="003D2625">
        <w:rPr>
          <w:rFonts w:ascii="Arial" w:hAnsi="Arial" w:cs="Arial"/>
          <w:color w:val="000000" w:themeColor="text1"/>
          <w:sz w:val="22"/>
          <w:szCs w:val="22"/>
          <w:lang w:bidi="mr-IN"/>
        </w:rPr>
        <w:fldChar w:fldCharType="separate"/>
      </w:r>
      <w:r w:rsidR="009E17FE" w:rsidRPr="009E17FE">
        <w:rPr>
          <w:rFonts w:ascii="Arial" w:hAnsi="Arial" w:cs="Arial"/>
          <w:noProof/>
          <w:color w:val="000000" w:themeColor="text1"/>
          <w:sz w:val="22"/>
          <w:szCs w:val="22"/>
          <w:lang w:bidi="mr-IN"/>
        </w:rPr>
        <w:t>(Marbach et al. 2012)</w:t>
      </w:r>
      <w:r w:rsidRPr="003D2625">
        <w:rPr>
          <w:rFonts w:ascii="Arial" w:hAnsi="Arial" w:cs="Arial"/>
          <w:color w:val="000000" w:themeColor="text1"/>
          <w:sz w:val="22"/>
          <w:szCs w:val="22"/>
          <w:lang w:bidi="mr-IN"/>
        </w:rPr>
        <w:fldChar w:fldCharType="end"/>
      </w:r>
      <w:r w:rsidRPr="003D2625">
        <w:rPr>
          <w:rFonts w:ascii="Arial" w:hAnsi="Arial" w:cs="Arial"/>
          <w:color w:val="000000" w:themeColor="text1"/>
          <w:sz w:val="22"/>
          <w:szCs w:val="22"/>
          <w:lang w:bidi="mr-IN"/>
        </w:rPr>
        <w:t>, which would emphasize commonalities but potentially mask individual strengths. As anticipated, max-rank combination had better precision-recall than rank-sum combination (</w:t>
      </w:r>
      <w:r w:rsidRPr="003D2625">
        <w:rPr>
          <w:rFonts w:ascii="Arial" w:hAnsi="Arial" w:cs="Arial"/>
          <w:b/>
          <w:color w:val="000000" w:themeColor="text1"/>
          <w:sz w:val="22"/>
          <w:szCs w:val="22"/>
          <w:lang w:bidi="mr-IN"/>
        </w:rPr>
        <w:t>Supplemental Fig. S33</w:t>
      </w:r>
      <w:r w:rsidRPr="003D2625">
        <w:rPr>
          <w:rFonts w:ascii="Arial" w:hAnsi="Arial" w:cs="Arial"/>
          <w:color w:val="000000" w:themeColor="text1"/>
          <w:sz w:val="22"/>
          <w:szCs w:val="22"/>
          <w:lang w:bidi="mr-IN"/>
        </w:rPr>
        <w:t>). For combination of edges with different sign, partial correlations were averaged to yield sign in the combined TRN. Given the orthogonal nature of the TRRUST prior (publicly available to those considering experimental designs for TRN inference), we also tested rank-combination of ATAC and TRRUST TRNs (combining a total of four TRNs, TF mRNA and prior-based TFA for each prior), but observed no benefit, in terms of improved precision-recall (</w:t>
      </w:r>
      <w:r w:rsidRPr="003D2625">
        <w:rPr>
          <w:rFonts w:ascii="Arial" w:hAnsi="Arial" w:cs="Arial"/>
          <w:b/>
          <w:color w:val="000000" w:themeColor="text1"/>
          <w:sz w:val="22"/>
          <w:szCs w:val="22"/>
          <w:lang w:bidi="mr-IN"/>
        </w:rPr>
        <w:t>Supplemental Fig. S34</w:t>
      </w:r>
      <w:r w:rsidRPr="003D2625">
        <w:rPr>
          <w:rFonts w:ascii="Arial" w:hAnsi="Arial" w:cs="Arial"/>
          <w:color w:val="000000" w:themeColor="text1"/>
          <w:sz w:val="22"/>
          <w:szCs w:val="22"/>
          <w:lang w:bidi="mr-IN"/>
        </w:rPr>
        <w:t xml:space="preserve">). More sophisticated methods for integrating TRNs would likely show benefit over the simple </w:t>
      </w:r>
      <w:r w:rsidRPr="001D3C8D">
        <w:rPr>
          <w:rFonts w:ascii="Arial" w:hAnsi="Arial" w:cs="Arial"/>
          <w:color w:val="000000" w:themeColor="text1"/>
          <w:sz w:val="22"/>
          <w:szCs w:val="22"/>
          <w:lang w:bidi="mr-IN"/>
        </w:rPr>
        <w:t xml:space="preserve">techniques tested here </w:t>
      </w:r>
      <w:r w:rsidRPr="001D3C8D">
        <w:rPr>
          <w:rFonts w:ascii="Arial" w:hAnsi="Arial" w:cs="Arial"/>
          <w:color w:val="000000" w:themeColor="text1"/>
          <w:sz w:val="22"/>
          <w:szCs w:val="22"/>
          <w:lang w:bidi="mr-IN"/>
        </w:rPr>
        <w:fldChar w:fldCharType="begin" w:fldLock="1"/>
      </w:r>
      <w:r w:rsidR="008460C9">
        <w:rPr>
          <w:rFonts w:ascii="Arial" w:hAnsi="Arial" w:cs="Arial"/>
          <w:color w:val="000000" w:themeColor="text1"/>
          <w:sz w:val="22"/>
          <w:szCs w:val="22"/>
          <w:lang w:bidi="mr-IN"/>
        </w:rPr>
        <w:instrText>ADDIN CSL_CITATION {"citationItems":[{"id":"ITEM-1","itemData":{"DOI":"10.1073/pnas.1219097111","ISBN":"0027-8424","ISSN":"1091-6490","PMID":"24474744","abstract":"In a broad range of classification and decision-making problems, one is given the advice or predictions of several classifiers, of unknown reliability, over multiple questions or queries. This scenario is different from the standard supervised setting, where each classifier's accuracy can be assessed using available labeled data, and raises two questions: Given only the predictions of several classifiers over a large set of unlabeled test data, is it possible to (i) reliably rank them and (ii) construct a metaclassifier more accurate than most classifiers in the ensemble? Here we present a spectral approach to address these questions. First, assuming conditional independence between classifiers, we show that the off-diagonal entries of their covariance matrix correspond to a rank-one matrix. Moreover, the classifiers can be ranked using the leading eigenvector of this covariance matrix, because its entries are proportional to their balanced accuracies. Second, via a linear approximation to the maximum likelihood estimator, we derive the Spectral Meta-Learner (SML), an unsupervised ensemble classifier whose weights are equal to these eigenvector entries. On both simulated and real data, SML typically achieves a higher accuracy than most classifiers in the ensemble and can provide a better starting point than majority voting for estimating the maximum likelihood solution. Furthermore, SML is robust to the presence of small malicious groups of classifiers designed to veer the ensemble prediction away from the (unknown) ground truth.","author":[{"dropping-particle":"","family":"Parisi","given":"Fabio","non-dropping-particle":"","parse-names":false,"suffix":""},{"dropping-particle":"","family":"Strino","given":"Francesco","non-dropping-particle":"","parse-names":false,"suffix":""},{"dropping-particle":"","family":"Nadler","given":"Boaz","non-dropping-particle":"","parse-names":false,"suffix":""},{"dropping-particle":"","family":"Kluger","given":"Yuval","non-dropping-particle":"","parse-names":false,"suffix":""}],"container-title":"Proceedings of the National Academy of Sciences of the United States of America","id":"ITEM-1","issue":"4","issued":{"date-parts":[["2014"]]},"page":"1253-8","title":"Ranking and combining multiple predictors without labeled data.","type":"article-journal","volume":"111"},"uris":["http://www.mendeley.com/documents/?uuid=2de2a633-70a2-4eb7-b2a1-d356a2ff0da7"]},{"id":"ITEM-2","itemData":{"DOI":"10.1101/279224. Accepted to PLoS Computational Biology.","abstract":"Gene regulatory networks are composed of sub-networks that are often shared across biological processes, cell-types, and organisms. Leveraging multiple sources of information, such as publicly available gene expression datasets, could therefore be helpful when learning a network of interest. Integrating data across different studies, however, raises numerous technical concerns. Hence, a common approach in network inference, and broadly in genomics research, is to separately learn models from each dataset and combine the results. Individual models, however, often suffer from under-sampling, poor generalization and limited network recovery. In this study, we explore previous integration strategies, such as batch-correction and model ensembles, and introduce a new multitask learning approach for joint network inference across several datasets. Our method initially estimates the activities of transcription factors, and subsequently, infers the relevant network topology. As regulatory interactions are context-dependent, we estimate model coefficients as a combination of both dataset-specific and conserved components. In addition, adaptive penalties may be used to favor models that include interactions derived from multiple sources of prior knowledge including orthogonal genomics experiments. We evaluate generalization and network recovery using examples from Bacillus subtilis and Saccharomyces cerevisiae, and show that sharing information across models improves network reconstruction. Finally, we demonstrate robustness to both false positives in the prior information and heterogeneity among datasets.","author":[{"dropping-particle":"","family":"Castro","given":"Dayanne M.","non-dropping-particle":"","parse-names":false,"suffix":""},{"dropping-particle":"de","family":"Veaux","given":"Nick","non-dropping-particle":"","parse-names":false,"suffix":""},{"dropping-particle":"","family":"Miraldi","given":"Emily R.","non-dropping-particle":"","parse-names":false,"suffix":""},{"dropping-particle":"","family":"Bonneau","given":"Richard","non-dropping-particle":"","parse-names":false,"suffix":""}],"container-title":"bioRxiv","id":"ITEM-2","issued":{"date-parts":[["2018"]]},"page":"279224","title":"Multi-study inference of regulatory networks for more accurate models of gene regulation","type":"article-journal"},"uris":["http://www.mendeley.com/documents/?uuid=54b6cf33-7085-4b82-a398-8c9f08bef8cc"]}],"mendeley":{"formattedCitation":"(Parisi et al. 2014; Castro et al. 2018)","plainTextFormattedCitation":"(Parisi et al. 2014; Castro et al. 2018)","previouslyFormattedCitation":"(Parisi et al. 2014; Castro et al. 2018)"},"properties":{"noteIndex":0},"schema":"https://github.com/citation-style-language/schema/raw/master/csl-citation.json"}</w:instrText>
      </w:r>
      <w:r w:rsidRPr="001D3C8D">
        <w:rPr>
          <w:rFonts w:ascii="Arial" w:hAnsi="Arial" w:cs="Arial"/>
          <w:color w:val="000000" w:themeColor="text1"/>
          <w:sz w:val="22"/>
          <w:szCs w:val="22"/>
          <w:lang w:bidi="mr-IN"/>
        </w:rPr>
        <w:fldChar w:fldCharType="separate"/>
      </w:r>
      <w:r w:rsidR="009E17FE" w:rsidRPr="009E17FE">
        <w:rPr>
          <w:rFonts w:ascii="Arial" w:hAnsi="Arial" w:cs="Arial"/>
          <w:noProof/>
          <w:color w:val="000000" w:themeColor="text1"/>
          <w:sz w:val="22"/>
          <w:szCs w:val="22"/>
          <w:lang w:bidi="mr-IN"/>
        </w:rPr>
        <w:t>(Parisi et al. 2014; Castro et al. 2018)</w:t>
      </w:r>
      <w:r w:rsidRPr="001D3C8D">
        <w:rPr>
          <w:rFonts w:ascii="Arial" w:hAnsi="Arial" w:cs="Arial"/>
          <w:color w:val="000000" w:themeColor="text1"/>
          <w:sz w:val="22"/>
          <w:szCs w:val="22"/>
          <w:lang w:bidi="mr-IN"/>
        </w:rPr>
        <w:fldChar w:fldCharType="end"/>
      </w:r>
      <w:r w:rsidRPr="001D3C8D">
        <w:rPr>
          <w:rFonts w:ascii="Arial" w:hAnsi="Arial" w:cs="Arial"/>
          <w:color w:val="000000" w:themeColor="text1"/>
          <w:sz w:val="22"/>
          <w:szCs w:val="22"/>
          <w:lang w:bidi="mr-IN"/>
        </w:rPr>
        <w:t>, but are beyond the scope of this work.</w:t>
      </w:r>
    </w:p>
    <w:p w14:paraId="1CB64076" w14:textId="69928DC5" w:rsidR="00DD614C" w:rsidRDefault="00DD614C" w:rsidP="00D72ADD">
      <w:pPr>
        <w:jc w:val="both"/>
        <w:rPr>
          <w:rFonts w:ascii="Arial" w:eastAsiaTheme="minorEastAsia" w:hAnsi="Arial" w:cs="Arial"/>
          <w:b/>
          <w:color w:val="000000" w:themeColor="text1"/>
          <w:sz w:val="22"/>
          <w:szCs w:val="22"/>
        </w:rPr>
      </w:pPr>
    </w:p>
    <w:p w14:paraId="2259D801" w14:textId="66F79CE7" w:rsidR="00CD4328" w:rsidRPr="003D2625" w:rsidRDefault="00CD4328" w:rsidP="00CD4328">
      <w:pPr>
        <w:jc w:val="both"/>
        <w:outlineLvl w:val="0"/>
        <w:rPr>
          <w:rFonts w:ascii="Arial" w:hAnsi="Arial" w:cs="Arial"/>
          <w:color w:val="000000" w:themeColor="text1"/>
          <w:sz w:val="22"/>
          <w:szCs w:val="22"/>
        </w:rPr>
      </w:pPr>
      <w:r w:rsidRPr="00CD4328">
        <w:rPr>
          <w:rFonts w:ascii="Arial" w:hAnsi="Arial" w:cs="Arial"/>
          <w:b/>
          <w:color w:val="000000" w:themeColor="text1"/>
          <w:sz w:val="22"/>
          <w:szCs w:val="22"/>
          <w:u w:val="single"/>
        </w:rPr>
        <w:t>Supplemental Note 9</w:t>
      </w:r>
      <w:r>
        <w:rPr>
          <w:rFonts w:ascii="Arial" w:hAnsi="Arial" w:cs="Arial"/>
          <w:b/>
          <w:color w:val="000000" w:themeColor="text1"/>
          <w:sz w:val="22"/>
          <w:szCs w:val="22"/>
        </w:rPr>
        <w:t xml:space="preserve">. </w:t>
      </w:r>
      <w:r w:rsidRPr="007A0480">
        <w:rPr>
          <w:rFonts w:ascii="Arial" w:hAnsi="Arial" w:cs="Arial"/>
          <w:b/>
          <w:color w:val="000000" w:themeColor="text1"/>
          <w:sz w:val="22"/>
          <w:szCs w:val="22"/>
        </w:rPr>
        <w:t>TF-TF Module Analysis.</w:t>
      </w:r>
      <w:r w:rsidRPr="007A0480">
        <w:rPr>
          <w:rFonts w:ascii="Arial" w:hAnsi="Arial" w:cs="Arial"/>
          <w:color w:val="000000" w:themeColor="text1"/>
          <w:sz w:val="22"/>
          <w:szCs w:val="22"/>
        </w:rPr>
        <w:t xml:space="preserve"> We calculated the number of shared target genes between each pair of TFs, analyzing positive and negative target edges separately. (Edges with |partial correlation| &lt; .01 were exclu</w:t>
      </w:r>
      <w:r w:rsidRPr="003D2625">
        <w:rPr>
          <w:rFonts w:ascii="Arial" w:hAnsi="Arial" w:cs="Arial"/>
          <w:color w:val="000000" w:themeColor="text1"/>
          <w:sz w:val="22"/>
          <w:szCs w:val="22"/>
        </w:rPr>
        <w:t>ded from analysis, as were TFs with fewer than 20 gene targets.) TFs vary greatly by number of target genes (</w:t>
      </w:r>
      <w:r w:rsidRPr="003D2625">
        <w:rPr>
          <w:rFonts w:ascii="Arial" w:hAnsi="Arial" w:cs="Arial"/>
          <w:b/>
          <w:color w:val="000000" w:themeColor="text1"/>
          <w:sz w:val="22"/>
          <w:szCs w:val="22"/>
        </w:rPr>
        <w:t xml:space="preserve">Supplemental Fig. </w:t>
      </w:r>
      <w:r w:rsidR="002B28DD">
        <w:rPr>
          <w:rFonts w:ascii="Arial" w:hAnsi="Arial" w:cs="Arial"/>
          <w:b/>
          <w:color w:val="000000" w:themeColor="text1"/>
          <w:sz w:val="22"/>
          <w:szCs w:val="22"/>
        </w:rPr>
        <w:t>S10</w:t>
      </w:r>
      <w:r w:rsidRPr="003D2625">
        <w:rPr>
          <w:rFonts w:ascii="Arial" w:hAnsi="Arial" w:cs="Arial"/>
          <w:b/>
          <w:color w:val="000000" w:themeColor="text1"/>
          <w:sz w:val="22"/>
          <w:szCs w:val="22"/>
        </w:rPr>
        <w:t xml:space="preserve">, </w:t>
      </w:r>
      <w:r w:rsidR="002B28DD">
        <w:rPr>
          <w:rFonts w:ascii="Arial" w:hAnsi="Arial" w:cs="Arial"/>
          <w:b/>
          <w:color w:val="000000" w:themeColor="text1"/>
          <w:sz w:val="22"/>
          <w:szCs w:val="22"/>
        </w:rPr>
        <w:t>S11</w:t>
      </w:r>
      <w:r w:rsidRPr="003D2625">
        <w:rPr>
          <w:rFonts w:ascii="Arial" w:hAnsi="Arial" w:cs="Arial"/>
          <w:color w:val="000000" w:themeColor="text1"/>
          <w:sz w:val="22"/>
          <w:szCs w:val="22"/>
        </w:rPr>
        <w:t xml:space="preserve">), so we devised an overlap normalization scheme that controlled for the variable number of targets per TF. This approach is detailed in </w:t>
      </w:r>
      <w:r w:rsidRPr="003D2625">
        <w:rPr>
          <w:rFonts w:ascii="Arial" w:hAnsi="Arial" w:cs="Arial"/>
          <w:b/>
          <w:color w:val="000000" w:themeColor="text1"/>
          <w:sz w:val="22"/>
          <w:szCs w:val="22"/>
        </w:rPr>
        <w:t>Supplemental Note 9</w:t>
      </w:r>
      <w:r w:rsidRPr="003D2625">
        <w:rPr>
          <w:rFonts w:ascii="Arial" w:hAnsi="Arial" w:cs="Arial"/>
          <w:color w:val="000000" w:themeColor="text1"/>
          <w:sz w:val="22"/>
          <w:szCs w:val="22"/>
        </w:rPr>
        <w:t xml:space="preserve">. Specifically, we took inspiration from context likelihood of relatedness (CLR), a background-normalized mutual information score </w:t>
      </w:r>
      <w:r w:rsidRPr="003D2625">
        <w:rPr>
          <w:rFonts w:ascii="Arial" w:hAnsi="Arial" w:cs="Arial"/>
          <w:color w:val="000000" w:themeColor="text1"/>
          <w:sz w:val="22"/>
          <w:szCs w:val="22"/>
        </w:rPr>
        <w:fldChar w:fldCharType="begin" w:fldLock="1"/>
      </w:r>
      <w:r w:rsidR="008460C9">
        <w:rPr>
          <w:rFonts w:ascii="Arial" w:hAnsi="Arial" w:cs="Arial"/>
          <w:color w:val="000000" w:themeColor="text1"/>
          <w:sz w:val="22"/>
          <w:szCs w:val="22"/>
        </w:rPr>
        <w:instrText>ADDIN CSL_CITATION {"citationItems":[{"id":"ITEM-1","itemData":{"ISSN":"1545-7885","author":[{"dropping-particle":"","family":"Faith","given":"Jeremiah J","non-dropping-particle":"","parse-names":false,"suffix":""},{"dropping-particle":"","family":"Hayete","given":"Boris","non-dropping-particle":"","parse-names":false,"suffix":""},{"dropping-particle":"","family":"Thaden","given":"Joshua T","non-dropping-particle":"","parse-names":false,"suffix":""},{"dropping-particle":"","family":"Mogno","given":"Ilaria","non-dropping-particle":"","parse-names":false,"suffix":""},{"dropping-particle":"","family":"Wierzbowski","given":"Jamey","non-dropping-particle":"","parse-names":false,"suffix":""},{"dropping-particle":"","family":"Cottarel","given":"Guillaume","non-dropping-particle":"","parse-names":false,"suffix":""},{"dropping-particle":"","family":"Kasif","given":"Simon","non-dropping-particle":"","parse-names":false,"suffix":""},{"dropping-particle":"","family":"Collins","given":"James J","non-dropping-particle":"","parse-names":false,"suffix":""},{"dropping-particle":"","family":"Gardner","given":"Timothy S","non-dropping-particle":"","parse-names":false,"suffix":""}],"container-title":"PLoS biology","id":"ITEM-1","issue":"1","issued":{"date-parts":[["2007"]]},"page":"e8","publisher":"Public Library of Science","title":"Large-scale mapping and validation of Escherichia coli transcriptional regulation from a compendium of expression profiles","type":"article-journal","volume":"5"},"uris":["http://www.mendeley.com/documents/?uuid=99cb2db1-218a-4fef-9bb4-9ea6ddd052e2"]}],"mendeley":{"formattedCitation":"(Faith et al. 2007)","plainTextFormattedCitation":"(Faith et al. 2007)","previouslyFormattedCitation":"(Faith et al. 2007)"},"properties":{"noteIndex":0},"schema":"https://github.com/citation-style-language/schema/raw/master/csl-citation.json"}</w:instrText>
      </w:r>
      <w:r w:rsidRPr="003D2625">
        <w:rPr>
          <w:rFonts w:ascii="Arial" w:hAnsi="Arial" w:cs="Arial"/>
          <w:color w:val="000000" w:themeColor="text1"/>
          <w:sz w:val="22"/>
          <w:szCs w:val="22"/>
        </w:rPr>
        <w:fldChar w:fldCharType="separate"/>
      </w:r>
      <w:r w:rsidR="009E17FE" w:rsidRPr="009E17FE">
        <w:rPr>
          <w:rFonts w:ascii="Arial" w:hAnsi="Arial" w:cs="Arial"/>
          <w:noProof/>
          <w:color w:val="000000" w:themeColor="text1"/>
          <w:sz w:val="22"/>
          <w:szCs w:val="22"/>
        </w:rPr>
        <w:t>(Faith et al. 2007)</w:t>
      </w:r>
      <w:r w:rsidRPr="003D2625">
        <w:rPr>
          <w:rFonts w:ascii="Arial" w:hAnsi="Arial" w:cs="Arial"/>
          <w:color w:val="000000" w:themeColor="text1"/>
          <w:sz w:val="22"/>
          <w:szCs w:val="22"/>
        </w:rPr>
        <w:fldChar w:fldCharType="end"/>
      </w:r>
      <w:r w:rsidRPr="003D2625">
        <w:rPr>
          <w:rFonts w:ascii="Arial" w:hAnsi="Arial" w:cs="Arial"/>
          <w:color w:val="000000" w:themeColor="text1"/>
          <w:sz w:val="22"/>
          <w:szCs w:val="22"/>
        </w:rPr>
        <w:t xml:space="preserve">. We define the background-normalized overlap score </w:t>
      </w: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ij</m:t>
            </m:r>
          </m:sub>
        </m:sSub>
      </m:oMath>
      <w:r w:rsidRPr="003D2625">
        <w:rPr>
          <w:rFonts w:ascii="Arial" w:hAnsi="Arial" w:cs="Arial"/>
          <w:color w:val="000000" w:themeColor="text1"/>
          <w:sz w:val="22"/>
          <w:szCs w:val="22"/>
        </w:rPr>
        <w:t xml:space="preserve"> between TF </w:t>
      </w:r>
      <w:r w:rsidRPr="003D2625">
        <w:rPr>
          <w:rFonts w:ascii="Cambria Math" w:hAnsi="Cambria Math" w:cs="Arial"/>
          <w:i/>
          <w:color w:val="000000" w:themeColor="text1"/>
          <w:sz w:val="22"/>
          <w:szCs w:val="22"/>
        </w:rPr>
        <w:t>i</w:t>
      </w:r>
      <w:r w:rsidRPr="003D2625">
        <w:rPr>
          <w:rFonts w:ascii="Arial" w:hAnsi="Arial" w:cs="Arial"/>
          <w:color w:val="000000" w:themeColor="text1"/>
          <w:sz w:val="22"/>
          <w:szCs w:val="22"/>
        </w:rPr>
        <w:t xml:space="preserve"> and TF </w:t>
      </w:r>
      <w:r w:rsidRPr="003D2625">
        <w:rPr>
          <w:rFonts w:ascii="Cambria Math" w:hAnsi="Cambria Math" w:cs="Arial"/>
          <w:i/>
          <w:color w:val="000000" w:themeColor="text1"/>
          <w:sz w:val="22"/>
          <w:szCs w:val="22"/>
        </w:rPr>
        <w:t>j</w:t>
      </w:r>
      <w:r w:rsidRPr="003D2625">
        <w:rPr>
          <w:rFonts w:ascii="Arial" w:hAnsi="Arial" w:cs="Arial"/>
          <w:color w:val="000000" w:themeColor="text1"/>
          <w:sz w:val="22"/>
          <w:szCs w:val="22"/>
        </w:rPr>
        <w:t xml:space="preserve"> as:</w:t>
      </w:r>
    </w:p>
    <w:p w14:paraId="6BC06E76" w14:textId="77777777" w:rsidR="00CD4328" w:rsidRPr="003D2625" w:rsidRDefault="00DF407F" w:rsidP="00CD4328">
      <w:pPr>
        <w:jc w:val="center"/>
        <w:outlineLvl w:val="0"/>
        <w:rPr>
          <w:rFonts w:ascii="Arial" w:eastAsiaTheme="minorEastAsia" w:hAnsi="Arial" w:cs="Arial"/>
          <w:color w:val="000000" w:themeColor="text1"/>
          <w:sz w:val="22"/>
          <w:szCs w:val="22"/>
        </w:rPr>
      </w:pP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ij</m:t>
            </m:r>
          </m:sub>
        </m:sSub>
        <m:r>
          <w:rPr>
            <w:rFonts w:ascii="Cambria Math" w:hAnsi="Cambria Math" w:cs="Arial"/>
            <w:color w:val="000000" w:themeColor="text1"/>
            <w:sz w:val="22"/>
            <w:szCs w:val="22"/>
          </w:rPr>
          <m:t>=</m:t>
        </m:r>
        <m:d>
          <m:dPr>
            <m:begChr m:val="{"/>
            <m:endChr m:val=""/>
            <m:ctrlPr>
              <w:rPr>
                <w:rFonts w:ascii="Cambria Math" w:hAnsi="Cambria Math" w:cs="Arial"/>
                <w:i/>
                <w:color w:val="000000" w:themeColor="text1"/>
                <w:sz w:val="22"/>
                <w:szCs w:val="22"/>
              </w:rPr>
            </m:ctrlPr>
          </m:dPr>
          <m:e>
            <m:m>
              <m:mPr>
                <m:mcs>
                  <m:mc>
                    <m:mcPr>
                      <m:count m:val="2"/>
                      <m:mcJc m:val="center"/>
                    </m:mcPr>
                  </m:mc>
                </m:mcs>
                <m:ctrlPr>
                  <w:rPr>
                    <w:rFonts w:ascii="Cambria Math" w:hAnsi="Cambria Math" w:cs="Arial"/>
                    <w:i/>
                    <w:color w:val="000000" w:themeColor="text1"/>
                    <w:sz w:val="22"/>
                    <w:szCs w:val="22"/>
                  </w:rPr>
                </m:ctrlPr>
              </m:mPr>
              <m:mr>
                <m:e>
                  <m:rad>
                    <m:radPr>
                      <m:degHide m:val="1"/>
                      <m:ctrlPr>
                        <w:rPr>
                          <w:rFonts w:ascii="Cambria Math" w:hAnsi="Cambria Math" w:cs="Arial"/>
                          <w:i/>
                          <w:color w:val="000000" w:themeColor="text1"/>
                          <w:sz w:val="22"/>
                          <w:szCs w:val="22"/>
                        </w:rPr>
                      </m:ctrlPr>
                    </m:radPr>
                    <m:deg/>
                    <m:e>
                      <m:sSup>
                        <m:sSupPr>
                          <m:ctrlPr>
                            <w:rPr>
                              <w:rFonts w:ascii="Cambria Math" w:hAnsi="Cambria Math" w:cs="Arial"/>
                              <w:i/>
                              <w:color w:val="000000" w:themeColor="text1"/>
                              <w:sz w:val="22"/>
                              <w:szCs w:val="22"/>
                            </w:rPr>
                          </m:ctrlPr>
                        </m:sSupPr>
                        <m:e>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i|j</m:t>
                              </m:r>
                            </m:sub>
                          </m:sSub>
                        </m:e>
                        <m:sup>
                          <m:r>
                            <w:rPr>
                              <w:rFonts w:ascii="Cambria Math" w:hAnsi="Cambria Math" w:cs="Arial"/>
                              <w:color w:val="000000" w:themeColor="text1"/>
                              <w:sz w:val="22"/>
                              <w:szCs w:val="22"/>
                            </w:rPr>
                            <m:t>2</m:t>
                          </m:r>
                        </m:sup>
                      </m:sSup>
                      <m:r>
                        <w:rPr>
                          <w:rFonts w:ascii="Cambria Math" w:hAnsi="Cambria Math" w:cs="Arial"/>
                          <w:color w:val="000000" w:themeColor="text1"/>
                          <w:sz w:val="22"/>
                          <w:szCs w:val="22"/>
                        </w:rPr>
                        <m:t>+</m:t>
                      </m:r>
                      <m:sSup>
                        <m:sSupPr>
                          <m:ctrlPr>
                            <w:rPr>
                              <w:rFonts w:ascii="Cambria Math" w:hAnsi="Cambria Math" w:cs="Arial"/>
                              <w:i/>
                              <w:color w:val="000000" w:themeColor="text1"/>
                              <w:sz w:val="22"/>
                              <w:szCs w:val="22"/>
                            </w:rPr>
                          </m:ctrlPr>
                        </m:sSupPr>
                        <m:e>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j|i</m:t>
                              </m:r>
                            </m:sub>
                          </m:sSub>
                        </m:e>
                        <m:sup>
                          <m:r>
                            <w:rPr>
                              <w:rFonts w:ascii="Cambria Math" w:hAnsi="Cambria Math" w:cs="Arial"/>
                              <w:color w:val="000000" w:themeColor="text1"/>
                              <w:sz w:val="22"/>
                              <w:szCs w:val="22"/>
                            </w:rPr>
                            <m:t>2</m:t>
                          </m:r>
                        </m:sup>
                      </m:sSup>
                    </m:e>
                  </m:rad>
                  <m:r>
                    <w:rPr>
                      <w:rFonts w:ascii="Cambria Math" w:hAnsi="Cambria Math" w:cs="Arial"/>
                      <w:color w:val="000000" w:themeColor="text1"/>
                      <w:sz w:val="22"/>
                      <w:szCs w:val="22"/>
                    </w:rPr>
                    <m:t>,</m:t>
                  </m:r>
                </m:e>
                <m:e>
                  <m:r>
                    <w:rPr>
                      <w:rFonts w:ascii="Cambria Math" w:hAnsi="Cambria Math" w:cs="Arial"/>
                      <w:color w:val="000000" w:themeColor="text1"/>
                      <w:sz w:val="22"/>
                      <w:szCs w:val="22"/>
                    </w:rPr>
                    <m:t xml:space="preserve">if </m:t>
                  </m:r>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i|j</m:t>
                      </m:r>
                    </m:sub>
                  </m:sSub>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 z</m:t>
                      </m:r>
                    </m:e>
                    <m:sub>
                      <m:r>
                        <w:rPr>
                          <w:rFonts w:ascii="Cambria Math" w:hAnsi="Cambria Math" w:cs="Arial"/>
                          <w:color w:val="000000" w:themeColor="text1"/>
                          <w:sz w:val="22"/>
                          <w:szCs w:val="22"/>
                        </w:rPr>
                        <m:t>j|i</m:t>
                      </m:r>
                    </m:sub>
                  </m:sSub>
                  <m:r>
                    <w:rPr>
                      <w:rFonts w:ascii="Cambria Math" w:hAnsi="Cambria Math" w:cs="Arial"/>
                      <w:color w:val="000000" w:themeColor="text1"/>
                      <w:sz w:val="22"/>
                      <w:szCs w:val="22"/>
                    </w:rPr>
                    <m:t>&gt;0</m:t>
                  </m:r>
                </m:e>
              </m:mr>
              <m:mr>
                <m:e>
                  <m:r>
                    <w:rPr>
                      <w:rFonts w:ascii="Cambria Math" w:hAnsi="Cambria Math" w:cs="Arial"/>
                      <w:color w:val="000000" w:themeColor="text1"/>
                      <w:sz w:val="22"/>
                      <w:szCs w:val="22"/>
                    </w:rPr>
                    <m:t>0,</m:t>
                  </m:r>
                </m:e>
                <m:e>
                  <m:r>
                    <w:rPr>
                      <w:rFonts w:ascii="Cambria Math" w:hAnsi="Cambria Math" w:cs="Arial"/>
                      <w:color w:val="000000" w:themeColor="text1"/>
                      <w:sz w:val="22"/>
                      <w:szCs w:val="22"/>
                    </w:rPr>
                    <m:t>otherwise</m:t>
                  </m:r>
                </m:e>
              </m:mr>
            </m:m>
          </m:e>
        </m:d>
      </m:oMath>
      <w:r w:rsidR="00CD4328" w:rsidRPr="003D2625">
        <w:rPr>
          <w:rFonts w:ascii="Arial" w:eastAsiaTheme="minorEastAsia" w:hAnsi="Arial" w:cs="Arial"/>
          <w:color w:val="000000" w:themeColor="text1"/>
          <w:sz w:val="22"/>
          <w:szCs w:val="22"/>
        </w:rPr>
        <w:t>,   [</w:t>
      </w:r>
      <w:r w:rsidR="00CD4328" w:rsidRPr="003D2625">
        <w:rPr>
          <w:rFonts w:ascii="Arial" w:eastAsiaTheme="minorEastAsia" w:hAnsi="Arial" w:cs="Arial"/>
          <w:b/>
          <w:color w:val="000000" w:themeColor="text1"/>
          <w:sz w:val="22"/>
          <w:szCs w:val="22"/>
        </w:rPr>
        <w:t>Equation 7</w:t>
      </w:r>
      <w:r w:rsidR="00CD4328" w:rsidRPr="003D2625">
        <w:rPr>
          <w:rFonts w:ascii="Arial" w:eastAsiaTheme="minorEastAsia" w:hAnsi="Arial" w:cs="Arial"/>
          <w:color w:val="000000" w:themeColor="text1"/>
          <w:sz w:val="22"/>
          <w:szCs w:val="22"/>
        </w:rPr>
        <w:t>]</w:t>
      </w:r>
    </w:p>
    <w:p w14:paraId="505A8560" w14:textId="77777777" w:rsidR="00CD4328" w:rsidRPr="003D2625" w:rsidRDefault="00CD4328" w:rsidP="00CD4328">
      <w:pPr>
        <w:jc w:val="both"/>
        <w:outlineLvl w:val="0"/>
        <w:rPr>
          <w:rFonts w:ascii="Arial" w:eastAsiaTheme="minorEastAsia" w:hAnsi="Arial" w:cs="Arial"/>
          <w:color w:val="000000" w:themeColor="text1"/>
          <w:sz w:val="22"/>
          <w:szCs w:val="22"/>
        </w:rPr>
      </w:pPr>
      <w:r w:rsidRPr="003D2625">
        <w:rPr>
          <w:rFonts w:ascii="Arial" w:eastAsiaTheme="minorEastAsia" w:hAnsi="Arial" w:cs="Arial"/>
          <w:color w:val="000000" w:themeColor="text1"/>
          <w:sz w:val="22"/>
          <w:szCs w:val="22"/>
        </w:rPr>
        <w:t xml:space="preserve">where </w:t>
      </w: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i|j</m:t>
            </m:r>
          </m:sub>
        </m:sSub>
      </m:oMath>
      <w:r w:rsidRPr="003D2625">
        <w:rPr>
          <w:rFonts w:ascii="Arial" w:eastAsiaTheme="minorEastAsia" w:hAnsi="Arial" w:cs="Arial"/>
          <w:color w:val="000000" w:themeColor="text1"/>
          <w:sz w:val="22"/>
          <w:szCs w:val="22"/>
        </w:rPr>
        <w:t xml:space="preserve"> is the z-score of the overlap between </w:t>
      </w:r>
      <w:r w:rsidRPr="003D2625">
        <w:rPr>
          <w:rFonts w:ascii="Arial" w:hAnsi="Arial" w:cs="Arial"/>
          <w:color w:val="000000" w:themeColor="text1"/>
          <w:sz w:val="22"/>
          <w:szCs w:val="22"/>
        </w:rPr>
        <w:t xml:space="preserve">TF </w:t>
      </w:r>
      <w:r w:rsidRPr="003D2625">
        <w:rPr>
          <w:rFonts w:ascii="Cambria Math" w:hAnsi="Cambria Math" w:cs="Arial"/>
          <w:i/>
          <w:color w:val="000000" w:themeColor="text1"/>
          <w:sz w:val="22"/>
          <w:szCs w:val="22"/>
        </w:rPr>
        <w:t>i</w:t>
      </w:r>
      <w:r w:rsidRPr="003D2625">
        <w:rPr>
          <w:rFonts w:ascii="Arial" w:hAnsi="Arial" w:cs="Arial"/>
          <w:color w:val="000000" w:themeColor="text1"/>
          <w:sz w:val="22"/>
          <w:szCs w:val="22"/>
        </w:rPr>
        <w:t xml:space="preserve"> and TF </w:t>
      </w:r>
      <w:r w:rsidRPr="003D2625">
        <w:rPr>
          <w:rFonts w:ascii="Cambria Math" w:hAnsi="Cambria Math" w:cs="Arial"/>
          <w:i/>
          <w:color w:val="000000" w:themeColor="text1"/>
          <w:sz w:val="22"/>
          <w:szCs w:val="22"/>
        </w:rPr>
        <w:t>j</w:t>
      </w:r>
      <w:r w:rsidRPr="003D2625">
        <w:rPr>
          <w:rFonts w:ascii="Arial" w:eastAsiaTheme="minorEastAsia" w:hAnsi="Arial" w:cs="Arial"/>
          <w:color w:val="000000" w:themeColor="text1"/>
          <w:sz w:val="22"/>
          <w:szCs w:val="22"/>
        </w:rPr>
        <w:t xml:space="preserve">, using the mean and standard deviation associated with the overlaps of </w:t>
      </w:r>
      <w:r w:rsidRPr="003D2625">
        <w:rPr>
          <w:rFonts w:ascii="Arial" w:hAnsi="Arial" w:cs="Arial"/>
          <w:color w:val="000000" w:themeColor="text1"/>
          <w:sz w:val="22"/>
          <w:szCs w:val="22"/>
        </w:rPr>
        <w:t xml:space="preserve">TF </w:t>
      </w:r>
      <w:r w:rsidRPr="003D2625">
        <w:rPr>
          <w:rFonts w:ascii="Cambria Math" w:hAnsi="Cambria Math" w:cs="Arial"/>
          <w:i/>
          <w:color w:val="000000" w:themeColor="text1"/>
          <w:sz w:val="22"/>
          <w:szCs w:val="22"/>
        </w:rPr>
        <w:t>j</w:t>
      </w:r>
      <w:r w:rsidRPr="003D2625">
        <w:rPr>
          <w:rFonts w:ascii="Arial" w:eastAsiaTheme="minorEastAsia" w:hAnsi="Arial" w:cs="Arial"/>
          <w:color w:val="000000" w:themeColor="text1"/>
          <w:sz w:val="22"/>
          <w:szCs w:val="22"/>
        </w:rPr>
        <w:t xml:space="preserve"> to calculate the z-score. Note that the score is only nonzero if the overlap is above average for both TFs. The normalized overlap score has good agreement with overlap significances estimated using the hypergeometric CDF. </w:t>
      </w:r>
    </w:p>
    <w:p w14:paraId="3BBB8BEB" w14:textId="77777777" w:rsidR="00CD4328" w:rsidRPr="003D2625" w:rsidRDefault="00CD4328" w:rsidP="00CD4328">
      <w:pPr>
        <w:jc w:val="both"/>
        <w:outlineLvl w:val="0"/>
        <w:rPr>
          <w:rFonts w:ascii="Arial" w:eastAsiaTheme="minorEastAsia" w:hAnsi="Arial" w:cs="Arial"/>
          <w:color w:val="000000" w:themeColor="text1"/>
          <w:sz w:val="22"/>
          <w:szCs w:val="22"/>
        </w:rPr>
      </w:pPr>
    </w:p>
    <w:p w14:paraId="24F37A42" w14:textId="77777777" w:rsidR="00CD4328" w:rsidRPr="003D2625" w:rsidRDefault="00CD4328" w:rsidP="00CD4328">
      <w:pPr>
        <w:jc w:val="both"/>
        <w:outlineLvl w:val="0"/>
        <w:rPr>
          <w:rFonts w:ascii="Arial" w:eastAsiaTheme="minorEastAsia" w:hAnsi="Arial" w:cs="Arial"/>
          <w:color w:val="000000" w:themeColor="text1"/>
          <w:sz w:val="22"/>
          <w:szCs w:val="22"/>
        </w:rPr>
      </w:pPr>
      <w:r w:rsidRPr="003D2625">
        <w:rPr>
          <w:rFonts w:ascii="Arial" w:eastAsiaTheme="minorEastAsia" w:hAnsi="Arial" w:cs="Arial"/>
          <w:color w:val="000000" w:themeColor="text1"/>
          <w:sz w:val="22"/>
          <w:szCs w:val="22"/>
        </w:rPr>
        <w:lastRenderedPageBreak/>
        <w:t xml:space="preserve">We filtered the normalized overlap matrix so that it contained only TFs with at least one significant overlap (FDR = 10%, hypergeometric CDF). We then converted the similarity matrix of normalized overlaps to a distance matrix for hierarchical clustering using Ward distance. To arrive at a final number of clusters, we calculated the mean silhouette score for solutions over a range of total clusters and selected the solution that maximized mean silhouette score. For positive interactions (149 or 167 TFs), this analysis lead to 42 clusters, and 9 or 11 clusters for negative interactions (31 or 30 TFs), for final ChIP+KO+ATAC or ATAC-only TRNs, respectively. </w:t>
      </w:r>
    </w:p>
    <w:p w14:paraId="2BA5FF2F" w14:textId="77777777" w:rsidR="00CD4328" w:rsidRPr="003D2625" w:rsidRDefault="00CD4328" w:rsidP="00CD4328">
      <w:pPr>
        <w:jc w:val="both"/>
        <w:outlineLvl w:val="0"/>
        <w:rPr>
          <w:rFonts w:ascii="Arial" w:eastAsiaTheme="minorEastAsia" w:hAnsi="Arial" w:cs="Arial"/>
          <w:color w:val="000000" w:themeColor="text1"/>
          <w:sz w:val="22"/>
          <w:szCs w:val="22"/>
        </w:rPr>
      </w:pPr>
    </w:p>
    <w:p w14:paraId="1A3B7350" w14:textId="27B07C24" w:rsidR="00CD4328" w:rsidRPr="003D2625" w:rsidRDefault="00CD4328" w:rsidP="00CD4328">
      <w:pPr>
        <w:jc w:val="both"/>
        <w:outlineLvl w:val="0"/>
        <w:rPr>
          <w:rFonts w:ascii="Arial" w:eastAsiaTheme="minorEastAsia" w:hAnsi="Arial" w:cs="Arial"/>
          <w:color w:val="000000" w:themeColor="text1"/>
          <w:sz w:val="22"/>
          <w:szCs w:val="22"/>
        </w:rPr>
      </w:pPr>
      <w:r w:rsidRPr="003D2625">
        <w:rPr>
          <w:rFonts w:ascii="Arial" w:eastAsiaTheme="minorEastAsia" w:hAnsi="Arial" w:cs="Arial"/>
          <w:color w:val="000000" w:themeColor="text1"/>
          <w:sz w:val="22"/>
          <w:szCs w:val="22"/>
        </w:rPr>
        <w:t xml:space="preserve">To prioritize and rank TF-TF clusters, we developed a method based on combination of p-values generated from the empirical distribution of normalized overlap scores. For each cluster, we combined p-values for the pairwise normalized overlap scores between cluster TFs (e.g., for cluster of size </w:t>
      </w:r>
      <m:oMath>
        <m:r>
          <w:rPr>
            <w:rFonts w:ascii="Cambria Math" w:eastAsiaTheme="minorEastAsia" w:hAnsi="Cambria Math" w:cs="Arial"/>
            <w:color w:val="000000" w:themeColor="text1"/>
            <w:sz w:val="22"/>
            <w:szCs w:val="22"/>
          </w:rPr>
          <m:t>s</m:t>
        </m:r>
      </m:oMath>
      <w:r w:rsidRPr="003D2625">
        <w:rPr>
          <w:rFonts w:ascii="Arial" w:eastAsiaTheme="minorEastAsia" w:hAnsi="Arial" w:cs="Arial"/>
          <w:color w:val="000000" w:themeColor="text1"/>
          <w:sz w:val="22"/>
          <w:szCs w:val="22"/>
        </w:rPr>
        <w:t xml:space="preserve">, there were </w:t>
      </w:r>
      <m:oMath>
        <m:r>
          <w:rPr>
            <w:rFonts w:ascii="Cambria Math" w:eastAsiaTheme="minorEastAsia" w:hAnsi="Cambria Math" w:cs="Arial"/>
            <w:color w:val="000000" w:themeColor="text1"/>
            <w:sz w:val="22"/>
            <w:szCs w:val="22"/>
          </w:rPr>
          <m:t>s(s-1)/2</m:t>
        </m:r>
      </m:oMath>
      <w:r w:rsidRPr="003D2625">
        <w:rPr>
          <w:rFonts w:ascii="Arial" w:eastAsiaTheme="minorEastAsia" w:hAnsi="Arial" w:cs="Arial"/>
          <w:color w:val="000000" w:themeColor="text1"/>
          <w:sz w:val="22"/>
          <w:szCs w:val="22"/>
        </w:rPr>
        <w:t xml:space="preserve"> pairwise scores). We combined p-values with the weighted z-method </w:t>
      </w:r>
      <w:r w:rsidRPr="003D2625">
        <w:rPr>
          <w:rFonts w:ascii="Arial" w:eastAsiaTheme="minorEastAsia" w:hAnsi="Arial" w:cs="Arial"/>
          <w:color w:val="000000" w:themeColor="text1"/>
          <w:sz w:val="22"/>
          <w:szCs w:val="22"/>
        </w:rPr>
        <w:fldChar w:fldCharType="begin" w:fldLock="1"/>
      </w:r>
      <w:r w:rsidR="008460C9">
        <w:rPr>
          <w:rFonts w:ascii="Arial" w:eastAsiaTheme="minorEastAsia" w:hAnsi="Arial" w:cs="Arial"/>
          <w:color w:val="000000" w:themeColor="text1"/>
          <w:sz w:val="22"/>
          <w:szCs w:val="22"/>
        </w:rPr>
        <w:instrText>ADDIN CSL_CITATION {"citationItems":[{"id":"ITEM-1","itemData":{"DOI":"10.1111/j.1420-9101.2005.00917.x","ISSN":"1010-061X","PMID":"16135132","abstract":"The most commonly used method in evolutionary biology for combining information across multiple tests of the same null hypothesis is Fisher's combined probability test. This note shows that an alternative method called the weighted Z-test has more power and more precision than does Fisher's test. Furthermore, in contrast to some statements in the literature, the weighted Z-method is superior to the unweighted Z-transform approach. The results in this note show that, when combining P-values from multiple tests of the same hypothesis, the weighted Z-method should be preferred.","author":[{"dropping-particle":"","family":"Whitlock","given":"M C","non-dropping-particle":"","parse-names":false,"suffix":""}],"container-title":"Journal of evolutionary biology","id":"ITEM-1","issue":"5","issued":{"date-parts":[["2005","9"]]},"page":"1368-73","title":"Combining probability from independent tests: the weighted Z-method is superior to Fisher's approach.","type":"article-journal","volume":"18"},"uris":["http://www.mendeley.com/documents/?uuid=7a1776e1-e712-45d5-8fc1-bfc99ba045a6"]}],"mendeley":{"formattedCitation":"(Whitlock 2005)","plainTextFormattedCitation":"(Whitlock 2005)","previouslyFormattedCitation":"(Whitlock 2005)"},"properties":{"noteIndex":0},"schema":"https://github.com/citation-style-language/schema/raw/master/csl-citation.json"}</w:instrText>
      </w:r>
      <w:r w:rsidRPr="003D2625">
        <w:rPr>
          <w:rFonts w:ascii="Arial" w:eastAsiaTheme="minorEastAsia" w:hAnsi="Arial" w:cs="Arial"/>
          <w:color w:val="000000" w:themeColor="text1"/>
          <w:sz w:val="22"/>
          <w:szCs w:val="22"/>
        </w:rPr>
        <w:fldChar w:fldCharType="separate"/>
      </w:r>
      <w:r w:rsidR="009E17FE" w:rsidRPr="009E17FE">
        <w:rPr>
          <w:rFonts w:ascii="Arial" w:eastAsiaTheme="minorEastAsia" w:hAnsi="Arial" w:cs="Arial"/>
          <w:noProof/>
          <w:color w:val="000000" w:themeColor="text1"/>
          <w:sz w:val="22"/>
          <w:szCs w:val="22"/>
        </w:rPr>
        <w:t>(Whitlock 2005)</w:t>
      </w:r>
      <w:r w:rsidRPr="003D2625">
        <w:rPr>
          <w:rFonts w:ascii="Arial" w:eastAsiaTheme="minorEastAsia" w:hAnsi="Arial" w:cs="Arial"/>
          <w:color w:val="000000" w:themeColor="text1"/>
          <w:sz w:val="22"/>
          <w:szCs w:val="22"/>
        </w:rPr>
        <w:fldChar w:fldCharType="end"/>
      </w:r>
      <w:r w:rsidRPr="003D2625">
        <w:rPr>
          <w:rFonts w:ascii="Arial" w:eastAsiaTheme="minorEastAsia" w:hAnsi="Arial" w:cs="Arial"/>
          <w:color w:val="000000" w:themeColor="text1"/>
          <w:sz w:val="22"/>
          <w:szCs w:val="22"/>
        </w:rPr>
        <w:t>. P-values are converted via the inverse normal CDF to z-score space and combined with the following equation:</w:t>
      </w:r>
    </w:p>
    <w:p w14:paraId="75C3713E" w14:textId="77777777" w:rsidR="00CD4328" w:rsidRPr="003D2625" w:rsidRDefault="00DF407F" w:rsidP="00CD4328">
      <w:pPr>
        <w:jc w:val="center"/>
        <w:outlineLvl w:val="0"/>
        <w:rPr>
          <w:rFonts w:ascii="Arial" w:eastAsiaTheme="minorEastAsia" w:hAnsi="Arial" w:cs="Arial"/>
          <w:color w:val="000000" w:themeColor="text1"/>
          <w:sz w:val="22"/>
          <w:szCs w:val="22"/>
        </w:rPr>
      </w:pP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Z</m:t>
            </m:r>
          </m:e>
          <m:sub>
            <m:r>
              <w:rPr>
                <w:rFonts w:ascii="Cambria Math" w:hAnsi="Cambria Math" w:cs="Arial"/>
                <w:color w:val="000000" w:themeColor="text1"/>
                <w:sz w:val="22"/>
                <w:szCs w:val="22"/>
              </w:rPr>
              <m:t>w</m:t>
            </m:r>
          </m:sub>
        </m:sSub>
        <m:r>
          <w:rPr>
            <w:rFonts w:ascii="Cambria Math" w:hAnsi="Cambria Math" w:cs="Arial"/>
            <w:color w:val="000000" w:themeColor="text1"/>
            <w:sz w:val="22"/>
            <w:szCs w:val="22"/>
          </w:rPr>
          <m:t xml:space="preserve">= </m:t>
        </m:r>
        <m:f>
          <m:fPr>
            <m:ctrlPr>
              <w:rPr>
                <w:rFonts w:ascii="Cambria Math" w:hAnsi="Cambria Math" w:cs="Arial"/>
                <w:i/>
                <w:color w:val="000000" w:themeColor="text1"/>
                <w:sz w:val="22"/>
                <w:szCs w:val="22"/>
              </w:rPr>
            </m:ctrlPr>
          </m:fPr>
          <m:num>
            <m:nary>
              <m:naryPr>
                <m:chr m:val="∑"/>
                <m:limLoc m:val="subSup"/>
                <m:ctrlPr>
                  <w:rPr>
                    <w:rFonts w:ascii="Cambria Math" w:hAnsi="Cambria Math" w:cs="Arial"/>
                    <w:i/>
                    <w:color w:val="000000" w:themeColor="text1"/>
                    <w:sz w:val="22"/>
                    <w:szCs w:val="22"/>
                  </w:rPr>
                </m:ctrlPr>
              </m:naryPr>
              <m:sub>
                <m:r>
                  <w:rPr>
                    <w:rFonts w:ascii="Cambria Math" w:hAnsi="Cambria Math" w:cs="Arial"/>
                    <w:color w:val="000000" w:themeColor="text1"/>
                    <w:sz w:val="22"/>
                    <w:szCs w:val="22"/>
                  </w:rPr>
                  <m:t>i=1</m:t>
                </m:r>
              </m:sub>
              <m:sup>
                <m:r>
                  <w:rPr>
                    <w:rFonts w:ascii="Cambria Math" w:hAnsi="Cambria Math" w:cs="Arial"/>
                    <w:color w:val="000000" w:themeColor="text1"/>
                    <w:sz w:val="22"/>
                    <w:szCs w:val="22"/>
                  </w:rPr>
                  <m:t>n</m:t>
                </m:r>
              </m:sup>
              <m:e>
                <m:sSub>
                  <m:sSubPr>
                    <m:ctrlPr>
                      <w:rPr>
                        <w:rFonts w:ascii="Cambria Math" w:hAnsi="Cambria Math" w:cs="Arial"/>
                        <w:i/>
                        <w:color w:val="000000" w:themeColor="text1"/>
                        <w:sz w:val="22"/>
                        <w:szCs w:val="22"/>
                      </w:rPr>
                    </m:ctrlPr>
                  </m:sSubPr>
                  <m:e>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w</m:t>
                        </m:r>
                      </m:e>
                      <m:sub>
                        <m:r>
                          <w:rPr>
                            <w:rFonts w:ascii="Cambria Math" w:hAnsi="Cambria Math" w:cs="Arial"/>
                            <w:color w:val="000000" w:themeColor="text1"/>
                            <w:sz w:val="22"/>
                            <w:szCs w:val="22"/>
                          </w:rPr>
                          <m:t>i</m:t>
                        </m:r>
                      </m:sub>
                    </m:sSub>
                    <m:r>
                      <w:rPr>
                        <w:rFonts w:ascii="Cambria Math" w:hAnsi="Cambria Math" w:cs="Arial"/>
                        <w:color w:val="000000" w:themeColor="text1"/>
                        <w:sz w:val="22"/>
                        <w:szCs w:val="22"/>
                      </w:rPr>
                      <m:t>Z</m:t>
                    </m:r>
                  </m:e>
                  <m:sub>
                    <m:r>
                      <w:rPr>
                        <w:rFonts w:ascii="Cambria Math" w:hAnsi="Cambria Math" w:cs="Arial"/>
                        <w:color w:val="000000" w:themeColor="text1"/>
                        <w:sz w:val="22"/>
                        <w:szCs w:val="22"/>
                      </w:rPr>
                      <m:t>i</m:t>
                    </m:r>
                  </m:sub>
                </m:sSub>
              </m:e>
            </m:nary>
          </m:num>
          <m:den>
            <m:rad>
              <m:radPr>
                <m:degHide m:val="1"/>
                <m:ctrlPr>
                  <w:rPr>
                    <w:rFonts w:ascii="Cambria Math" w:hAnsi="Cambria Math" w:cs="Arial"/>
                    <w:i/>
                    <w:color w:val="000000" w:themeColor="text1"/>
                    <w:sz w:val="22"/>
                    <w:szCs w:val="22"/>
                  </w:rPr>
                </m:ctrlPr>
              </m:radPr>
              <m:deg/>
              <m:e>
                <m:nary>
                  <m:naryPr>
                    <m:chr m:val="∑"/>
                    <m:limLoc m:val="subSup"/>
                    <m:ctrlPr>
                      <w:rPr>
                        <w:rFonts w:ascii="Cambria Math" w:hAnsi="Cambria Math" w:cs="Arial"/>
                        <w:i/>
                        <w:color w:val="000000" w:themeColor="text1"/>
                        <w:sz w:val="22"/>
                        <w:szCs w:val="22"/>
                      </w:rPr>
                    </m:ctrlPr>
                  </m:naryPr>
                  <m:sub>
                    <m:r>
                      <w:rPr>
                        <w:rFonts w:ascii="Cambria Math" w:hAnsi="Cambria Math" w:cs="Arial"/>
                        <w:color w:val="000000" w:themeColor="text1"/>
                        <w:sz w:val="22"/>
                        <w:szCs w:val="22"/>
                      </w:rPr>
                      <m:t>i=1</m:t>
                    </m:r>
                  </m:sub>
                  <m:sup>
                    <m:r>
                      <w:rPr>
                        <w:rFonts w:ascii="Cambria Math" w:hAnsi="Cambria Math" w:cs="Arial"/>
                        <w:color w:val="000000" w:themeColor="text1"/>
                        <w:sz w:val="22"/>
                        <w:szCs w:val="22"/>
                      </w:rPr>
                      <m:t>n</m:t>
                    </m:r>
                  </m:sup>
                  <m:e>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w</m:t>
                        </m:r>
                      </m:e>
                      <m:sub>
                        <m:r>
                          <w:rPr>
                            <w:rFonts w:ascii="Cambria Math" w:hAnsi="Cambria Math" w:cs="Arial"/>
                            <w:color w:val="000000" w:themeColor="text1"/>
                            <w:sz w:val="22"/>
                            <w:szCs w:val="22"/>
                          </w:rPr>
                          <m:t>i</m:t>
                        </m:r>
                      </m:sub>
                    </m:sSub>
                  </m:e>
                </m:nary>
              </m:e>
            </m:rad>
          </m:den>
        </m:f>
      </m:oMath>
      <w:r w:rsidR="00CD4328" w:rsidRPr="003D2625">
        <w:rPr>
          <w:rFonts w:ascii="Arial" w:eastAsiaTheme="minorEastAsia" w:hAnsi="Arial" w:cs="Arial"/>
          <w:color w:val="000000" w:themeColor="text1"/>
          <w:sz w:val="22"/>
          <w:szCs w:val="22"/>
        </w:rPr>
        <w:t>,  [</w:t>
      </w:r>
      <w:r w:rsidR="00CD4328" w:rsidRPr="003D2625">
        <w:rPr>
          <w:rFonts w:ascii="Arial" w:eastAsiaTheme="minorEastAsia" w:hAnsi="Arial" w:cs="Arial"/>
          <w:b/>
          <w:color w:val="000000" w:themeColor="text1"/>
          <w:sz w:val="22"/>
          <w:szCs w:val="22"/>
        </w:rPr>
        <w:t>Equation 8</w:t>
      </w:r>
      <w:r w:rsidR="00CD4328" w:rsidRPr="003D2625">
        <w:rPr>
          <w:rFonts w:ascii="Arial" w:eastAsiaTheme="minorEastAsia" w:hAnsi="Arial" w:cs="Arial"/>
          <w:color w:val="000000" w:themeColor="text1"/>
          <w:sz w:val="22"/>
          <w:szCs w:val="22"/>
        </w:rPr>
        <w:t>]</w:t>
      </w:r>
    </w:p>
    <w:p w14:paraId="3655BF25" w14:textId="1CB1F84A" w:rsidR="00CD4328" w:rsidRPr="003D2625" w:rsidRDefault="00CD4328" w:rsidP="00CD4328">
      <w:pPr>
        <w:jc w:val="both"/>
        <w:outlineLvl w:val="0"/>
        <w:rPr>
          <w:rFonts w:ascii="Arial" w:eastAsiaTheme="minorEastAsia" w:hAnsi="Arial" w:cs="Arial"/>
          <w:color w:val="000000" w:themeColor="text1"/>
          <w:sz w:val="22"/>
          <w:szCs w:val="22"/>
        </w:rPr>
      </w:pPr>
      <w:r w:rsidRPr="003D2625">
        <w:rPr>
          <w:rFonts w:ascii="Arial" w:eastAsiaTheme="minorEastAsia" w:hAnsi="Arial" w:cs="Arial"/>
          <w:color w:val="000000" w:themeColor="text1"/>
          <w:sz w:val="22"/>
          <w:szCs w:val="22"/>
        </w:rPr>
        <w:t xml:space="preserve">where </w:t>
      </w:r>
      <m:oMath>
        <m:r>
          <w:rPr>
            <w:rFonts w:ascii="Cambria Math" w:eastAsiaTheme="minorEastAsia" w:hAnsi="Cambria Math" w:cs="Arial"/>
            <w:color w:val="000000" w:themeColor="text1"/>
            <w:sz w:val="22"/>
            <w:szCs w:val="22"/>
          </w:rPr>
          <m:t>n</m:t>
        </m:r>
      </m:oMath>
      <w:r w:rsidRPr="003D2625">
        <w:rPr>
          <w:rFonts w:ascii="Arial" w:eastAsiaTheme="minorEastAsia" w:hAnsi="Arial" w:cs="Arial"/>
          <w:color w:val="000000" w:themeColor="text1"/>
          <w:sz w:val="22"/>
          <w:szCs w:val="22"/>
        </w:rPr>
        <w:t xml:space="preserve"> is the number of p-values to be combined and </w:t>
      </w:r>
      <m:oMath>
        <m:r>
          <w:rPr>
            <w:rFonts w:ascii="Cambria Math" w:eastAsiaTheme="minorEastAsia" w:hAnsi="Cambria Math" w:cs="Arial"/>
            <w:color w:val="000000" w:themeColor="text1"/>
            <w:sz w:val="22"/>
            <w:szCs w:val="22"/>
          </w:rPr>
          <m:t>w∈</m:t>
        </m:r>
        <m:sSup>
          <m:sSupPr>
            <m:ctrlPr>
              <w:rPr>
                <w:rFonts w:ascii="Cambria Math" w:eastAsiaTheme="minorEastAsia" w:hAnsi="Cambria Math" w:cs="Arial"/>
                <w:i/>
                <w:color w:val="000000" w:themeColor="text1"/>
                <w:sz w:val="22"/>
                <w:szCs w:val="22"/>
              </w:rPr>
            </m:ctrlPr>
          </m:sSupPr>
          <m:e>
            <m:r>
              <m:rPr>
                <m:scr m:val="double-struck"/>
              </m:rPr>
              <w:rPr>
                <w:rFonts w:ascii="Cambria Math" w:eastAsiaTheme="minorEastAsia" w:hAnsi="Cambria Math" w:cs="Arial"/>
                <w:color w:val="000000" w:themeColor="text1"/>
                <w:sz w:val="22"/>
                <w:szCs w:val="22"/>
              </w:rPr>
              <m:t>R</m:t>
            </m:r>
          </m:e>
          <m:sup>
            <m:r>
              <w:rPr>
                <w:rFonts w:ascii="Cambria Math" w:eastAsiaTheme="minorEastAsia" w:hAnsi="Cambria Math" w:cs="Arial"/>
                <w:color w:val="000000" w:themeColor="text1"/>
                <w:sz w:val="22"/>
                <w:szCs w:val="22"/>
              </w:rPr>
              <m:t>n</m:t>
            </m:r>
          </m:sup>
        </m:sSup>
      </m:oMath>
      <w:r w:rsidRPr="003D2625">
        <w:rPr>
          <w:rFonts w:ascii="Arial" w:eastAsiaTheme="minorEastAsia" w:hAnsi="Arial" w:cs="Arial"/>
          <w:color w:val="000000" w:themeColor="text1"/>
          <w:sz w:val="22"/>
          <w:szCs w:val="22"/>
        </w:rPr>
        <w:t xml:space="preserve"> is a vector of weights. </w:t>
      </w:r>
      <m:oMath>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Z</m:t>
            </m:r>
          </m:e>
          <m:sub>
            <m:r>
              <w:rPr>
                <w:rFonts w:ascii="Cambria Math" w:eastAsiaTheme="minorEastAsia" w:hAnsi="Cambria Math" w:cs="Arial"/>
                <w:color w:val="000000" w:themeColor="text1"/>
                <w:sz w:val="22"/>
                <w:szCs w:val="22"/>
              </w:rPr>
              <m:t>w</m:t>
            </m:r>
          </m:sub>
        </m:sSub>
      </m:oMath>
      <w:r w:rsidRPr="003D2625">
        <w:rPr>
          <w:rFonts w:ascii="Arial" w:eastAsiaTheme="minorEastAsia" w:hAnsi="Arial" w:cs="Arial"/>
          <w:color w:val="000000" w:themeColor="text1"/>
          <w:sz w:val="22"/>
          <w:szCs w:val="22"/>
        </w:rPr>
        <w:t xml:space="preserve"> is then converted to a p-value using the normal CDF. Here we set weights to </w:t>
      </w:r>
      <m:oMath>
        <m:r>
          <w:rPr>
            <w:rFonts w:ascii="Cambria Math" w:eastAsiaTheme="minorEastAsia" w:hAnsi="Cambria Math" w:cs="Arial"/>
            <w:color w:val="000000" w:themeColor="text1"/>
            <w:sz w:val="22"/>
            <w:szCs w:val="22"/>
          </w:rPr>
          <m:t>2/(s-1)</m:t>
        </m:r>
      </m:oMath>
      <w:r w:rsidRPr="003D2625">
        <w:rPr>
          <w:rFonts w:ascii="Arial" w:eastAsiaTheme="minorEastAsia" w:hAnsi="Arial" w:cs="Arial"/>
          <w:color w:val="000000" w:themeColor="text1"/>
          <w:sz w:val="22"/>
          <w:szCs w:val="22"/>
        </w:rPr>
        <w:t>. The resulting p-value score had the desired properties, ranking clusters on the basis of size and strength of overlap (</w:t>
      </w:r>
      <w:r w:rsidRPr="003D2625">
        <w:rPr>
          <w:rFonts w:ascii="Arial" w:eastAsiaTheme="minorEastAsia" w:hAnsi="Arial" w:cs="Arial"/>
          <w:b/>
          <w:color w:val="000000" w:themeColor="text1"/>
          <w:sz w:val="22"/>
          <w:szCs w:val="22"/>
        </w:rPr>
        <w:t>Supplemental Fig. S35A</w:t>
      </w:r>
      <w:r w:rsidRPr="003D2625">
        <w:rPr>
          <w:rFonts w:ascii="Arial" w:eastAsiaTheme="minorEastAsia" w:hAnsi="Arial" w:cs="Arial"/>
          <w:color w:val="000000" w:themeColor="text1"/>
          <w:sz w:val="22"/>
          <w:szCs w:val="22"/>
        </w:rPr>
        <w:t xml:space="preserve">) and was used to prioritize a limited set of 15 positive-edge TF-TF clusters for </w:t>
      </w:r>
      <w:r w:rsidRPr="003D2625">
        <w:rPr>
          <w:rFonts w:ascii="Arial" w:eastAsiaTheme="minorEastAsia" w:hAnsi="Arial" w:cs="Arial"/>
          <w:b/>
          <w:color w:val="000000" w:themeColor="text1"/>
          <w:sz w:val="22"/>
          <w:szCs w:val="22"/>
        </w:rPr>
        <w:t xml:space="preserve">Fig. 5C, </w:t>
      </w:r>
      <w:r w:rsidR="002B28DD">
        <w:rPr>
          <w:rFonts w:ascii="Arial" w:eastAsiaTheme="minorEastAsia" w:hAnsi="Arial" w:cs="Arial"/>
          <w:b/>
          <w:color w:val="000000" w:themeColor="text1"/>
          <w:sz w:val="22"/>
          <w:szCs w:val="22"/>
        </w:rPr>
        <w:t>S14</w:t>
      </w:r>
      <w:r w:rsidRPr="003D2625">
        <w:rPr>
          <w:rFonts w:ascii="Arial" w:eastAsiaTheme="minorEastAsia" w:hAnsi="Arial" w:cs="Arial"/>
          <w:b/>
          <w:color w:val="000000" w:themeColor="text1"/>
          <w:sz w:val="22"/>
          <w:szCs w:val="22"/>
        </w:rPr>
        <w:t>, S1</w:t>
      </w:r>
      <w:r w:rsidR="002B28DD">
        <w:rPr>
          <w:rFonts w:ascii="Arial" w:eastAsiaTheme="minorEastAsia" w:hAnsi="Arial" w:cs="Arial"/>
          <w:b/>
          <w:color w:val="000000" w:themeColor="text1"/>
          <w:sz w:val="22"/>
          <w:szCs w:val="22"/>
        </w:rPr>
        <w:t>5</w:t>
      </w:r>
      <w:r w:rsidRPr="003D2625">
        <w:rPr>
          <w:rFonts w:ascii="Arial" w:eastAsiaTheme="minorEastAsia" w:hAnsi="Arial" w:cs="Arial"/>
          <w:color w:val="000000" w:themeColor="text1"/>
          <w:sz w:val="22"/>
          <w:szCs w:val="22"/>
        </w:rPr>
        <w:t>. The significance of negative TF-TF clusters were orders of magnitude smaller than the top-15 positive TF-TF clusters (</w:t>
      </w:r>
      <w:r w:rsidRPr="003D2625">
        <w:rPr>
          <w:rFonts w:ascii="Arial" w:eastAsiaTheme="minorEastAsia" w:hAnsi="Arial" w:cs="Arial"/>
          <w:b/>
          <w:color w:val="000000" w:themeColor="text1"/>
          <w:sz w:val="22"/>
          <w:szCs w:val="22"/>
        </w:rPr>
        <w:t>Supplemental Fig. S35B</w:t>
      </w:r>
      <w:r w:rsidRPr="003D2625">
        <w:rPr>
          <w:rFonts w:ascii="Arial" w:eastAsiaTheme="minorEastAsia" w:hAnsi="Arial" w:cs="Arial"/>
          <w:color w:val="000000" w:themeColor="text1"/>
          <w:sz w:val="22"/>
          <w:szCs w:val="22"/>
        </w:rPr>
        <w:t>), so were not analyzed further. The lack of significant negative TF-TF clusters might have to do with the observed positive to negative edge bias in our method (~1.8-1.9:1).</w:t>
      </w:r>
    </w:p>
    <w:p w14:paraId="046D829D" w14:textId="77777777" w:rsidR="00854B4C" w:rsidRPr="0091488E" w:rsidRDefault="00854B4C" w:rsidP="000C0876">
      <w:pPr>
        <w:jc w:val="both"/>
        <w:outlineLvl w:val="0"/>
        <w:rPr>
          <w:rFonts w:ascii="Arial" w:hAnsi="Arial" w:cs="Arial"/>
          <w:b/>
          <w:sz w:val="22"/>
          <w:szCs w:val="22"/>
          <w:u w:val="single"/>
        </w:rPr>
      </w:pPr>
    </w:p>
    <w:p w14:paraId="4356A995" w14:textId="77777777" w:rsidR="000C0876" w:rsidRPr="0091488E" w:rsidRDefault="000C0876" w:rsidP="000C0876">
      <w:pPr>
        <w:jc w:val="both"/>
        <w:outlineLvl w:val="0"/>
        <w:rPr>
          <w:rFonts w:ascii="Arial" w:hAnsi="Arial" w:cs="Arial"/>
          <w:b/>
          <w:sz w:val="22"/>
          <w:szCs w:val="22"/>
          <w:u w:val="single"/>
        </w:rPr>
      </w:pPr>
      <w:r w:rsidRPr="0091488E">
        <w:rPr>
          <w:rFonts w:ascii="Arial" w:hAnsi="Arial" w:cs="Arial"/>
          <w:b/>
          <w:sz w:val="22"/>
          <w:szCs w:val="22"/>
          <w:u w:val="single"/>
        </w:rPr>
        <w:t>Supplemental Figure Legends</w:t>
      </w:r>
    </w:p>
    <w:p w14:paraId="6EB4A0FA" w14:textId="77777777" w:rsidR="000C0876" w:rsidRPr="0091488E" w:rsidRDefault="000C0876" w:rsidP="000C0876">
      <w:pPr>
        <w:jc w:val="both"/>
        <w:rPr>
          <w:rFonts w:ascii="Arial" w:hAnsi="Arial" w:cs="Arial"/>
          <w:sz w:val="22"/>
          <w:szCs w:val="22"/>
        </w:rPr>
      </w:pPr>
    </w:p>
    <w:p w14:paraId="3DAF503B" w14:textId="4B38FB60"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E51E49">
        <w:rPr>
          <w:rFonts w:ascii="Arial" w:hAnsi="Arial" w:cs="Arial"/>
          <w:b/>
          <w:sz w:val="22"/>
          <w:szCs w:val="22"/>
        </w:rPr>
        <w:t>S1</w:t>
      </w:r>
      <w:r w:rsidR="000C0876" w:rsidRPr="0091488E">
        <w:rPr>
          <w:rFonts w:ascii="Arial" w:hAnsi="Arial" w:cs="Arial"/>
          <w:b/>
          <w:sz w:val="22"/>
          <w:szCs w:val="22"/>
        </w:rPr>
        <w:t>. Clustering of all 63,049 peaks in the ATAC-seq dataset</w:t>
      </w:r>
      <w:r w:rsidR="000C0876" w:rsidRPr="0091488E">
        <w:rPr>
          <w:rFonts w:ascii="Arial" w:hAnsi="Arial" w:cs="Arial"/>
          <w:sz w:val="22"/>
          <w:szCs w:val="22"/>
        </w:rPr>
        <w:t>. ATAC-seq peak intensities were robustly normalized (DESeq2), z-scored and clustered using K-means clustering with Euclidean distance. Samples were ordered according to treatment condition and timepoint.</w:t>
      </w:r>
    </w:p>
    <w:p w14:paraId="09A5CF10" w14:textId="77777777" w:rsidR="000C0876" w:rsidRPr="0091488E" w:rsidRDefault="000C0876" w:rsidP="000C0876">
      <w:pPr>
        <w:jc w:val="both"/>
        <w:rPr>
          <w:rFonts w:ascii="Arial" w:hAnsi="Arial" w:cs="Arial"/>
          <w:b/>
          <w:sz w:val="22"/>
          <w:szCs w:val="22"/>
        </w:rPr>
      </w:pPr>
    </w:p>
    <w:p w14:paraId="3905544E" w14:textId="59E2D247"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B8521F">
        <w:rPr>
          <w:rFonts w:ascii="Arial" w:hAnsi="Arial" w:cs="Arial"/>
          <w:b/>
          <w:sz w:val="22"/>
          <w:szCs w:val="22"/>
        </w:rPr>
        <w:t>2</w:t>
      </w:r>
      <w:r w:rsidR="000C0876" w:rsidRPr="0091488E">
        <w:rPr>
          <w:rFonts w:ascii="Arial" w:hAnsi="Arial" w:cs="Arial"/>
          <w:b/>
          <w:sz w:val="22"/>
          <w:szCs w:val="22"/>
        </w:rPr>
        <w:t>.</w:t>
      </w:r>
      <w:r w:rsidR="000C0876" w:rsidRPr="0091488E">
        <w:rPr>
          <w:rFonts w:ascii="Arial" w:hAnsi="Arial" w:cs="Arial"/>
          <w:sz w:val="22"/>
          <w:szCs w:val="22"/>
        </w:rPr>
        <w:t xml:space="preserve"> </w:t>
      </w:r>
      <w:r w:rsidR="000C0876" w:rsidRPr="0091488E">
        <w:rPr>
          <w:rFonts w:ascii="Arial" w:hAnsi="Arial" w:cs="Arial"/>
          <w:b/>
          <w:sz w:val="22"/>
          <w:szCs w:val="22"/>
        </w:rPr>
        <w:t xml:space="preserve">PCA of Gene Expression Profiles. </w:t>
      </w:r>
      <w:r w:rsidR="000C0876" w:rsidRPr="0091488E">
        <w:rPr>
          <w:rFonts w:ascii="Arial" w:hAnsi="Arial" w:cs="Arial"/>
          <w:sz w:val="22"/>
          <w:szCs w:val="22"/>
        </w:rPr>
        <w:t>Upper panels show scores plots, where the 254 RNA-seq samples are plotted as a function of all genes for principal components (PCs) 1-4.  Lower panels display gene loadings for the top-75 gene contributors to PCs 1-4.</w:t>
      </w:r>
    </w:p>
    <w:p w14:paraId="1C8016B8" w14:textId="77777777" w:rsidR="000C0876" w:rsidRPr="0091488E" w:rsidRDefault="000C0876" w:rsidP="000C0876">
      <w:pPr>
        <w:jc w:val="both"/>
        <w:rPr>
          <w:rFonts w:ascii="Arial" w:hAnsi="Arial" w:cs="Arial"/>
          <w:sz w:val="22"/>
          <w:szCs w:val="22"/>
        </w:rPr>
      </w:pPr>
    </w:p>
    <w:p w14:paraId="78F45746" w14:textId="171D1A7C"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B8521F">
        <w:rPr>
          <w:rFonts w:ascii="Arial" w:hAnsi="Arial" w:cs="Arial"/>
          <w:b/>
          <w:sz w:val="22"/>
          <w:szCs w:val="22"/>
        </w:rPr>
        <w:t>3</w:t>
      </w:r>
      <w:r w:rsidR="000C0876" w:rsidRPr="0091488E">
        <w:rPr>
          <w:rFonts w:ascii="Arial" w:hAnsi="Arial" w:cs="Arial"/>
          <w:b/>
          <w:sz w:val="22"/>
          <w:szCs w:val="22"/>
        </w:rPr>
        <w:t>. Precision-recall of multiple priors, Gold Standard = KO+ChIP (A) or KO (B).</w:t>
      </w:r>
      <w:r w:rsidR="000C0876" w:rsidRPr="0091488E">
        <w:rPr>
          <w:rFonts w:ascii="Arial" w:hAnsi="Arial" w:cs="Arial"/>
          <w:sz w:val="22"/>
          <w:szCs w:val="22"/>
        </w:rPr>
        <w:t xml:space="preserve"> </w:t>
      </w:r>
      <w:r w:rsidR="001D42AA" w:rsidRPr="001D42AA">
        <w:rPr>
          <w:rFonts w:ascii="Arial" w:hAnsi="Arial" w:cs="Arial"/>
          <w:sz w:val="22"/>
          <w:szCs w:val="22"/>
        </w:rPr>
        <w:t xml:space="preserve">For each prior, the performance is plotted for several TRNs, based on </w:t>
      </w:r>
      <w:r w:rsidR="001D42AA" w:rsidRPr="001D42AA">
        <w:rPr>
          <w:rFonts w:ascii="Arial" w:hAnsi="Arial" w:cs="Arial"/>
          <w:i/>
          <w:iCs/>
          <w:sz w:val="22"/>
          <w:szCs w:val="22"/>
        </w:rPr>
        <w:t>Inferelator</w:t>
      </w:r>
      <w:r w:rsidR="001D42AA" w:rsidRPr="001D42AA">
        <w:rPr>
          <w:rFonts w:ascii="Arial" w:hAnsi="Arial" w:cs="Arial"/>
          <w:sz w:val="22"/>
          <w:szCs w:val="22"/>
        </w:rPr>
        <w:t xml:space="preserve"> method (LS = mLASSO-StARS (reds), BB = BBSR-BIC (blues)), TFA estimation method (m = TF mRNA, TFA = P</w:t>
      </w:r>
      <w:r w:rsidR="001D42AA" w:rsidRPr="001D42AA">
        <w:rPr>
          <w:rFonts w:ascii="Arial" w:hAnsi="Arial" w:cs="Arial"/>
          <w:sz w:val="22"/>
          <w:szCs w:val="22"/>
          <w:vertAlign w:val="superscript"/>
        </w:rPr>
        <w:t>+</w:t>
      </w:r>
      <w:r w:rsidR="001D42AA" w:rsidRPr="001D42AA">
        <w:rPr>
          <w:rFonts w:ascii="Arial" w:hAnsi="Arial" w:cs="Arial"/>
          <w:sz w:val="22"/>
          <w:szCs w:val="22"/>
        </w:rPr>
        <w:t>X), and strength of prior reinforcement (none, moderate (+), and strong (++)). Random and “No Prior” control TRNs serve as references in all panels.</w:t>
      </w:r>
    </w:p>
    <w:p w14:paraId="50C50EBE" w14:textId="77777777" w:rsidR="000C0876" w:rsidRPr="0091488E" w:rsidRDefault="000C0876" w:rsidP="000C0876">
      <w:pPr>
        <w:jc w:val="both"/>
        <w:rPr>
          <w:rFonts w:ascii="Arial" w:hAnsi="Arial" w:cs="Arial"/>
          <w:sz w:val="22"/>
          <w:szCs w:val="22"/>
        </w:rPr>
      </w:pPr>
    </w:p>
    <w:p w14:paraId="0BC3DC88" w14:textId="6C138E9D" w:rsidR="000C0876" w:rsidRDefault="00473230" w:rsidP="000C0876">
      <w:pPr>
        <w:jc w:val="both"/>
        <w:rPr>
          <w:rFonts w:ascii="Arial" w:hAnsi="Arial" w:cs="Arial"/>
          <w:sz w:val="22"/>
          <w:szCs w:val="22"/>
        </w:rPr>
      </w:pPr>
      <w:r>
        <w:rPr>
          <w:rFonts w:ascii="Arial" w:hAnsi="Arial" w:cs="Arial"/>
          <w:b/>
          <w:sz w:val="22"/>
          <w:szCs w:val="22"/>
        </w:rPr>
        <w:t>Supplemental Fig. S</w:t>
      </w:r>
      <w:r w:rsidR="00B8521F">
        <w:rPr>
          <w:rFonts w:ascii="Arial" w:hAnsi="Arial" w:cs="Arial"/>
          <w:b/>
          <w:sz w:val="22"/>
          <w:szCs w:val="22"/>
        </w:rPr>
        <w:t>4</w:t>
      </w:r>
      <w:r w:rsidR="000C0876" w:rsidRPr="0091488E">
        <w:rPr>
          <w:rFonts w:ascii="Arial" w:hAnsi="Arial" w:cs="Arial"/>
          <w:b/>
          <w:sz w:val="22"/>
          <w:szCs w:val="22"/>
        </w:rPr>
        <w:t xml:space="preserve">. Precision-recall of multiple priors, G.S. = KO+ChIP (A) or KO (B), effect of RNA-seq </w:t>
      </w:r>
      <w:r w:rsidR="00B8521F">
        <w:rPr>
          <w:rFonts w:ascii="Arial" w:hAnsi="Arial" w:cs="Arial"/>
          <w:b/>
          <w:sz w:val="22"/>
          <w:szCs w:val="22"/>
        </w:rPr>
        <w:t>dataset</w:t>
      </w:r>
      <w:r w:rsidR="000C0876" w:rsidRPr="0091488E">
        <w:rPr>
          <w:rFonts w:ascii="Arial" w:hAnsi="Arial" w:cs="Arial"/>
          <w:b/>
          <w:sz w:val="22"/>
          <w:szCs w:val="22"/>
        </w:rPr>
        <w:t xml:space="preserve"> size. </w:t>
      </w:r>
      <w:r w:rsidR="000C0876" w:rsidRPr="0091488E">
        <w:rPr>
          <w:rFonts w:ascii="Arial" w:hAnsi="Arial" w:cs="Arial"/>
          <w:sz w:val="22"/>
          <w:szCs w:val="22"/>
        </w:rPr>
        <w:t xml:space="preserve"> </w:t>
      </w:r>
      <w:r w:rsidR="00B8521F" w:rsidRPr="00B8521F">
        <w:rPr>
          <w:rFonts w:ascii="Arial" w:hAnsi="Arial" w:cs="Arial"/>
          <w:sz w:val="22"/>
          <w:szCs w:val="22"/>
        </w:rPr>
        <w:t>TRNs were built from 50 RNA-seq samples (rather than the full 254).</w:t>
      </w:r>
      <w:r w:rsidR="00B8521F">
        <w:rPr>
          <w:rFonts w:ascii="Arial" w:hAnsi="Arial" w:cs="Arial"/>
          <w:sz w:val="22"/>
          <w:szCs w:val="22"/>
        </w:rPr>
        <w:t xml:space="preserve"> </w:t>
      </w:r>
      <w:r w:rsidR="000C0876" w:rsidRPr="0091488E">
        <w:rPr>
          <w:rFonts w:ascii="Arial" w:hAnsi="Arial" w:cs="Arial"/>
          <w:sz w:val="22"/>
          <w:szCs w:val="22"/>
        </w:rPr>
        <w:t xml:space="preserve">For each prior, the performance is plotted for several TRNs, based on </w:t>
      </w:r>
      <w:r w:rsidR="000C0876" w:rsidRPr="00B8521F">
        <w:rPr>
          <w:rFonts w:ascii="Arial" w:hAnsi="Arial" w:cs="Arial"/>
          <w:i/>
          <w:sz w:val="22"/>
          <w:szCs w:val="22"/>
        </w:rPr>
        <w:t>Inferelator</w:t>
      </w:r>
      <w:r w:rsidR="000C0876" w:rsidRPr="0091488E">
        <w:rPr>
          <w:rFonts w:ascii="Arial" w:hAnsi="Arial" w:cs="Arial"/>
          <w:sz w:val="22"/>
          <w:szCs w:val="22"/>
        </w:rPr>
        <w:t xml:space="preserve"> method (LS = mLASSO-StARS (reds), BB = BBSR-BIC (blues)), </w:t>
      </w:r>
      <w:r w:rsidR="001D42AA" w:rsidRPr="001D42AA">
        <w:rPr>
          <w:rFonts w:ascii="Arial" w:hAnsi="Arial" w:cs="Arial"/>
          <w:sz w:val="22"/>
          <w:szCs w:val="22"/>
        </w:rPr>
        <w:t>TFA estimation method (m = TF mRNA, TFA = P</w:t>
      </w:r>
      <w:r w:rsidR="001D42AA" w:rsidRPr="001D42AA">
        <w:rPr>
          <w:rFonts w:ascii="Arial" w:hAnsi="Arial" w:cs="Arial"/>
          <w:sz w:val="22"/>
          <w:szCs w:val="22"/>
          <w:vertAlign w:val="superscript"/>
        </w:rPr>
        <w:t>+</w:t>
      </w:r>
      <w:r w:rsidR="001D42AA" w:rsidRPr="001D42AA">
        <w:rPr>
          <w:rFonts w:ascii="Arial" w:hAnsi="Arial" w:cs="Arial"/>
          <w:sz w:val="22"/>
          <w:szCs w:val="22"/>
        </w:rPr>
        <w:t>X), and strength of prior reinforcement (none, moderate (+), and strong (++)). Random and “No Prior” control TRNs serve as references in all panels.</w:t>
      </w:r>
    </w:p>
    <w:p w14:paraId="3DA7C480" w14:textId="77777777" w:rsidR="001D42AA" w:rsidRPr="0091488E" w:rsidRDefault="001D42AA" w:rsidP="000C0876">
      <w:pPr>
        <w:jc w:val="both"/>
        <w:rPr>
          <w:rFonts w:ascii="Arial" w:hAnsi="Arial" w:cs="Arial"/>
          <w:sz w:val="22"/>
          <w:szCs w:val="22"/>
        </w:rPr>
      </w:pPr>
    </w:p>
    <w:p w14:paraId="73EFF291" w14:textId="1D8D61D4" w:rsidR="000C0876" w:rsidRPr="0091488E" w:rsidRDefault="00473230" w:rsidP="000C0876">
      <w:pPr>
        <w:jc w:val="both"/>
        <w:rPr>
          <w:rFonts w:ascii="Arial" w:hAnsi="Arial" w:cs="Arial"/>
          <w:sz w:val="22"/>
          <w:szCs w:val="22"/>
        </w:rPr>
      </w:pPr>
      <w:r>
        <w:rPr>
          <w:rFonts w:ascii="Arial" w:hAnsi="Arial" w:cs="Arial"/>
          <w:b/>
          <w:sz w:val="22"/>
          <w:szCs w:val="22"/>
        </w:rPr>
        <w:lastRenderedPageBreak/>
        <w:t xml:space="preserve">Supplemental Fig. </w:t>
      </w:r>
      <w:r w:rsidR="00B8521F">
        <w:rPr>
          <w:rFonts w:ascii="Arial" w:hAnsi="Arial" w:cs="Arial"/>
          <w:b/>
          <w:sz w:val="22"/>
          <w:szCs w:val="22"/>
        </w:rPr>
        <w:t>S5</w:t>
      </w:r>
      <w:r w:rsidR="000C0876" w:rsidRPr="0091488E">
        <w:rPr>
          <w:rFonts w:ascii="Arial" w:hAnsi="Arial" w:cs="Arial"/>
          <w:b/>
          <w:sz w:val="22"/>
          <w:szCs w:val="22"/>
        </w:rPr>
        <w:t>. TF-specific TRN performance for mLASSO-StARS and BBSR-BIC. (A)</w:t>
      </w:r>
      <w:r w:rsidR="000C0876" w:rsidRPr="0091488E">
        <w:rPr>
          <w:rFonts w:ascii="Arial" w:hAnsi="Arial" w:cs="Arial"/>
          <w:sz w:val="22"/>
          <w:szCs w:val="22"/>
        </w:rPr>
        <w:t xml:space="preserve"> For each G.S., AUPRs were calculated for each TF individually. TF-specific performance of TRNs is quantified as the log</w:t>
      </w:r>
      <w:r w:rsidR="000C0876" w:rsidRPr="0091488E">
        <w:rPr>
          <w:rFonts w:ascii="Arial" w:hAnsi="Arial" w:cs="Arial"/>
          <w:sz w:val="22"/>
          <w:szCs w:val="22"/>
          <w:vertAlign w:val="subscript"/>
        </w:rPr>
        <w:t>2</w:t>
      </w:r>
      <w:r w:rsidR="000C0876" w:rsidRPr="0091488E">
        <w:rPr>
          <w:rFonts w:ascii="Arial" w:hAnsi="Arial" w:cs="Arial"/>
          <w:sz w:val="22"/>
          <w:szCs w:val="22"/>
        </w:rPr>
        <w:t xml:space="preserve">-foldchange between AUPR of the TRN model relative to random. “+” indicates strength of prior reinforcement, and “m” and “TFA” denote TFA estimation from TF mRNA and prior-based TFA, respectively. </w:t>
      </w:r>
      <w:r w:rsidR="000C0876" w:rsidRPr="0091488E">
        <w:rPr>
          <w:rFonts w:ascii="Arial" w:hAnsi="Arial" w:cs="Arial"/>
          <w:b/>
          <w:sz w:val="22"/>
          <w:szCs w:val="22"/>
        </w:rPr>
        <w:t xml:space="preserve">(B) </w:t>
      </w:r>
      <w:r w:rsidR="000C0876" w:rsidRPr="0091488E">
        <w:rPr>
          <w:rFonts w:ascii="Arial" w:hAnsi="Arial" w:cs="Arial"/>
          <w:sz w:val="22"/>
          <w:szCs w:val="22"/>
        </w:rPr>
        <w:t xml:space="preserve">Boxplots of per-TF AUPRs for mLASSO-StARS models in </w:t>
      </w:r>
      <w:r w:rsidR="000C0876" w:rsidRPr="0091488E">
        <w:rPr>
          <w:rFonts w:ascii="Arial" w:hAnsi="Arial" w:cs="Arial"/>
          <w:b/>
          <w:sz w:val="22"/>
          <w:szCs w:val="22"/>
        </w:rPr>
        <w:t>(A);</w:t>
      </w:r>
      <w:r w:rsidR="000C0876" w:rsidRPr="0091488E">
        <w:rPr>
          <w:rFonts w:ascii="Arial" w:hAnsi="Arial" w:cs="Arial"/>
          <w:sz w:val="22"/>
          <w:szCs w:val="22"/>
        </w:rPr>
        <w:t xml:space="preserve"> central mark indicates median, box edges indicate the 25</w:t>
      </w:r>
      <w:r w:rsidR="000C0876" w:rsidRPr="0091488E">
        <w:rPr>
          <w:rFonts w:ascii="Arial" w:hAnsi="Arial" w:cs="Arial"/>
          <w:sz w:val="22"/>
          <w:szCs w:val="22"/>
          <w:vertAlign w:val="superscript"/>
        </w:rPr>
        <w:t>th</w:t>
      </w:r>
      <w:r w:rsidR="000C0876" w:rsidRPr="0091488E">
        <w:rPr>
          <w:rFonts w:ascii="Arial" w:hAnsi="Arial" w:cs="Arial"/>
          <w:sz w:val="22"/>
          <w:szCs w:val="22"/>
        </w:rPr>
        <w:t xml:space="preserve"> and 75</w:t>
      </w:r>
      <w:r w:rsidR="000C0876" w:rsidRPr="0091488E">
        <w:rPr>
          <w:rFonts w:ascii="Arial" w:hAnsi="Arial" w:cs="Arial"/>
          <w:sz w:val="22"/>
          <w:szCs w:val="22"/>
          <w:vertAlign w:val="superscript"/>
        </w:rPr>
        <w:t>th</w:t>
      </w:r>
      <w:r w:rsidR="000C0876" w:rsidRPr="0091488E">
        <w:rPr>
          <w:rFonts w:ascii="Arial" w:hAnsi="Arial" w:cs="Arial"/>
          <w:sz w:val="22"/>
          <w:szCs w:val="22"/>
        </w:rPr>
        <w:t xml:space="preserve"> percentiles, and the whiskers extend to the most extreme data points not considered outliers (+/-2.7 standard deviations from the mean).</w:t>
      </w:r>
    </w:p>
    <w:p w14:paraId="5739A879" w14:textId="77777777" w:rsidR="000C0876" w:rsidRPr="0091488E" w:rsidRDefault="000C0876" w:rsidP="000C0876">
      <w:pPr>
        <w:jc w:val="both"/>
        <w:rPr>
          <w:rFonts w:ascii="Arial" w:hAnsi="Arial" w:cs="Arial"/>
          <w:sz w:val="22"/>
          <w:szCs w:val="22"/>
        </w:rPr>
      </w:pPr>
    </w:p>
    <w:p w14:paraId="5A011747" w14:textId="63D3C553"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B8521F">
        <w:rPr>
          <w:rFonts w:ascii="Arial" w:hAnsi="Arial" w:cs="Arial"/>
          <w:b/>
          <w:sz w:val="22"/>
          <w:szCs w:val="22"/>
        </w:rPr>
        <w:t>S6</w:t>
      </w:r>
      <w:r w:rsidR="000C0876" w:rsidRPr="0091488E">
        <w:rPr>
          <w:rFonts w:ascii="Arial" w:hAnsi="Arial" w:cs="Arial"/>
          <w:b/>
          <w:sz w:val="22"/>
          <w:szCs w:val="22"/>
        </w:rPr>
        <w:t>. Distributions of per-gene R</w:t>
      </w:r>
      <w:r w:rsidR="000C0876" w:rsidRPr="0091488E">
        <w:rPr>
          <w:rFonts w:ascii="Arial" w:hAnsi="Arial" w:cs="Arial"/>
          <w:b/>
          <w:sz w:val="22"/>
          <w:szCs w:val="22"/>
          <w:vertAlign w:val="superscript"/>
        </w:rPr>
        <w:t>2</w:t>
      </w:r>
      <w:r w:rsidR="000C0876" w:rsidRPr="0091488E">
        <w:rPr>
          <w:rFonts w:ascii="Arial" w:hAnsi="Arial" w:cs="Arial"/>
          <w:b/>
          <w:sz w:val="22"/>
          <w:szCs w:val="22"/>
          <w:vertAlign w:val="subscript"/>
        </w:rPr>
        <w:t>pred</w:t>
      </w:r>
      <w:r w:rsidR="000C0876" w:rsidRPr="0091488E">
        <w:rPr>
          <w:rFonts w:ascii="Arial" w:hAnsi="Arial" w:cs="Arial"/>
          <w:b/>
          <w:sz w:val="22"/>
          <w:szCs w:val="22"/>
        </w:rPr>
        <w:t xml:space="preserve"> values. </w:t>
      </w:r>
      <w:r w:rsidR="000C0876" w:rsidRPr="0091488E">
        <w:rPr>
          <w:rFonts w:ascii="Arial" w:hAnsi="Arial" w:cs="Arial"/>
          <w:sz w:val="22"/>
          <w:szCs w:val="22"/>
        </w:rPr>
        <w:t>Full and zoomed-in boxplots of per-gene R</w:t>
      </w:r>
      <w:r w:rsidR="000C0876" w:rsidRPr="0091488E">
        <w:rPr>
          <w:rFonts w:ascii="Arial" w:hAnsi="Arial" w:cs="Arial"/>
          <w:sz w:val="22"/>
          <w:szCs w:val="22"/>
          <w:vertAlign w:val="superscript"/>
        </w:rPr>
        <w:t>2</w:t>
      </w:r>
      <w:r w:rsidR="000C0876" w:rsidRPr="0091488E">
        <w:rPr>
          <w:rFonts w:ascii="Arial" w:hAnsi="Arial" w:cs="Arial"/>
          <w:sz w:val="22"/>
          <w:szCs w:val="22"/>
          <w:vertAlign w:val="subscript"/>
        </w:rPr>
        <w:t>pred</w:t>
      </w:r>
      <w:r w:rsidR="000C0876" w:rsidRPr="0091488E">
        <w:rPr>
          <w:rFonts w:ascii="Arial" w:hAnsi="Arial" w:cs="Arial"/>
          <w:sz w:val="22"/>
          <w:szCs w:val="22"/>
        </w:rPr>
        <w:t xml:space="preserve"> values for </w:t>
      </w:r>
      <w:r w:rsidR="00665B8A">
        <w:rPr>
          <w:rFonts w:ascii="Arial" w:hAnsi="Arial" w:cs="Arial"/>
          <w:sz w:val="22"/>
          <w:szCs w:val="22"/>
        </w:rPr>
        <w:t xml:space="preserve">the </w:t>
      </w:r>
      <w:r w:rsidR="000C0876" w:rsidRPr="0091488E">
        <w:rPr>
          <w:rFonts w:ascii="Arial" w:hAnsi="Arial" w:cs="Arial"/>
          <w:sz w:val="22"/>
          <w:szCs w:val="22"/>
        </w:rPr>
        <w:t>Th17 ATAC prior, bias = .5 and TFA = TF mRNA or prior-based TFA (TFA = P</w:t>
      </w:r>
      <w:r w:rsidR="000C0876" w:rsidRPr="0091488E">
        <w:rPr>
          <w:rFonts w:ascii="Arial" w:hAnsi="Arial" w:cs="Arial"/>
          <w:sz w:val="22"/>
          <w:szCs w:val="22"/>
          <w:vertAlign w:val="superscript"/>
        </w:rPr>
        <w:t>+</w:t>
      </w:r>
      <w:r w:rsidR="000C0876" w:rsidRPr="0091488E">
        <w:rPr>
          <w:rFonts w:ascii="Arial" w:hAnsi="Arial" w:cs="Arial"/>
          <w:sz w:val="22"/>
          <w:szCs w:val="22"/>
        </w:rPr>
        <w:t>X). The central red mark indicates median, the bottom and top edges of the blue box indicate the 25</w:t>
      </w:r>
      <w:r w:rsidR="000C0876" w:rsidRPr="0091488E">
        <w:rPr>
          <w:rFonts w:ascii="Arial" w:hAnsi="Arial" w:cs="Arial"/>
          <w:sz w:val="22"/>
          <w:szCs w:val="22"/>
          <w:vertAlign w:val="superscript"/>
        </w:rPr>
        <w:t>th</w:t>
      </w:r>
      <w:r w:rsidR="000C0876" w:rsidRPr="0091488E">
        <w:rPr>
          <w:rFonts w:ascii="Arial" w:hAnsi="Arial" w:cs="Arial"/>
          <w:sz w:val="22"/>
          <w:szCs w:val="22"/>
        </w:rPr>
        <w:t xml:space="preserve"> and 75</w:t>
      </w:r>
      <w:r w:rsidR="000C0876" w:rsidRPr="0091488E">
        <w:rPr>
          <w:rFonts w:ascii="Arial" w:hAnsi="Arial" w:cs="Arial"/>
          <w:sz w:val="22"/>
          <w:szCs w:val="22"/>
          <w:vertAlign w:val="superscript"/>
        </w:rPr>
        <w:t>th</w:t>
      </w:r>
      <w:r w:rsidR="000C0876" w:rsidRPr="0091488E">
        <w:rPr>
          <w:rFonts w:ascii="Arial" w:hAnsi="Arial" w:cs="Arial"/>
          <w:sz w:val="22"/>
          <w:szCs w:val="22"/>
        </w:rPr>
        <w:t xml:space="preserve"> percentiles, and the whiskers extend to the most extreme data points not considered outliers (+/-2.7 standard deviations from the mean). x-axis indicates the average number of TFs per gene at each model-size cutoff. </w:t>
      </w:r>
    </w:p>
    <w:p w14:paraId="76E6D927" w14:textId="77777777" w:rsidR="000C0876" w:rsidRPr="0091488E" w:rsidRDefault="000C0876" w:rsidP="000C0876">
      <w:pPr>
        <w:jc w:val="both"/>
        <w:rPr>
          <w:rFonts w:ascii="Arial" w:hAnsi="Arial" w:cs="Arial"/>
          <w:sz w:val="22"/>
          <w:szCs w:val="22"/>
        </w:rPr>
      </w:pPr>
    </w:p>
    <w:p w14:paraId="1125AF9F" w14:textId="53BECA84"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B8521F">
        <w:rPr>
          <w:rFonts w:ascii="Arial" w:hAnsi="Arial" w:cs="Arial"/>
          <w:b/>
          <w:sz w:val="22"/>
          <w:szCs w:val="22"/>
        </w:rPr>
        <w:t>S7</w:t>
      </w:r>
      <w:r w:rsidR="000C0876" w:rsidRPr="0091488E">
        <w:rPr>
          <w:rFonts w:ascii="Arial" w:hAnsi="Arial" w:cs="Arial"/>
          <w:b/>
          <w:sz w:val="22"/>
          <w:szCs w:val="22"/>
        </w:rPr>
        <w:t xml:space="preserve">. Out-of-sample prediction of gene expression patterns </w:t>
      </w:r>
      <w:r w:rsidR="00665B8A">
        <w:rPr>
          <w:rFonts w:ascii="Arial" w:hAnsi="Arial" w:cs="Arial"/>
          <w:b/>
          <w:sz w:val="22"/>
          <w:szCs w:val="22"/>
        </w:rPr>
        <w:t xml:space="preserve">for </w:t>
      </w:r>
      <w:r w:rsidR="000C0876" w:rsidRPr="0091488E">
        <w:rPr>
          <w:rFonts w:ascii="Arial" w:hAnsi="Arial" w:cs="Arial"/>
          <w:b/>
          <w:sz w:val="22"/>
          <w:szCs w:val="22"/>
        </w:rPr>
        <w:t>TFA = TF mRNA and No Prior TRNs.</w:t>
      </w:r>
      <w:r w:rsidR="000C0876" w:rsidRPr="0091488E">
        <w:rPr>
          <w:rFonts w:ascii="Arial" w:hAnsi="Arial" w:cs="Arial"/>
          <w:sz w:val="22"/>
          <w:szCs w:val="22"/>
        </w:rPr>
        <w:t xml:space="preserve"> Leave-out sets are defined a</w:t>
      </w:r>
      <w:r w:rsidR="000C0876" w:rsidRPr="00D72ADD">
        <w:rPr>
          <w:rFonts w:ascii="Arial" w:hAnsi="Arial" w:cs="Arial"/>
          <w:sz w:val="22"/>
          <w:szCs w:val="22"/>
        </w:rPr>
        <w:t xml:space="preserve">s in </w:t>
      </w:r>
      <w:r w:rsidR="000C0876" w:rsidRPr="00D72ADD">
        <w:rPr>
          <w:rFonts w:ascii="Arial" w:hAnsi="Arial" w:cs="Arial"/>
          <w:b/>
          <w:sz w:val="22"/>
          <w:szCs w:val="22"/>
        </w:rPr>
        <w:t>Figure 4A</w:t>
      </w:r>
      <w:r w:rsidR="000C0876" w:rsidRPr="00D72ADD">
        <w:rPr>
          <w:rFonts w:ascii="Arial" w:hAnsi="Arial" w:cs="Arial"/>
          <w:sz w:val="22"/>
          <w:szCs w:val="22"/>
        </w:rPr>
        <w:t>. Model selection and parameter estimation of TF-gene interactions were perfor</w:t>
      </w:r>
      <w:r w:rsidR="000C0876" w:rsidRPr="0091488E">
        <w:rPr>
          <w:rFonts w:ascii="Arial" w:hAnsi="Arial" w:cs="Arial"/>
          <w:sz w:val="22"/>
          <w:szCs w:val="22"/>
        </w:rPr>
        <w:t>med in the absence of specified leave-out sets (All Th0, Late Th17, and Early Th17). TRN models were built without prior (left panels), with an ATAC (central panels) or ChIP+KO+ATAC priors (right panels), using mLASSO-StARS, bias = .5, and TFA = TF mRNA (upper panels) TFA = P</w:t>
      </w:r>
      <w:r w:rsidR="000C0876" w:rsidRPr="0091488E">
        <w:rPr>
          <w:rFonts w:ascii="Arial" w:hAnsi="Arial" w:cs="Arial"/>
          <w:sz w:val="22"/>
          <w:szCs w:val="22"/>
          <w:vertAlign w:val="superscript"/>
        </w:rPr>
        <w:t>+</w:t>
      </w:r>
      <w:r w:rsidR="000C0876" w:rsidRPr="0091488E">
        <w:rPr>
          <w:rFonts w:ascii="Arial" w:hAnsi="Arial" w:cs="Arial"/>
          <w:sz w:val="22"/>
          <w:szCs w:val="22"/>
        </w:rPr>
        <w:t>X (lower panels). R</w:t>
      </w:r>
      <w:r w:rsidR="000C0876" w:rsidRPr="0091488E">
        <w:rPr>
          <w:rFonts w:ascii="Arial" w:hAnsi="Arial" w:cs="Arial"/>
          <w:sz w:val="22"/>
          <w:szCs w:val="22"/>
          <w:vertAlign w:val="superscript"/>
        </w:rPr>
        <w:t>2</w:t>
      </w:r>
      <w:r w:rsidR="000C0876" w:rsidRPr="0091488E">
        <w:rPr>
          <w:rFonts w:ascii="Arial" w:hAnsi="Arial" w:cs="Arial"/>
          <w:sz w:val="22"/>
          <w:szCs w:val="22"/>
          <w:vertAlign w:val="subscript"/>
        </w:rPr>
        <w:t>pred</w:t>
      </w:r>
      <w:r w:rsidR="000C0876" w:rsidRPr="0091488E">
        <w:rPr>
          <w:rFonts w:ascii="Arial" w:hAnsi="Arial" w:cs="Arial"/>
          <w:sz w:val="22"/>
          <w:szCs w:val="22"/>
        </w:rPr>
        <w:t xml:space="preserve"> for each leave-out set is plotted as a function of average number of TFs per gene. In the key, the </w:t>
      </w:r>
      <w:r w:rsidR="00665B8A">
        <w:rPr>
          <w:rFonts w:ascii="Arial" w:hAnsi="Arial" w:cs="Arial"/>
          <w:sz w:val="22"/>
          <w:szCs w:val="22"/>
        </w:rPr>
        <w:t>number of samples per</w:t>
      </w:r>
      <w:r w:rsidR="000C0876" w:rsidRPr="0091488E">
        <w:rPr>
          <w:rFonts w:ascii="Arial" w:hAnsi="Arial" w:cs="Arial"/>
          <w:sz w:val="22"/>
          <w:szCs w:val="22"/>
        </w:rPr>
        <w:t xml:space="preserve"> leave-out set </w:t>
      </w:r>
      <w:r w:rsidR="00665B8A">
        <w:rPr>
          <w:rFonts w:ascii="Arial" w:hAnsi="Arial" w:cs="Arial"/>
          <w:sz w:val="22"/>
          <w:szCs w:val="22"/>
        </w:rPr>
        <w:t>appears</w:t>
      </w:r>
      <w:r w:rsidR="000C0876" w:rsidRPr="0091488E">
        <w:rPr>
          <w:rFonts w:ascii="Arial" w:hAnsi="Arial" w:cs="Arial"/>
          <w:sz w:val="22"/>
          <w:szCs w:val="22"/>
        </w:rPr>
        <w:t xml:space="preserve"> in parentheses. For reference, precision and recall of the full model are also plotted, providing intuition about the number of KO or KO+ChIP edges in the TRN at each cut off. </w:t>
      </w:r>
    </w:p>
    <w:p w14:paraId="6DCF2360" w14:textId="77777777" w:rsidR="000C0876" w:rsidRPr="0091488E" w:rsidRDefault="000C0876" w:rsidP="000C0876">
      <w:pPr>
        <w:jc w:val="both"/>
        <w:rPr>
          <w:rFonts w:ascii="Arial" w:hAnsi="Arial" w:cs="Arial"/>
          <w:sz w:val="22"/>
          <w:szCs w:val="22"/>
        </w:rPr>
      </w:pPr>
    </w:p>
    <w:p w14:paraId="3E8D180E" w14:textId="21A35FDB"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B8521F">
        <w:rPr>
          <w:rFonts w:ascii="Arial" w:hAnsi="Arial" w:cs="Arial"/>
          <w:b/>
          <w:sz w:val="22"/>
          <w:szCs w:val="22"/>
        </w:rPr>
        <w:t>S8</w:t>
      </w:r>
      <w:r w:rsidR="000C0876" w:rsidRPr="0091488E">
        <w:rPr>
          <w:rFonts w:ascii="Arial" w:hAnsi="Arial" w:cs="Arial"/>
          <w:b/>
          <w:sz w:val="22"/>
          <w:szCs w:val="22"/>
        </w:rPr>
        <w:t>. (A) Edge overlaps of TRNs.</w:t>
      </w:r>
      <w:r w:rsidR="000C0876" w:rsidRPr="0091488E">
        <w:rPr>
          <w:rFonts w:ascii="Arial" w:hAnsi="Arial" w:cs="Arial"/>
          <w:sz w:val="22"/>
          <w:szCs w:val="22"/>
        </w:rPr>
        <w:t xml:space="preserve"> TRNs were built with the Th17 ATAC, ChIP, KO, ENCODE DHS, TRRUST, ChIP/ATAC or ChIP+ATAC+KO priors, with TFA based on target genes (“TFA”) or TF mRNA (“m”) and varying strengths of prior reinforcement (+ = moderate, ++ = strong, or none). The “No Prior” TRN was included as a control. Each TRN model size was limited to a mean of 15 TFs per gene and hierarchically clustered using 1-overlap distance and ward linkage. </w:t>
      </w:r>
      <w:r w:rsidR="000C0876" w:rsidRPr="0091488E">
        <w:rPr>
          <w:rFonts w:ascii="Arial" w:hAnsi="Arial" w:cs="Arial"/>
          <w:b/>
          <w:sz w:val="22"/>
          <w:szCs w:val="22"/>
        </w:rPr>
        <w:t xml:space="preserve">(B) Network coverage by high-degree TFs. </w:t>
      </w:r>
      <w:r w:rsidR="000C0876" w:rsidRPr="0091488E">
        <w:rPr>
          <w:rFonts w:ascii="Arial" w:hAnsi="Arial" w:cs="Arial"/>
          <w:sz w:val="22"/>
          <w:szCs w:val="22"/>
        </w:rPr>
        <w:t>A TF was included in the “high-degree” TF set, if it was within the top-two highest degree nodes in one or more of the TRNs. The percentage of genes regulated by TF is based on the 3578 target genes.</w:t>
      </w:r>
    </w:p>
    <w:p w14:paraId="45E0A66E" w14:textId="77777777" w:rsidR="000C0876" w:rsidRPr="0091488E" w:rsidRDefault="000C0876" w:rsidP="000C0876">
      <w:pPr>
        <w:jc w:val="both"/>
        <w:rPr>
          <w:rFonts w:ascii="Arial" w:hAnsi="Arial" w:cs="Arial"/>
          <w:sz w:val="22"/>
          <w:szCs w:val="22"/>
        </w:rPr>
      </w:pPr>
    </w:p>
    <w:p w14:paraId="565D9F87" w14:textId="52999FD9"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2B28DD">
        <w:rPr>
          <w:rFonts w:ascii="Arial" w:hAnsi="Arial" w:cs="Arial"/>
          <w:b/>
          <w:sz w:val="22"/>
          <w:szCs w:val="22"/>
        </w:rPr>
        <w:t>S9</w:t>
      </w:r>
      <w:r w:rsidR="000C0876" w:rsidRPr="0091488E">
        <w:rPr>
          <w:rFonts w:ascii="Arial" w:hAnsi="Arial" w:cs="Arial"/>
          <w:b/>
          <w:sz w:val="22"/>
          <w:szCs w:val="22"/>
        </w:rPr>
        <w:t>. Additional Th17 core TRN models.</w:t>
      </w:r>
      <w:r w:rsidR="000C0876" w:rsidRPr="0091488E">
        <w:rPr>
          <w:rFonts w:ascii="Arial" w:hAnsi="Arial" w:cs="Arial"/>
          <w:sz w:val="22"/>
          <w:szCs w:val="22"/>
        </w:rPr>
        <w:t xml:space="preserve"> “Core” Th17 genes and TFs were selected from the literature for visual comparison with jp_gene_viz software. Network size was limited to an average of 15 TFs per gene. Source of network and TFA method is denoted for each network. “+” denote moderate prior reinforcement with bias = .5. The edges in Inferelator TRNs are colored according to partial correlation (red positive, blue negative) and weighted relative to edge stability.  </w:t>
      </w:r>
      <w:r w:rsidR="00665B8A">
        <w:rPr>
          <w:rFonts w:ascii="Arial" w:hAnsi="Arial" w:cs="Arial"/>
          <w:sz w:val="22"/>
          <w:szCs w:val="22"/>
        </w:rPr>
        <w:t xml:space="preserve">Solid edges had support in the prior, while dotted edges were learned from gene expression modeling alone. </w:t>
      </w:r>
      <w:r w:rsidR="000C0876" w:rsidRPr="0091488E">
        <w:rPr>
          <w:rFonts w:ascii="Arial" w:hAnsi="Arial" w:cs="Arial"/>
          <w:sz w:val="22"/>
          <w:szCs w:val="22"/>
        </w:rPr>
        <w:t xml:space="preserve">Nodes are colored according to </w:t>
      </w:r>
      <w:r w:rsidR="00665B8A">
        <w:rPr>
          <w:rFonts w:ascii="Arial" w:hAnsi="Arial" w:cs="Arial"/>
          <w:sz w:val="22"/>
          <w:szCs w:val="22"/>
        </w:rPr>
        <w:t xml:space="preserve">z-scored </w:t>
      </w:r>
      <w:r w:rsidR="000C0876" w:rsidRPr="0091488E">
        <w:rPr>
          <w:rFonts w:ascii="Arial" w:hAnsi="Arial" w:cs="Arial"/>
          <w:sz w:val="22"/>
          <w:szCs w:val="22"/>
        </w:rPr>
        <w:t xml:space="preserve">gene expression at 48h in Th17 relative to </w:t>
      </w:r>
      <w:r w:rsidR="00665B8A">
        <w:rPr>
          <w:rFonts w:ascii="Arial" w:hAnsi="Arial" w:cs="Arial"/>
          <w:sz w:val="22"/>
          <w:szCs w:val="22"/>
        </w:rPr>
        <w:t>the</w:t>
      </w:r>
      <w:r w:rsidR="000C0876" w:rsidRPr="0091488E">
        <w:rPr>
          <w:rFonts w:ascii="Arial" w:hAnsi="Arial" w:cs="Arial"/>
          <w:sz w:val="22"/>
          <w:szCs w:val="22"/>
        </w:rPr>
        <w:t xml:space="preserve"> other T Helper cell time points (red/blue = increased/decreased expression).</w:t>
      </w:r>
    </w:p>
    <w:p w14:paraId="60BDE884" w14:textId="77777777" w:rsidR="000C0876" w:rsidRPr="0091488E" w:rsidRDefault="000C0876" w:rsidP="000C0876">
      <w:pPr>
        <w:jc w:val="both"/>
        <w:rPr>
          <w:rFonts w:ascii="Arial" w:hAnsi="Arial" w:cs="Arial"/>
          <w:b/>
          <w:sz w:val="22"/>
          <w:szCs w:val="22"/>
        </w:rPr>
      </w:pPr>
    </w:p>
    <w:p w14:paraId="708DEE0F" w14:textId="1E29030E"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2B28DD">
        <w:rPr>
          <w:rFonts w:ascii="Arial" w:hAnsi="Arial" w:cs="Arial"/>
          <w:b/>
          <w:sz w:val="22"/>
          <w:szCs w:val="22"/>
        </w:rPr>
        <w:t>S10</w:t>
      </w:r>
      <w:r w:rsidR="000C0876" w:rsidRPr="0091488E">
        <w:rPr>
          <w:rFonts w:ascii="Arial" w:hAnsi="Arial" w:cs="Arial"/>
          <w:b/>
          <w:sz w:val="22"/>
          <w:szCs w:val="22"/>
        </w:rPr>
        <w:t>. Distribution of targets per TF in final ChIP+KO+ATAC TRN.</w:t>
      </w:r>
      <w:r w:rsidR="000C0876" w:rsidRPr="0091488E">
        <w:rPr>
          <w:rFonts w:ascii="Arial" w:hAnsi="Arial" w:cs="Arial"/>
          <w:sz w:val="22"/>
          <w:szCs w:val="22"/>
        </w:rPr>
        <w:t xml:space="preserve"> </w:t>
      </w:r>
      <w:r w:rsidR="00EE462B" w:rsidRPr="00EE462B">
        <w:rPr>
          <w:rFonts w:ascii="Arial" w:hAnsi="Arial" w:cs="Arial"/>
          <w:sz w:val="22"/>
          <w:szCs w:val="22"/>
        </w:rPr>
        <w:t xml:space="preserve">Network size was limited to mean 15 TFs per gene and network edges were further filter to remove any edge with absolute partial correlation &lt; .01. TFs were ranked according to degree (total number of target genes) in the left panel, while the inset displays the Top 100 highest-degree TFs. TF target genes are colored according to interaction sign and whether the interaction was also in the prior (see </w:t>
      </w:r>
      <w:r w:rsidR="00EE462B">
        <w:rPr>
          <w:rFonts w:ascii="Arial" w:hAnsi="Arial" w:cs="Arial"/>
          <w:sz w:val="22"/>
          <w:szCs w:val="22"/>
        </w:rPr>
        <w:t>k</w:t>
      </w:r>
      <w:r w:rsidR="00EE462B" w:rsidRPr="00EE462B">
        <w:rPr>
          <w:rFonts w:ascii="Arial" w:hAnsi="Arial" w:cs="Arial"/>
          <w:sz w:val="22"/>
          <w:szCs w:val="22"/>
        </w:rPr>
        <w:t xml:space="preserve">ey). </w:t>
      </w:r>
    </w:p>
    <w:p w14:paraId="0FF2BB0D" w14:textId="77777777" w:rsidR="000C0876" w:rsidRPr="0091488E" w:rsidRDefault="000C0876" w:rsidP="000C0876">
      <w:pPr>
        <w:jc w:val="both"/>
        <w:rPr>
          <w:rFonts w:ascii="Arial" w:hAnsi="Arial" w:cs="Arial"/>
          <w:sz w:val="22"/>
          <w:szCs w:val="22"/>
        </w:rPr>
      </w:pPr>
    </w:p>
    <w:p w14:paraId="11387829" w14:textId="71E80823" w:rsidR="00EE462B" w:rsidRPr="00EE462B" w:rsidRDefault="00473230" w:rsidP="00EE462B">
      <w:pPr>
        <w:jc w:val="both"/>
        <w:rPr>
          <w:rFonts w:ascii="Arial" w:hAnsi="Arial" w:cs="Arial"/>
          <w:sz w:val="22"/>
          <w:szCs w:val="22"/>
        </w:rPr>
      </w:pPr>
      <w:r>
        <w:rPr>
          <w:rFonts w:ascii="Arial" w:hAnsi="Arial" w:cs="Arial"/>
          <w:b/>
          <w:bCs/>
          <w:sz w:val="22"/>
          <w:szCs w:val="22"/>
        </w:rPr>
        <w:t xml:space="preserve">Supplemental Fig. </w:t>
      </w:r>
      <w:r w:rsidR="002B28DD">
        <w:rPr>
          <w:rFonts w:ascii="Arial" w:hAnsi="Arial" w:cs="Arial"/>
          <w:b/>
          <w:bCs/>
          <w:sz w:val="22"/>
          <w:szCs w:val="22"/>
        </w:rPr>
        <w:t>S11</w:t>
      </w:r>
      <w:r w:rsidR="00EE462B" w:rsidRPr="00EE462B">
        <w:rPr>
          <w:rFonts w:ascii="Arial" w:hAnsi="Arial" w:cs="Arial"/>
          <w:b/>
          <w:bCs/>
          <w:sz w:val="22"/>
          <w:szCs w:val="22"/>
        </w:rPr>
        <w:t>. Distribution of targets per TF in final ATAC TRN.</w:t>
      </w:r>
      <w:r w:rsidR="00EE462B" w:rsidRPr="00EE462B">
        <w:rPr>
          <w:rFonts w:ascii="Arial" w:hAnsi="Arial" w:cs="Arial"/>
          <w:b/>
          <w:sz w:val="22"/>
          <w:szCs w:val="22"/>
        </w:rPr>
        <w:t xml:space="preserve"> </w:t>
      </w:r>
      <w:r w:rsidR="00EE462B" w:rsidRPr="00EE462B">
        <w:rPr>
          <w:rFonts w:ascii="Arial" w:hAnsi="Arial" w:cs="Arial"/>
          <w:sz w:val="22"/>
          <w:szCs w:val="22"/>
        </w:rPr>
        <w:t xml:space="preserve">Network size was limited to mean 15 TFs per gene and network edges were further filter to remove any edge with absolute partial correlation &lt; .01. TFs were ranked according to degree (total number of target genes) in the left panel, while the inset displays the Top 100 highest-degree TFs. TF target genes are colored according to interaction sign and whether the interaction was also in the prior (see </w:t>
      </w:r>
      <w:r w:rsidR="00EE462B">
        <w:rPr>
          <w:rFonts w:ascii="Arial" w:hAnsi="Arial" w:cs="Arial"/>
          <w:sz w:val="22"/>
          <w:szCs w:val="22"/>
        </w:rPr>
        <w:t>k</w:t>
      </w:r>
      <w:r w:rsidR="00EE462B" w:rsidRPr="00EE462B">
        <w:rPr>
          <w:rFonts w:ascii="Arial" w:hAnsi="Arial" w:cs="Arial"/>
          <w:sz w:val="22"/>
          <w:szCs w:val="22"/>
        </w:rPr>
        <w:t xml:space="preserve">ey). </w:t>
      </w:r>
    </w:p>
    <w:p w14:paraId="59EB1FFE" w14:textId="77777777" w:rsidR="000C0876" w:rsidRPr="0091488E" w:rsidRDefault="000C0876" w:rsidP="000C0876">
      <w:pPr>
        <w:jc w:val="both"/>
        <w:rPr>
          <w:rFonts w:ascii="Arial" w:hAnsi="Arial" w:cs="Arial"/>
          <w:sz w:val="22"/>
          <w:szCs w:val="22"/>
        </w:rPr>
      </w:pPr>
    </w:p>
    <w:p w14:paraId="2C373881" w14:textId="7CDA5551"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2B28DD">
        <w:rPr>
          <w:rFonts w:ascii="Arial" w:hAnsi="Arial" w:cs="Arial"/>
          <w:b/>
          <w:sz w:val="22"/>
          <w:szCs w:val="22"/>
        </w:rPr>
        <w:t>S12</w:t>
      </w:r>
      <w:r w:rsidR="000C0876" w:rsidRPr="0091488E">
        <w:rPr>
          <w:rFonts w:ascii="Arial" w:hAnsi="Arial" w:cs="Arial"/>
          <w:b/>
          <w:sz w:val="22"/>
          <w:szCs w:val="22"/>
        </w:rPr>
        <w:t>. De Novo Th17 Core TFs of the ChIP+KO+ATAC and ATAC-only TRNs derived from different model-size cutoffs.</w:t>
      </w:r>
      <w:r w:rsidR="000C0876" w:rsidRPr="0091488E">
        <w:rPr>
          <w:rFonts w:ascii="Arial" w:hAnsi="Arial" w:cs="Arial"/>
          <w:sz w:val="22"/>
          <w:szCs w:val="22"/>
        </w:rPr>
        <w:t xml:space="preserve"> </w:t>
      </w:r>
      <w:r w:rsidR="00EE462B" w:rsidRPr="00EE462B">
        <w:rPr>
          <w:rFonts w:ascii="Arial" w:hAnsi="Arial" w:cs="Arial"/>
          <w:sz w:val="22"/>
          <w:szCs w:val="22"/>
        </w:rPr>
        <w:t>TFs were included as De Novo Th17 Core TFs if, at FDR = 10%, (1) positive gene targets were enriched for up-regulated Th17 genes (red bars) or (2) negative gene targets were enriched for down-regulated Th17 genes (blue bars). The top-30 most significant “core” Th17 TFs are shown per TRN. Superscripts c and y indicate TF Th17 association from (Ciofani et al. 2012), (Yosef et al., 2013), respectively.</w:t>
      </w:r>
    </w:p>
    <w:p w14:paraId="5D7F6F8C" w14:textId="77777777" w:rsidR="000C0876" w:rsidRPr="0091488E" w:rsidRDefault="000C0876" w:rsidP="000C0876">
      <w:pPr>
        <w:jc w:val="both"/>
        <w:rPr>
          <w:rFonts w:ascii="Arial" w:hAnsi="Arial" w:cs="Arial"/>
          <w:sz w:val="22"/>
          <w:szCs w:val="22"/>
        </w:rPr>
      </w:pPr>
    </w:p>
    <w:p w14:paraId="7CE74105" w14:textId="05CF50CE" w:rsidR="000C0876" w:rsidRPr="0091488E" w:rsidRDefault="00473230" w:rsidP="000C0876">
      <w:pPr>
        <w:jc w:val="both"/>
        <w:rPr>
          <w:rFonts w:ascii="Arial" w:hAnsi="Arial" w:cs="Arial"/>
          <w:sz w:val="22"/>
          <w:szCs w:val="22"/>
        </w:rPr>
      </w:pPr>
      <w:r>
        <w:rPr>
          <w:rFonts w:ascii="Arial" w:hAnsi="Arial" w:cs="Arial"/>
          <w:b/>
          <w:sz w:val="22"/>
          <w:szCs w:val="22"/>
        </w:rPr>
        <w:t xml:space="preserve">Supplemental Fig. </w:t>
      </w:r>
      <w:r w:rsidR="002B28DD">
        <w:rPr>
          <w:rFonts w:ascii="Arial" w:hAnsi="Arial" w:cs="Arial"/>
          <w:b/>
          <w:sz w:val="22"/>
          <w:szCs w:val="22"/>
        </w:rPr>
        <w:t>S13</w:t>
      </w:r>
      <w:r w:rsidR="000C0876" w:rsidRPr="0091488E">
        <w:rPr>
          <w:rFonts w:ascii="Arial" w:hAnsi="Arial" w:cs="Arial"/>
          <w:b/>
          <w:sz w:val="22"/>
          <w:szCs w:val="22"/>
        </w:rPr>
        <w:t xml:space="preserve">. Effect of model-size cutoff on high-degree TFs. </w:t>
      </w:r>
      <w:r w:rsidR="000C0876" w:rsidRPr="0091488E">
        <w:rPr>
          <w:rFonts w:ascii="Arial" w:hAnsi="Arial" w:cs="Arial"/>
          <w:sz w:val="22"/>
          <w:szCs w:val="22"/>
        </w:rPr>
        <w:t>A TF was included in the “high-degree” TF set, if it was within the top-three highest</w:t>
      </w:r>
      <w:r w:rsidR="00EE462B">
        <w:rPr>
          <w:rFonts w:ascii="Arial" w:hAnsi="Arial" w:cs="Arial"/>
          <w:sz w:val="22"/>
          <w:szCs w:val="22"/>
        </w:rPr>
        <w:t>-</w:t>
      </w:r>
      <w:r w:rsidR="000C0876" w:rsidRPr="0091488E">
        <w:rPr>
          <w:rFonts w:ascii="Arial" w:hAnsi="Arial" w:cs="Arial"/>
          <w:sz w:val="22"/>
          <w:szCs w:val="22"/>
        </w:rPr>
        <w:t xml:space="preserve">degree TFs in one or more of the TRNs. </w:t>
      </w:r>
      <w:r w:rsidR="00EE462B">
        <w:rPr>
          <w:rFonts w:ascii="Arial" w:hAnsi="Arial" w:cs="Arial"/>
          <w:sz w:val="22"/>
          <w:szCs w:val="22"/>
        </w:rPr>
        <w:t>Color scale</w:t>
      </w:r>
      <w:r w:rsidR="000C0876" w:rsidRPr="0091488E">
        <w:rPr>
          <w:rFonts w:ascii="Arial" w:hAnsi="Arial" w:cs="Arial"/>
          <w:sz w:val="22"/>
          <w:szCs w:val="22"/>
        </w:rPr>
        <w:t xml:space="preserve"> indicate</w:t>
      </w:r>
      <w:r w:rsidR="00EE462B">
        <w:rPr>
          <w:rFonts w:ascii="Arial" w:hAnsi="Arial" w:cs="Arial"/>
          <w:sz w:val="22"/>
          <w:szCs w:val="22"/>
        </w:rPr>
        <w:t>s</w:t>
      </w:r>
      <w:r w:rsidR="000C0876" w:rsidRPr="0091488E">
        <w:rPr>
          <w:rFonts w:ascii="Arial" w:hAnsi="Arial" w:cs="Arial"/>
          <w:sz w:val="22"/>
          <w:szCs w:val="22"/>
        </w:rPr>
        <w:t xml:space="preserve"> the percentage of </w:t>
      </w:r>
      <w:r w:rsidR="00EE462B">
        <w:rPr>
          <w:rFonts w:ascii="Arial" w:hAnsi="Arial" w:cs="Arial"/>
          <w:sz w:val="22"/>
          <w:szCs w:val="22"/>
        </w:rPr>
        <w:t xml:space="preserve">(the 3758) target </w:t>
      </w:r>
      <w:r w:rsidR="000C0876" w:rsidRPr="0091488E">
        <w:rPr>
          <w:rFonts w:ascii="Arial" w:hAnsi="Arial" w:cs="Arial"/>
          <w:sz w:val="22"/>
          <w:szCs w:val="22"/>
        </w:rPr>
        <w:t>genes regulated by</w:t>
      </w:r>
      <w:r w:rsidR="00EE462B">
        <w:rPr>
          <w:rFonts w:ascii="Arial" w:hAnsi="Arial" w:cs="Arial"/>
          <w:sz w:val="22"/>
          <w:szCs w:val="22"/>
        </w:rPr>
        <w:t xml:space="preserve"> the</w:t>
      </w:r>
      <w:r w:rsidR="000C0876" w:rsidRPr="0091488E">
        <w:rPr>
          <w:rFonts w:ascii="Arial" w:hAnsi="Arial" w:cs="Arial"/>
          <w:sz w:val="22"/>
          <w:szCs w:val="22"/>
        </w:rPr>
        <w:t xml:space="preserve"> TF. </w:t>
      </w:r>
    </w:p>
    <w:p w14:paraId="4EB663FD" w14:textId="77777777" w:rsidR="000C0876" w:rsidRPr="0091488E" w:rsidRDefault="000C0876" w:rsidP="000C0876">
      <w:pPr>
        <w:jc w:val="both"/>
        <w:rPr>
          <w:rFonts w:ascii="Arial" w:hAnsi="Arial" w:cs="Arial"/>
          <w:sz w:val="22"/>
          <w:szCs w:val="22"/>
        </w:rPr>
      </w:pPr>
    </w:p>
    <w:p w14:paraId="54FFBEA1" w14:textId="5FA051D0" w:rsidR="000C0876" w:rsidRDefault="00473230" w:rsidP="000C0876">
      <w:pPr>
        <w:jc w:val="both"/>
        <w:rPr>
          <w:rFonts w:ascii="Arial" w:hAnsi="Arial" w:cs="Arial"/>
          <w:sz w:val="22"/>
          <w:szCs w:val="22"/>
        </w:rPr>
      </w:pPr>
      <w:r>
        <w:rPr>
          <w:rFonts w:ascii="Arial" w:hAnsi="Arial" w:cs="Arial"/>
          <w:b/>
          <w:sz w:val="22"/>
          <w:szCs w:val="22"/>
        </w:rPr>
        <w:t xml:space="preserve">Supplemental Fig. </w:t>
      </w:r>
      <w:r w:rsidR="002B28DD">
        <w:rPr>
          <w:rFonts w:ascii="Arial" w:hAnsi="Arial" w:cs="Arial"/>
          <w:b/>
          <w:sz w:val="22"/>
          <w:szCs w:val="22"/>
        </w:rPr>
        <w:t>S14</w:t>
      </w:r>
      <w:r w:rsidR="000C0876" w:rsidRPr="0091488E">
        <w:rPr>
          <w:rFonts w:ascii="Arial" w:hAnsi="Arial" w:cs="Arial"/>
          <w:b/>
          <w:sz w:val="22"/>
          <w:szCs w:val="22"/>
        </w:rPr>
        <w:t>. Top 15 TF modules for ChIP+KO+ATAC TRN.</w:t>
      </w:r>
      <w:r w:rsidR="000C0876" w:rsidRPr="0091488E">
        <w:rPr>
          <w:rFonts w:ascii="Arial" w:hAnsi="Arial" w:cs="Arial"/>
          <w:sz w:val="22"/>
          <w:szCs w:val="22"/>
        </w:rPr>
        <w:t xml:space="preserve"> </w:t>
      </w:r>
      <w:r w:rsidR="00EE462B" w:rsidRPr="00EE462B">
        <w:rPr>
          <w:rFonts w:ascii="Arial" w:hAnsi="Arial" w:cs="Arial"/>
          <w:sz w:val="22"/>
          <w:szCs w:val="22"/>
        </w:rPr>
        <w:t xml:space="preserve">TFs were clustered into modules based on shared </w:t>
      </w:r>
      <w:r w:rsidR="00EE462B" w:rsidRPr="00EE462B">
        <w:rPr>
          <w:rFonts w:ascii="Arial" w:hAnsi="Arial" w:cs="Arial"/>
          <w:sz w:val="22"/>
          <w:szCs w:val="22"/>
          <w:u w:val="single"/>
        </w:rPr>
        <w:t>positive</w:t>
      </w:r>
      <w:r w:rsidR="00EE462B" w:rsidRPr="00EE462B">
        <w:rPr>
          <w:rFonts w:ascii="Arial" w:hAnsi="Arial" w:cs="Arial"/>
          <w:sz w:val="22"/>
          <w:szCs w:val="22"/>
        </w:rPr>
        <w:t xml:space="preserve"> target genes between TFs (see </w:t>
      </w:r>
      <w:r w:rsidR="00EE462B" w:rsidRPr="00EE462B">
        <w:rPr>
          <w:rFonts w:ascii="Arial" w:hAnsi="Arial" w:cs="Arial"/>
          <w:b/>
          <w:bCs/>
          <w:sz w:val="22"/>
          <w:szCs w:val="22"/>
        </w:rPr>
        <w:t>Methods</w:t>
      </w:r>
      <w:r w:rsidR="00EE462B" w:rsidRPr="00EE462B">
        <w:rPr>
          <w:rFonts w:ascii="Arial" w:hAnsi="Arial" w:cs="Arial"/>
          <w:sz w:val="22"/>
          <w:szCs w:val="22"/>
        </w:rPr>
        <w:t>). The left panel shows enrichment of positive TF target interactions with up-regulated Th17 genes (“Th17” for potential Th17-promoting TFs) or down-regulated Th17 genes (“Non-Th17”, for potential Th17-repressing TFs). The lower panel shows relative TF gene expression over the Th17 and other T Helper cell time points.</w:t>
      </w:r>
    </w:p>
    <w:p w14:paraId="33D8A833" w14:textId="77777777" w:rsidR="00263D3D" w:rsidRDefault="00263D3D" w:rsidP="000C0876">
      <w:pPr>
        <w:jc w:val="both"/>
        <w:rPr>
          <w:rFonts w:ascii="Arial" w:hAnsi="Arial" w:cs="Arial"/>
          <w:b/>
          <w:sz w:val="22"/>
          <w:szCs w:val="22"/>
        </w:rPr>
      </w:pPr>
    </w:p>
    <w:p w14:paraId="779F73E4" w14:textId="652B1A34" w:rsidR="00EE462B" w:rsidRDefault="00263D3D" w:rsidP="000C0876">
      <w:pPr>
        <w:jc w:val="both"/>
        <w:rPr>
          <w:rFonts w:ascii="Arial" w:hAnsi="Arial" w:cs="Arial"/>
          <w:sz w:val="22"/>
          <w:szCs w:val="22"/>
        </w:rPr>
      </w:pPr>
      <w:r>
        <w:rPr>
          <w:rFonts w:ascii="Arial" w:hAnsi="Arial" w:cs="Arial"/>
          <w:b/>
          <w:sz w:val="22"/>
          <w:szCs w:val="22"/>
        </w:rPr>
        <w:t xml:space="preserve">Supplemental Fig. </w:t>
      </w:r>
      <w:r w:rsidR="002B28DD">
        <w:rPr>
          <w:rFonts w:ascii="Arial" w:hAnsi="Arial" w:cs="Arial"/>
          <w:b/>
          <w:sz w:val="22"/>
          <w:szCs w:val="22"/>
        </w:rPr>
        <w:t>S15</w:t>
      </w:r>
      <w:r w:rsidRPr="0091488E">
        <w:rPr>
          <w:rFonts w:ascii="Arial" w:hAnsi="Arial" w:cs="Arial"/>
          <w:b/>
          <w:sz w:val="22"/>
          <w:szCs w:val="22"/>
        </w:rPr>
        <w:t>. Top 15 TF modules for ATAC-only TRN.</w:t>
      </w:r>
      <w:r w:rsidRPr="0091488E">
        <w:rPr>
          <w:rFonts w:ascii="Arial" w:hAnsi="Arial" w:cs="Arial"/>
          <w:sz w:val="22"/>
          <w:szCs w:val="22"/>
        </w:rPr>
        <w:t xml:space="preserve"> </w:t>
      </w:r>
      <w:r w:rsidRPr="00EE462B">
        <w:rPr>
          <w:rFonts w:ascii="Arial" w:hAnsi="Arial" w:cs="Arial"/>
          <w:sz w:val="22"/>
          <w:szCs w:val="22"/>
        </w:rPr>
        <w:t xml:space="preserve">TFs were clustered into modules based on shared </w:t>
      </w:r>
      <w:r w:rsidRPr="00EE462B">
        <w:rPr>
          <w:rFonts w:ascii="Arial" w:hAnsi="Arial" w:cs="Arial"/>
          <w:sz w:val="22"/>
          <w:szCs w:val="22"/>
          <w:u w:val="single"/>
        </w:rPr>
        <w:t>positive</w:t>
      </w:r>
      <w:r w:rsidRPr="00EE462B">
        <w:rPr>
          <w:rFonts w:ascii="Arial" w:hAnsi="Arial" w:cs="Arial"/>
          <w:sz w:val="22"/>
          <w:szCs w:val="22"/>
        </w:rPr>
        <w:t xml:space="preserve"> target genes between TFs (see </w:t>
      </w:r>
      <w:r w:rsidRPr="00EE462B">
        <w:rPr>
          <w:rFonts w:ascii="Arial" w:hAnsi="Arial" w:cs="Arial"/>
          <w:b/>
          <w:bCs/>
          <w:sz w:val="22"/>
          <w:szCs w:val="22"/>
        </w:rPr>
        <w:t>Methods</w:t>
      </w:r>
      <w:r w:rsidRPr="00EE462B">
        <w:rPr>
          <w:rFonts w:ascii="Arial" w:hAnsi="Arial" w:cs="Arial"/>
          <w:sz w:val="22"/>
          <w:szCs w:val="22"/>
        </w:rPr>
        <w:t>). The left panel shows enrichment of positive TF target interactions with up-regulated Th17 genes (“Th17” for potential Th17-promoting TFs) or down-regulated Th17 genes (“Non-Th17”, for potential Th17-repressing TFs). The lower panel shows relative TF gene expression over the Th17 and other T Helper cell time points.</w:t>
      </w:r>
    </w:p>
    <w:p w14:paraId="5CA357A6" w14:textId="77777777" w:rsidR="00263D3D" w:rsidRPr="0091488E" w:rsidRDefault="00263D3D" w:rsidP="000C0876">
      <w:pPr>
        <w:jc w:val="both"/>
        <w:rPr>
          <w:rFonts w:ascii="Arial" w:hAnsi="Arial" w:cs="Arial"/>
          <w:sz w:val="22"/>
          <w:szCs w:val="22"/>
        </w:rPr>
      </w:pPr>
    </w:p>
    <w:p w14:paraId="7241178D" w14:textId="72913FDB"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2B28DD">
        <w:rPr>
          <w:rFonts w:ascii="Arial" w:hAnsi="Arial" w:cs="Arial"/>
          <w:b/>
          <w:sz w:val="22"/>
          <w:szCs w:val="22"/>
        </w:rPr>
        <w:t>16</w:t>
      </w:r>
      <w:r w:rsidR="000C0876" w:rsidRPr="0091488E">
        <w:rPr>
          <w:rFonts w:ascii="Arial" w:hAnsi="Arial" w:cs="Arial"/>
          <w:b/>
          <w:sz w:val="22"/>
          <w:szCs w:val="22"/>
        </w:rPr>
        <w:t>. Gene-set enrichment of ChIP+KO+ATAC TRN TF modules.</w:t>
      </w:r>
      <w:r w:rsidR="000C0876" w:rsidRPr="0091488E">
        <w:rPr>
          <w:rFonts w:ascii="Arial" w:hAnsi="Arial" w:cs="Arial"/>
          <w:sz w:val="22"/>
          <w:szCs w:val="22"/>
        </w:rPr>
        <w:t xml:space="preserve"> We compiled gene sets from five databases: GO, Pathway Commons, KEGG, MAPP and Signatures from MSigDB. For each TF, we calculated the significance of overlap between the TF’s target genes and gene sets (hypergeometric CDF). For Kegg and Mapp databases, the color bar maximum is 7, and, for the other database</w:t>
      </w:r>
      <w:r w:rsidR="00EE462B">
        <w:rPr>
          <w:rFonts w:ascii="Arial" w:hAnsi="Arial" w:cs="Arial"/>
          <w:sz w:val="22"/>
          <w:szCs w:val="22"/>
        </w:rPr>
        <w:t>s</w:t>
      </w:r>
      <w:r w:rsidR="000C0876" w:rsidRPr="0091488E">
        <w:rPr>
          <w:rFonts w:ascii="Arial" w:hAnsi="Arial" w:cs="Arial"/>
          <w:sz w:val="22"/>
          <w:szCs w:val="22"/>
        </w:rPr>
        <w:t xml:space="preserve">, the maximum is 11. TFs are clustered and color-coded according to the TF-TF modules in </w:t>
      </w:r>
      <w:r w:rsidR="00EE462B" w:rsidRPr="00EE462B">
        <w:rPr>
          <w:rFonts w:ascii="Arial" w:hAnsi="Arial" w:cs="Arial"/>
          <w:b/>
          <w:bCs/>
          <w:sz w:val="22"/>
          <w:szCs w:val="22"/>
        </w:rPr>
        <w:t xml:space="preserve">Fig. </w:t>
      </w:r>
      <w:r w:rsidR="002B28DD">
        <w:rPr>
          <w:rFonts w:ascii="Arial" w:hAnsi="Arial" w:cs="Arial"/>
          <w:b/>
          <w:bCs/>
          <w:sz w:val="22"/>
          <w:szCs w:val="22"/>
        </w:rPr>
        <w:t>5C, S14</w:t>
      </w:r>
      <w:r w:rsidR="00EE462B" w:rsidRPr="00EE462B">
        <w:rPr>
          <w:rFonts w:ascii="Arial" w:hAnsi="Arial" w:cs="Arial"/>
          <w:b/>
          <w:bCs/>
          <w:sz w:val="22"/>
          <w:szCs w:val="22"/>
        </w:rPr>
        <w:t>, S1</w:t>
      </w:r>
      <w:r w:rsidR="002B28DD">
        <w:rPr>
          <w:rFonts w:ascii="Arial" w:hAnsi="Arial" w:cs="Arial"/>
          <w:b/>
          <w:bCs/>
          <w:sz w:val="22"/>
          <w:szCs w:val="22"/>
        </w:rPr>
        <w:t>5</w:t>
      </w:r>
      <w:r w:rsidR="00EE462B" w:rsidRPr="00EE462B">
        <w:rPr>
          <w:rFonts w:ascii="Arial" w:hAnsi="Arial" w:cs="Arial"/>
          <w:b/>
          <w:bCs/>
          <w:sz w:val="22"/>
          <w:szCs w:val="22"/>
        </w:rPr>
        <w:t>, S1</w:t>
      </w:r>
      <w:r w:rsidR="002B28DD">
        <w:rPr>
          <w:rFonts w:ascii="Arial" w:hAnsi="Arial" w:cs="Arial"/>
          <w:b/>
          <w:bCs/>
          <w:sz w:val="22"/>
          <w:szCs w:val="22"/>
        </w:rPr>
        <w:t>7</w:t>
      </w:r>
      <w:r w:rsidR="000C0876" w:rsidRPr="0091488E">
        <w:rPr>
          <w:rFonts w:ascii="Arial" w:hAnsi="Arial" w:cs="Arial"/>
          <w:sz w:val="22"/>
          <w:szCs w:val="22"/>
        </w:rPr>
        <w:t>. TF-TF module enrichments are consistent among gene sets and TRNs, providing robust predictions for modules in Th17 biology.</w:t>
      </w:r>
    </w:p>
    <w:p w14:paraId="7927F40B" w14:textId="77777777" w:rsidR="00EE462B" w:rsidRPr="0091488E" w:rsidRDefault="00EE462B" w:rsidP="000C0876">
      <w:pPr>
        <w:jc w:val="both"/>
        <w:rPr>
          <w:rFonts w:ascii="Arial" w:hAnsi="Arial" w:cs="Arial"/>
          <w:sz w:val="22"/>
          <w:szCs w:val="22"/>
        </w:rPr>
      </w:pPr>
    </w:p>
    <w:p w14:paraId="29CC2BD1" w14:textId="75E44B4B"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1</w:t>
      </w:r>
      <w:r w:rsidR="002B28DD">
        <w:rPr>
          <w:rFonts w:ascii="Arial" w:hAnsi="Arial" w:cs="Arial"/>
          <w:b/>
          <w:sz w:val="22"/>
          <w:szCs w:val="22"/>
        </w:rPr>
        <w:t>7</w:t>
      </w:r>
      <w:r w:rsidR="000C0876" w:rsidRPr="0091488E">
        <w:rPr>
          <w:rFonts w:ascii="Arial" w:hAnsi="Arial" w:cs="Arial"/>
          <w:b/>
          <w:sz w:val="22"/>
          <w:szCs w:val="22"/>
        </w:rPr>
        <w:t>. Gene-set enrichment of ATAC-only TRN TF modules.</w:t>
      </w:r>
      <w:r w:rsidR="000C0876" w:rsidRPr="0091488E">
        <w:rPr>
          <w:rFonts w:ascii="Arial" w:hAnsi="Arial" w:cs="Arial"/>
          <w:sz w:val="22"/>
          <w:szCs w:val="22"/>
        </w:rPr>
        <w:t xml:space="preserve"> We compiled gene sets from five databases: GO, Pathway Commons, KEGG, MAPP and Signatures from MSigDB. For each TF, we calculated the significance of overlap between the TF’s target genes and gene sets (hypergeometric CDF). For Kegg and Mapp databases, the color bar maximum is 7, and, for the other database</w:t>
      </w:r>
      <w:r w:rsidR="00EE462B">
        <w:rPr>
          <w:rFonts w:ascii="Arial" w:hAnsi="Arial" w:cs="Arial"/>
          <w:sz w:val="22"/>
          <w:szCs w:val="22"/>
        </w:rPr>
        <w:t>s</w:t>
      </w:r>
      <w:r w:rsidR="000C0876" w:rsidRPr="0091488E">
        <w:rPr>
          <w:rFonts w:ascii="Arial" w:hAnsi="Arial" w:cs="Arial"/>
          <w:sz w:val="22"/>
          <w:szCs w:val="22"/>
        </w:rPr>
        <w:t xml:space="preserve">, the maximum is 11. TFs are clustered and color-coded according to the TF-TF modules in </w:t>
      </w:r>
      <w:r w:rsidR="00EE462B">
        <w:rPr>
          <w:rFonts w:ascii="Arial" w:hAnsi="Arial" w:cs="Arial"/>
          <w:b/>
          <w:sz w:val="22"/>
          <w:szCs w:val="22"/>
        </w:rPr>
        <w:t>Fig.</w:t>
      </w:r>
      <w:r w:rsidR="002B28DD">
        <w:rPr>
          <w:rFonts w:ascii="Arial" w:hAnsi="Arial" w:cs="Arial"/>
          <w:b/>
          <w:sz w:val="22"/>
          <w:szCs w:val="22"/>
        </w:rPr>
        <w:t xml:space="preserve"> 5C,</w:t>
      </w:r>
      <w:r w:rsidR="00EE462B">
        <w:rPr>
          <w:rFonts w:ascii="Arial" w:hAnsi="Arial" w:cs="Arial"/>
          <w:b/>
          <w:sz w:val="22"/>
          <w:szCs w:val="22"/>
        </w:rPr>
        <w:t xml:space="preserve"> </w:t>
      </w:r>
      <w:r w:rsidR="002B28DD">
        <w:rPr>
          <w:rFonts w:ascii="Arial" w:hAnsi="Arial" w:cs="Arial"/>
          <w:b/>
          <w:sz w:val="22"/>
          <w:szCs w:val="22"/>
        </w:rPr>
        <w:t>S14</w:t>
      </w:r>
      <w:r w:rsidR="00EE462B">
        <w:rPr>
          <w:rFonts w:ascii="Arial" w:hAnsi="Arial" w:cs="Arial"/>
          <w:b/>
          <w:sz w:val="22"/>
          <w:szCs w:val="22"/>
        </w:rPr>
        <w:t>-S</w:t>
      </w:r>
      <w:r w:rsidR="002B28DD">
        <w:rPr>
          <w:rFonts w:ascii="Arial" w:hAnsi="Arial" w:cs="Arial"/>
          <w:b/>
          <w:sz w:val="22"/>
          <w:szCs w:val="22"/>
        </w:rPr>
        <w:t>16</w:t>
      </w:r>
      <w:r w:rsidR="000C0876" w:rsidRPr="0091488E">
        <w:rPr>
          <w:rFonts w:ascii="Arial" w:hAnsi="Arial" w:cs="Arial"/>
          <w:sz w:val="22"/>
          <w:szCs w:val="22"/>
        </w:rPr>
        <w:t>. TF-TF module enrichments are consistent among gene sets and TRNs, providing robust predictions for modules in Th17 biology.</w:t>
      </w:r>
    </w:p>
    <w:p w14:paraId="18B9B783" w14:textId="77777777" w:rsidR="000C0876" w:rsidRPr="0091488E" w:rsidRDefault="000C0876" w:rsidP="000C0876">
      <w:pPr>
        <w:jc w:val="both"/>
        <w:rPr>
          <w:rFonts w:ascii="Arial" w:hAnsi="Arial" w:cs="Arial"/>
          <w:sz w:val="22"/>
          <w:szCs w:val="22"/>
        </w:rPr>
      </w:pPr>
    </w:p>
    <w:p w14:paraId="27C1D41D" w14:textId="7967CBD9" w:rsidR="000C0876" w:rsidRPr="0091488E" w:rsidRDefault="00473230" w:rsidP="000C0876">
      <w:pPr>
        <w:jc w:val="both"/>
        <w:rPr>
          <w:rFonts w:ascii="Arial" w:hAnsi="Arial" w:cs="Arial"/>
          <w:sz w:val="22"/>
          <w:szCs w:val="22"/>
        </w:rPr>
      </w:pPr>
      <w:r>
        <w:rPr>
          <w:rFonts w:ascii="Arial" w:hAnsi="Arial" w:cs="Arial"/>
          <w:b/>
          <w:sz w:val="22"/>
          <w:szCs w:val="22"/>
        </w:rPr>
        <w:lastRenderedPageBreak/>
        <w:t xml:space="preserve">Supplemental Fig. </w:t>
      </w:r>
      <w:r w:rsidR="002B28DD">
        <w:rPr>
          <w:rFonts w:ascii="Arial" w:hAnsi="Arial" w:cs="Arial"/>
          <w:b/>
          <w:sz w:val="22"/>
          <w:szCs w:val="22"/>
        </w:rPr>
        <w:t>S18</w:t>
      </w:r>
      <w:r w:rsidR="000C0876" w:rsidRPr="0091488E">
        <w:rPr>
          <w:rFonts w:ascii="Arial" w:hAnsi="Arial" w:cs="Arial"/>
          <w:b/>
          <w:sz w:val="22"/>
          <w:szCs w:val="22"/>
        </w:rPr>
        <w:t>. (A) Centrality analysis of the full Th17 TRN.</w:t>
      </w:r>
      <w:r w:rsidR="000C0876" w:rsidRPr="0091488E">
        <w:rPr>
          <w:rFonts w:ascii="Arial" w:hAnsi="Arial" w:cs="Arial"/>
          <w:sz w:val="22"/>
          <w:szCs w:val="22"/>
        </w:rPr>
        <w:t xml:space="preserve"> TFs are plotted as a function of out degree (fraction of target genes regulated by the TF) and betweenness (fraction of shortest paths (from TFs to genes) containing the TF). </w:t>
      </w:r>
      <w:r w:rsidR="000C0876" w:rsidRPr="0091488E">
        <w:rPr>
          <w:rFonts w:ascii="Arial" w:hAnsi="Arial" w:cs="Arial"/>
          <w:b/>
          <w:sz w:val="22"/>
          <w:szCs w:val="22"/>
        </w:rPr>
        <w:t>(B) NFKB2 targets are enriched in chronic inflammatory disease genes</w:t>
      </w:r>
      <w:r w:rsidR="000C0876" w:rsidRPr="0091488E">
        <w:rPr>
          <w:rFonts w:ascii="Arial" w:hAnsi="Arial" w:cs="Arial"/>
          <w:sz w:val="22"/>
          <w:szCs w:val="22"/>
        </w:rPr>
        <w:t xml:space="preserve">. In the left panel, each arrow corresponds to a single TF. Arrow source is TF’s centrality (out degree, betweenness) in the full Th17 TRN </w:t>
      </w:r>
      <w:r w:rsidR="000C0876" w:rsidRPr="0091488E">
        <w:rPr>
          <w:rFonts w:ascii="Arial" w:hAnsi="Arial" w:cs="Arial"/>
          <w:b/>
          <w:sz w:val="22"/>
          <w:szCs w:val="22"/>
        </w:rPr>
        <w:t>(A)</w:t>
      </w:r>
      <w:r w:rsidR="000C0876" w:rsidRPr="0091488E">
        <w:rPr>
          <w:rFonts w:ascii="Arial" w:hAnsi="Arial" w:cs="Arial"/>
          <w:sz w:val="22"/>
          <w:szCs w:val="22"/>
        </w:rPr>
        <w:t xml:space="preserve"> and arrow points to the TF’s centrality in the chronic inflammatory disease subnetwork (where target genes are limited to the 38 shared the Th17 TRN and GWAS set). NFKB2 (pink arrow) has significant increase in degree centrality (FDR=10%); other TFs (RORC, STAT3, FOXB1) also increase, but not significantly. The right panel features the subnetwork connecting NFKB2 to its target genes in the chronic inflammatory diseases. Node color indicates log</w:t>
      </w:r>
      <w:r w:rsidR="000C0876" w:rsidRPr="0091488E">
        <w:rPr>
          <w:rFonts w:ascii="Arial" w:hAnsi="Arial" w:cs="Arial"/>
          <w:sz w:val="22"/>
          <w:szCs w:val="22"/>
          <w:vertAlign w:val="subscript"/>
        </w:rPr>
        <w:t>2</w:t>
      </w:r>
      <w:r w:rsidR="000C0876" w:rsidRPr="0091488E">
        <w:rPr>
          <w:rFonts w:ascii="Arial" w:hAnsi="Arial" w:cs="Arial"/>
          <w:sz w:val="22"/>
          <w:szCs w:val="22"/>
        </w:rPr>
        <w:t xml:space="preserve">(fold-change) in Th17 48h condition relative to other Th timepoints (red = increased, blue = decreased), while red / blue indicate positive / negative regulation. Solid edges have support in the ChIP+KO+ATAC prior, while dotted edges do not. “Chronic inflammatory diseases” is an abbreviation of the trait “Chronic inflammatory diseases (ankylosing spondylitis, Crohn's disease, psoriasis, primary sclerosing cholangitis, ulcerative colitis) (pleiotropy)”. </w:t>
      </w:r>
      <w:r w:rsidR="000C0876" w:rsidRPr="0091488E">
        <w:rPr>
          <w:rFonts w:ascii="Arial" w:hAnsi="Arial" w:cs="Arial"/>
          <w:b/>
          <w:sz w:val="22"/>
          <w:szCs w:val="22"/>
        </w:rPr>
        <w:t>(C) ETS1 targets are enriched in the phenotype “neutrophil % of granulocytes” genes.</w:t>
      </w:r>
      <w:r w:rsidR="000C0876" w:rsidRPr="0091488E">
        <w:rPr>
          <w:rFonts w:ascii="Arial" w:hAnsi="Arial" w:cs="Arial"/>
          <w:sz w:val="22"/>
          <w:szCs w:val="22"/>
        </w:rPr>
        <w:t xml:space="preserve"> Analysis is displayed as in </w:t>
      </w:r>
      <w:r w:rsidR="000C0876" w:rsidRPr="0091488E">
        <w:rPr>
          <w:rFonts w:ascii="Arial" w:hAnsi="Arial" w:cs="Arial"/>
          <w:b/>
          <w:sz w:val="22"/>
          <w:szCs w:val="22"/>
        </w:rPr>
        <w:t>(B)</w:t>
      </w:r>
      <w:r w:rsidR="000C0876" w:rsidRPr="0091488E">
        <w:rPr>
          <w:rFonts w:ascii="Arial" w:hAnsi="Arial" w:cs="Arial"/>
          <w:sz w:val="22"/>
          <w:szCs w:val="22"/>
        </w:rPr>
        <w:t xml:space="preserve">, with the following exception: gene expression in the ETS1 subnetwork corresponds to the Th17 1h timepoint, as </w:t>
      </w:r>
      <w:r w:rsidR="000C0876" w:rsidRPr="0091488E">
        <w:rPr>
          <w:rFonts w:ascii="Arial" w:hAnsi="Arial" w:cs="Arial"/>
          <w:i/>
          <w:sz w:val="22"/>
          <w:szCs w:val="22"/>
        </w:rPr>
        <w:t>Ets1</w:t>
      </w:r>
      <w:r w:rsidR="000C0876" w:rsidRPr="0091488E">
        <w:rPr>
          <w:rFonts w:ascii="Arial" w:hAnsi="Arial" w:cs="Arial"/>
          <w:sz w:val="22"/>
          <w:szCs w:val="22"/>
        </w:rPr>
        <w:t xml:space="preserve"> expression is highest at early timepoints (Th0</w:t>
      </w:r>
      <w:r w:rsidR="00EE462B">
        <w:rPr>
          <w:rFonts w:ascii="Arial" w:hAnsi="Arial" w:cs="Arial"/>
          <w:sz w:val="22"/>
          <w:szCs w:val="22"/>
        </w:rPr>
        <w:t xml:space="preserve"> </w:t>
      </w:r>
      <w:r w:rsidR="000C0876" w:rsidRPr="0091488E">
        <w:rPr>
          <w:rFonts w:ascii="Arial" w:hAnsi="Arial" w:cs="Arial"/>
          <w:sz w:val="22"/>
          <w:szCs w:val="22"/>
        </w:rPr>
        <w:t>1h, Th17 1h and no media control timepoints).</w:t>
      </w:r>
    </w:p>
    <w:p w14:paraId="72446683" w14:textId="77777777" w:rsidR="009A0B6E" w:rsidRDefault="009A0B6E" w:rsidP="009A0B6E">
      <w:pPr>
        <w:jc w:val="both"/>
        <w:rPr>
          <w:rFonts w:ascii="Arial" w:hAnsi="Arial" w:cs="Arial"/>
          <w:b/>
          <w:sz w:val="22"/>
          <w:szCs w:val="22"/>
        </w:rPr>
      </w:pPr>
    </w:p>
    <w:p w14:paraId="4BC76697" w14:textId="0C264A76" w:rsidR="009A0B6E" w:rsidRPr="0091488E" w:rsidRDefault="009A0B6E" w:rsidP="009A0B6E">
      <w:pPr>
        <w:jc w:val="both"/>
        <w:rPr>
          <w:rFonts w:ascii="Arial" w:hAnsi="Arial" w:cs="Arial"/>
          <w:sz w:val="22"/>
          <w:szCs w:val="22"/>
        </w:rPr>
      </w:pPr>
      <w:r>
        <w:rPr>
          <w:rFonts w:ascii="Arial" w:hAnsi="Arial" w:cs="Arial"/>
          <w:b/>
          <w:sz w:val="22"/>
          <w:szCs w:val="22"/>
        </w:rPr>
        <w:t xml:space="preserve">Supplemental Fig. </w:t>
      </w:r>
      <w:r w:rsidR="006F6E41">
        <w:rPr>
          <w:rFonts w:ascii="Arial" w:hAnsi="Arial" w:cs="Arial"/>
          <w:b/>
          <w:sz w:val="22"/>
          <w:szCs w:val="22"/>
        </w:rPr>
        <w:t>S19</w:t>
      </w:r>
      <w:r w:rsidRPr="0091488E">
        <w:rPr>
          <w:rFonts w:ascii="Arial" w:hAnsi="Arial" w:cs="Arial"/>
          <w:b/>
          <w:sz w:val="22"/>
          <w:szCs w:val="22"/>
        </w:rPr>
        <w:t xml:space="preserve">. </w:t>
      </w:r>
      <w:r w:rsidRPr="0091488E">
        <w:rPr>
          <w:rFonts w:ascii="Arial" w:hAnsi="Arial" w:cs="Arial"/>
          <w:sz w:val="22"/>
          <w:szCs w:val="22"/>
        </w:rPr>
        <w:t xml:space="preserve">Representative outputs from ATACseqQC, displaying nucleosome-length periodicity in fragment lengths and signal distribution at the TSS for </w:t>
      </w:r>
      <w:r w:rsidRPr="0091488E">
        <w:rPr>
          <w:rFonts w:ascii="Arial" w:hAnsi="Arial" w:cs="Arial"/>
          <w:b/>
          <w:sz w:val="22"/>
          <w:szCs w:val="22"/>
        </w:rPr>
        <w:t>(A)</w:t>
      </w:r>
      <w:r w:rsidRPr="0091488E">
        <w:rPr>
          <w:rFonts w:ascii="Arial" w:hAnsi="Arial" w:cs="Arial"/>
          <w:sz w:val="22"/>
          <w:szCs w:val="22"/>
        </w:rPr>
        <w:t xml:space="preserve"> naive CD4 T cells (2h), </w:t>
      </w:r>
      <w:r w:rsidRPr="0091488E">
        <w:rPr>
          <w:rFonts w:ascii="Arial" w:hAnsi="Arial" w:cs="Arial"/>
          <w:b/>
          <w:sz w:val="22"/>
          <w:szCs w:val="22"/>
        </w:rPr>
        <w:t>(B)</w:t>
      </w:r>
      <w:r w:rsidRPr="0091488E">
        <w:rPr>
          <w:rFonts w:ascii="Arial" w:hAnsi="Arial" w:cs="Arial"/>
          <w:sz w:val="22"/>
          <w:szCs w:val="22"/>
        </w:rPr>
        <w:t xml:space="preserve"> Th17 (2h), </w:t>
      </w:r>
      <w:r w:rsidRPr="0091488E">
        <w:rPr>
          <w:rFonts w:ascii="Arial" w:hAnsi="Arial" w:cs="Arial"/>
          <w:b/>
          <w:sz w:val="22"/>
          <w:szCs w:val="22"/>
        </w:rPr>
        <w:t>(C)</w:t>
      </w:r>
      <w:r w:rsidRPr="0091488E">
        <w:rPr>
          <w:rFonts w:ascii="Arial" w:hAnsi="Arial" w:cs="Arial"/>
          <w:sz w:val="22"/>
          <w:szCs w:val="22"/>
        </w:rPr>
        <w:t xml:space="preserve"> Th17 (16h), and </w:t>
      </w:r>
      <w:r w:rsidRPr="0091488E">
        <w:rPr>
          <w:rFonts w:ascii="Arial" w:hAnsi="Arial" w:cs="Arial"/>
          <w:b/>
          <w:sz w:val="22"/>
          <w:szCs w:val="22"/>
        </w:rPr>
        <w:t>(D)</w:t>
      </w:r>
      <w:r w:rsidRPr="0091488E">
        <w:rPr>
          <w:rFonts w:ascii="Arial" w:hAnsi="Arial" w:cs="Arial"/>
          <w:sz w:val="22"/>
          <w:szCs w:val="22"/>
        </w:rPr>
        <w:t xml:space="preserve"> Th17 (48h).</w:t>
      </w:r>
    </w:p>
    <w:p w14:paraId="51F326DD" w14:textId="2174FB7B" w:rsidR="000C0876" w:rsidRDefault="000C0876" w:rsidP="000C0876">
      <w:pPr>
        <w:jc w:val="both"/>
        <w:rPr>
          <w:rFonts w:ascii="Arial" w:hAnsi="Arial" w:cs="Arial"/>
          <w:sz w:val="22"/>
          <w:szCs w:val="22"/>
        </w:rPr>
      </w:pPr>
    </w:p>
    <w:p w14:paraId="6B770666" w14:textId="3D0FD704" w:rsidR="00956F7E" w:rsidRPr="00956F7E" w:rsidRDefault="00473230" w:rsidP="00956F7E">
      <w:pPr>
        <w:jc w:val="both"/>
        <w:rPr>
          <w:rFonts w:ascii="Arial" w:hAnsi="Arial" w:cs="Arial"/>
          <w:sz w:val="22"/>
          <w:szCs w:val="22"/>
        </w:rPr>
      </w:pPr>
      <w:r>
        <w:rPr>
          <w:rFonts w:ascii="Arial" w:hAnsi="Arial" w:cs="Arial"/>
          <w:b/>
          <w:bCs/>
          <w:sz w:val="22"/>
          <w:szCs w:val="22"/>
        </w:rPr>
        <w:t xml:space="preserve">Supplemental Fig. </w:t>
      </w:r>
      <w:r w:rsidR="006F6E41">
        <w:rPr>
          <w:rFonts w:ascii="Arial" w:hAnsi="Arial" w:cs="Arial"/>
          <w:b/>
          <w:bCs/>
          <w:sz w:val="22"/>
          <w:szCs w:val="22"/>
        </w:rPr>
        <w:t>S20</w:t>
      </w:r>
      <w:r w:rsidR="00956F7E" w:rsidRPr="00956F7E">
        <w:rPr>
          <w:rFonts w:ascii="Arial" w:hAnsi="Arial" w:cs="Arial"/>
          <w:b/>
          <w:bCs/>
          <w:sz w:val="22"/>
          <w:szCs w:val="22"/>
        </w:rPr>
        <w:t xml:space="preserve">. Comparison of </w:t>
      </w:r>
      <w:r w:rsidR="00854B4C">
        <w:rPr>
          <w:rFonts w:ascii="Arial" w:hAnsi="Arial" w:cs="Arial"/>
          <w:b/>
          <w:bCs/>
          <w:sz w:val="22"/>
          <w:szCs w:val="22"/>
        </w:rPr>
        <w:t>CisBP</w:t>
      </w:r>
      <w:r w:rsidR="00956F7E" w:rsidRPr="00956F7E">
        <w:rPr>
          <w:rFonts w:ascii="Arial" w:hAnsi="Arial" w:cs="Arial"/>
          <w:b/>
          <w:bCs/>
          <w:sz w:val="22"/>
          <w:szCs w:val="22"/>
        </w:rPr>
        <w:t xml:space="preserve"> with and without ENCODE-derived motifs.</w:t>
      </w:r>
      <w:r w:rsidR="00956F7E" w:rsidRPr="00956F7E">
        <w:rPr>
          <w:rFonts w:ascii="Arial" w:hAnsi="Arial" w:cs="Arial"/>
          <w:b/>
          <w:sz w:val="22"/>
          <w:szCs w:val="22"/>
        </w:rPr>
        <w:t xml:space="preserve"> </w:t>
      </w:r>
      <w:r w:rsidR="00956F7E" w:rsidRPr="00956F7E">
        <w:rPr>
          <w:rFonts w:ascii="Arial" w:hAnsi="Arial" w:cs="Arial"/>
          <w:sz w:val="22"/>
          <w:szCs w:val="22"/>
        </w:rPr>
        <w:t xml:space="preserve">Priors were derived from the Th17 48h (Th17) or all T Helper (All Th) ATAC-seq samples using </w:t>
      </w:r>
      <w:r w:rsidR="00854B4C">
        <w:rPr>
          <w:rFonts w:ascii="Arial" w:hAnsi="Arial" w:cs="Arial"/>
          <w:sz w:val="22"/>
          <w:szCs w:val="22"/>
        </w:rPr>
        <w:t>CisBP</w:t>
      </w:r>
      <w:r w:rsidR="00956F7E" w:rsidRPr="00956F7E">
        <w:rPr>
          <w:rFonts w:ascii="Arial" w:hAnsi="Arial" w:cs="Arial"/>
          <w:sz w:val="22"/>
          <w:szCs w:val="22"/>
        </w:rPr>
        <w:t xml:space="preserve"> + human ENCODE motifs or </w:t>
      </w:r>
      <w:r w:rsidR="00854B4C">
        <w:rPr>
          <w:rFonts w:ascii="Arial" w:hAnsi="Arial" w:cs="Arial"/>
          <w:sz w:val="22"/>
          <w:szCs w:val="22"/>
        </w:rPr>
        <w:t>CisBP</w:t>
      </w:r>
      <w:r w:rsidR="00956F7E" w:rsidRPr="00956F7E">
        <w:rPr>
          <w:rFonts w:ascii="Arial" w:hAnsi="Arial" w:cs="Arial"/>
          <w:sz w:val="22"/>
          <w:szCs w:val="22"/>
        </w:rPr>
        <w:t>. Two raw p-value cutoffs were tested. mLASSO-StARS was run with TF mRNA or prior-based TFA at bias = .5.</w:t>
      </w:r>
    </w:p>
    <w:p w14:paraId="1FE0610C" w14:textId="11750605" w:rsidR="00ED3AF5" w:rsidRDefault="00ED3AF5" w:rsidP="000C0876">
      <w:pPr>
        <w:jc w:val="both"/>
        <w:rPr>
          <w:rFonts w:ascii="Arial" w:hAnsi="Arial" w:cs="Arial"/>
          <w:sz w:val="22"/>
          <w:szCs w:val="22"/>
        </w:rPr>
      </w:pPr>
    </w:p>
    <w:p w14:paraId="058167B6" w14:textId="6BA76018" w:rsidR="00ED3AF5" w:rsidRPr="0091488E" w:rsidRDefault="00473230" w:rsidP="00ED3AF5">
      <w:pPr>
        <w:jc w:val="both"/>
        <w:rPr>
          <w:rFonts w:ascii="Arial" w:hAnsi="Arial" w:cs="Arial"/>
          <w:sz w:val="22"/>
          <w:szCs w:val="22"/>
        </w:rPr>
      </w:pPr>
      <w:r>
        <w:rPr>
          <w:rFonts w:ascii="Arial" w:hAnsi="Arial" w:cs="Arial"/>
          <w:b/>
          <w:sz w:val="22"/>
          <w:szCs w:val="22"/>
        </w:rPr>
        <w:t xml:space="preserve">Supplemental Fig. </w:t>
      </w:r>
      <w:r w:rsidR="0099775E">
        <w:rPr>
          <w:rFonts w:ascii="Arial" w:hAnsi="Arial" w:cs="Arial"/>
          <w:b/>
          <w:sz w:val="22"/>
          <w:szCs w:val="22"/>
        </w:rPr>
        <w:t>S21</w:t>
      </w:r>
      <w:r w:rsidR="00ED3AF5" w:rsidRPr="0091488E">
        <w:rPr>
          <w:rFonts w:ascii="Arial" w:hAnsi="Arial" w:cs="Arial"/>
          <w:sz w:val="22"/>
          <w:szCs w:val="22"/>
        </w:rPr>
        <w:t xml:space="preserve">. </w:t>
      </w:r>
      <w:r w:rsidR="00ED3AF5" w:rsidRPr="0091488E">
        <w:rPr>
          <w:rFonts w:ascii="Arial" w:hAnsi="Arial" w:cs="Arial"/>
          <w:b/>
          <w:sz w:val="22"/>
          <w:szCs w:val="22"/>
        </w:rPr>
        <w:t>Comparison of</w:t>
      </w:r>
      <w:r w:rsidR="00ED3AF5">
        <w:rPr>
          <w:rFonts w:ascii="Arial" w:hAnsi="Arial" w:cs="Arial"/>
          <w:b/>
          <w:sz w:val="22"/>
          <w:szCs w:val="22"/>
        </w:rPr>
        <w:t xml:space="preserve"> peak-gene association rules</w:t>
      </w:r>
      <w:r w:rsidR="00ED3AF5" w:rsidRPr="0091488E">
        <w:rPr>
          <w:rFonts w:ascii="Arial" w:hAnsi="Arial" w:cs="Arial"/>
          <w:b/>
          <w:sz w:val="22"/>
          <w:szCs w:val="22"/>
        </w:rPr>
        <w:t>.</w:t>
      </w:r>
      <w:r w:rsidR="00ED3AF5" w:rsidRPr="0091488E">
        <w:rPr>
          <w:rFonts w:ascii="Arial" w:hAnsi="Arial" w:cs="Arial"/>
          <w:sz w:val="22"/>
          <w:szCs w:val="22"/>
        </w:rPr>
        <w:t xml:space="preserve"> </w:t>
      </w:r>
      <w:r w:rsidR="00D100E8">
        <w:rPr>
          <w:rFonts w:ascii="Arial" w:hAnsi="Arial" w:cs="Arial"/>
          <w:sz w:val="22"/>
          <w:szCs w:val="22"/>
        </w:rPr>
        <w:t>P</w:t>
      </w:r>
      <w:r w:rsidR="008279FC">
        <w:rPr>
          <w:rFonts w:ascii="Arial" w:hAnsi="Arial" w:cs="Arial"/>
          <w:sz w:val="22"/>
          <w:szCs w:val="22"/>
        </w:rPr>
        <w:t>riors were constructed</w:t>
      </w:r>
      <w:r w:rsidR="00D100E8">
        <w:rPr>
          <w:rFonts w:ascii="Arial" w:hAnsi="Arial" w:cs="Arial"/>
          <w:sz w:val="22"/>
          <w:szCs w:val="22"/>
        </w:rPr>
        <w:t xml:space="preserve"> from the Th17 48h ATAC-seq data</w:t>
      </w:r>
      <w:r w:rsidR="008279FC">
        <w:rPr>
          <w:rFonts w:ascii="Arial" w:hAnsi="Arial" w:cs="Arial"/>
          <w:sz w:val="22"/>
          <w:szCs w:val="22"/>
        </w:rPr>
        <w:t xml:space="preserve"> using different peak-gene association rules and two raw p-value cutoffs for</w:t>
      </w:r>
      <w:r w:rsidR="004C4A06">
        <w:rPr>
          <w:rFonts w:ascii="Arial" w:hAnsi="Arial" w:cs="Arial"/>
          <w:sz w:val="22"/>
          <w:szCs w:val="22"/>
        </w:rPr>
        <w:t xml:space="preserve"> motifs from</w:t>
      </w:r>
      <w:r w:rsidR="008279FC">
        <w:rPr>
          <w:rFonts w:ascii="Arial" w:hAnsi="Arial" w:cs="Arial"/>
          <w:sz w:val="22"/>
          <w:szCs w:val="22"/>
        </w:rPr>
        <w:t xml:space="preserve"> </w:t>
      </w:r>
      <w:r w:rsidR="00854B4C">
        <w:rPr>
          <w:rFonts w:ascii="Arial" w:hAnsi="Arial" w:cs="Arial"/>
          <w:sz w:val="22"/>
          <w:szCs w:val="22"/>
        </w:rPr>
        <w:t>CisBP</w:t>
      </w:r>
      <w:r w:rsidR="008279FC">
        <w:rPr>
          <w:rFonts w:ascii="Arial" w:hAnsi="Arial" w:cs="Arial"/>
          <w:sz w:val="22"/>
          <w:szCs w:val="22"/>
        </w:rPr>
        <w:t xml:space="preserve"> </w:t>
      </w:r>
      <w:r w:rsidR="00D100E8">
        <w:rPr>
          <w:rFonts w:ascii="Arial" w:hAnsi="Arial" w:cs="Arial"/>
          <w:sz w:val="22"/>
          <w:szCs w:val="22"/>
        </w:rPr>
        <w:t>(note that ENCODE motifs were not included in this analysis)</w:t>
      </w:r>
      <w:r w:rsidR="00ED3AF5" w:rsidRPr="0091488E">
        <w:rPr>
          <w:rFonts w:ascii="Arial" w:hAnsi="Arial" w:cs="Arial"/>
          <w:sz w:val="22"/>
          <w:szCs w:val="22"/>
        </w:rPr>
        <w:t>.</w:t>
      </w:r>
      <w:r w:rsidR="008279FC">
        <w:rPr>
          <w:rFonts w:ascii="Arial" w:hAnsi="Arial" w:cs="Arial"/>
          <w:sz w:val="22"/>
          <w:szCs w:val="22"/>
        </w:rPr>
        <w:t xml:space="preserve"> mLASSO-StARS was run with TF mRNA or prior-based TFA at bias = .5.</w:t>
      </w:r>
      <w:r w:rsidR="00BE1572">
        <w:rPr>
          <w:rFonts w:ascii="Arial" w:hAnsi="Arial" w:cs="Arial"/>
          <w:sz w:val="22"/>
          <w:szCs w:val="22"/>
        </w:rPr>
        <w:t xml:space="preserve"> </w:t>
      </w:r>
      <w:r w:rsidR="005C7945">
        <w:rPr>
          <w:rFonts w:ascii="Arial" w:hAnsi="Arial" w:cs="Arial"/>
          <w:sz w:val="22"/>
          <w:szCs w:val="22"/>
        </w:rPr>
        <w:t>(</w:t>
      </w:r>
      <w:r w:rsidR="00BE1572">
        <w:rPr>
          <w:rFonts w:ascii="Arial" w:hAnsi="Arial" w:cs="Arial"/>
          <w:sz w:val="22"/>
          <w:szCs w:val="22"/>
        </w:rPr>
        <w:t>Inf = infinity.</w:t>
      </w:r>
      <w:r w:rsidR="005C7945">
        <w:rPr>
          <w:rFonts w:ascii="Arial" w:hAnsi="Arial" w:cs="Arial"/>
          <w:sz w:val="22"/>
          <w:szCs w:val="22"/>
        </w:rPr>
        <w:t>)</w:t>
      </w:r>
    </w:p>
    <w:p w14:paraId="039F7EE3" w14:textId="7D11BE3C" w:rsidR="000C0876" w:rsidRDefault="000C0876" w:rsidP="000C0876">
      <w:pPr>
        <w:jc w:val="both"/>
        <w:rPr>
          <w:rFonts w:ascii="Arial" w:hAnsi="Arial" w:cs="Arial"/>
          <w:sz w:val="22"/>
          <w:szCs w:val="22"/>
        </w:rPr>
      </w:pPr>
    </w:p>
    <w:p w14:paraId="69B14848" w14:textId="429532F5" w:rsidR="00B8521F" w:rsidRPr="0091488E" w:rsidRDefault="00B8521F" w:rsidP="00B8521F">
      <w:pPr>
        <w:jc w:val="both"/>
        <w:rPr>
          <w:rFonts w:ascii="Arial" w:hAnsi="Arial" w:cs="Arial"/>
          <w:sz w:val="22"/>
          <w:szCs w:val="22"/>
        </w:rPr>
      </w:pPr>
      <w:r>
        <w:rPr>
          <w:rFonts w:ascii="Arial" w:hAnsi="Arial" w:cs="Arial"/>
          <w:b/>
          <w:sz w:val="22"/>
          <w:szCs w:val="22"/>
        </w:rPr>
        <w:t xml:space="preserve">Supplemental Fig. </w:t>
      </w:r>
      <w:r w:rsidR="0099775E">
        <w:rPr>
          <w:rFonts w:ascii="Arial" w:hAnsi="Arial" w:cs="Arial"/>
          <w:b/>
          <w:sz w:val="22"/>
          <w:szCs w:val="22"/>
        </w:rPr>
        <w:t>S22</w:t>
      </w:r>
      <w:r w:rsidRPr="0091488E">
        <w:rPr>
          <w:rFonts w:ascii="Arial" w:hAnsi="Arial" w:cs="Arial"/>
          <w:b/>
          <w:sz w:val="22"/>
          <w:szCs w:val="22"/>
        </w:rPr>
        <w:t xml:space="preserve">. The effect of TFA and prior reinforcement </w:t>
      </w:r>
      <w:r>
        <w:rPr>
          <w:rFonts w:ascii="Arial" w:hAnsi="Arial" w:cs="Arial"/>
          <w:b/>
          <w:sz w:val="22"/>
          <w:szCs w:val="22"/>
        </w:rPr>
        <w:t>on</w:t>
      </w:r>
      <w:r w:rsidRPr="0091488E">
        <w:rPr>
          <w:rFonts w:ascii="Arial" w:hAnsi="Arial" w:cs="Arial"/>
          <w:b/>
          <w:sz w:val="22"/>
          <w:szCs w:val="22"/>
        </w:rPr>
        <w:t xml:space="preserve"> recovery of prior edges in TRN models. </w:t>
      </w:r>
      <w:r w:rsidRPr="0091488E">
        <w:rPr>
          <w:rFonts w:ascii="Arial" w:hAnsi="Arial" w:cs="Arial"/>
          <w:sz w:val="22"/>
          <w:szCs w:val="22"/>
        </w:rPr>
        <w:t>% prior edges in</w:t>
      </w:r>
      <w:r>
        <w:rPr>
          <w:rFonts w:ascii="Arial" w:hAnsi="Arial" w:cs="Arial"/>
          <w:sz w:val="22"/>
          <w:szCs w:val="22"/>
        </w:rPr>
        <w:t xml:space="preserve"> the</w:t>
      </w:r>
      <w:r w:rsidRPr="0091488E">
        <w:rPr>
          <w:rFonts w:ascii="Arial" w:hAnsi="Arial" w:cs="Arial"/>
          <w:sz w:val="22"/>
          <w:szCs w:val="22"/>
        </w:rPr>
        <w:t xml:space="preserve"> TRN</w:t>
      </w:r>
      <w:r>
        <w:rPr>
          <w:rFonts w:ascii="Arial" w:hAnsi="Arial" w:cs="Arial"/>
          <w:sz w:val="22"/>
          <w:szCs w:val="22"/>
        </w:rPr>
        <w:t>s</w:t>
      </w:r>
      <w:r w:rsidRPr="0091488E">
        <w:rPr>
          <w:rFonts w:ascii="Arial" w:hAnsi="Arial" w:cs="Arial"/>
          <w:sz w:val="22"/>
          <w:szCs w:val="22"/>
        </w:rPr>
        <w:t xml:space="preserve"> are plotted as a function of TRN size (mean TF predictors per gene) for the two Inferelator methods (BBSR-BIC and mLASSO-StARS), the two methods for estimating TF activities (TFA = P</w:t>
      </w:r>
      <w:r w:rsidRPr="0091488E">
        <w:rPr>
          <w:rFonts w:ascii="Arial" w:hAnsi="Arial" w:cs="Arial"/>
          <w:sz w:val="22"/>
          <w:szCs w:val="22"/>
          <w:vertAlign w:val="superscript"/>
        </w:rPr>
        <w:t>+</w:t>
      </w:r>
      <w:r w:rsidRPr="0091488E">
        <w:rPr>
          <w:rFonts w:ascii="Arial" w:hAnsi="Arial" w:cs="Arial"/>
          <w:sz w:val="22"/>
          <w:szCs w:val="22"/>
        </w:rPr>
        <w:t xml:space="preserve">X and TF mRNA), and varying levels of prior reinforcement (-, +, ++ correspond to no, moderate, and high prior reinforcement, respectively). </w:t>
      </w:r>
    </w:p>
    <w:p w14:paraId="4C03DF2C" w14:textId="77777777" w:rsidR="0099775E" w:rsidRDefault="0099775E" w:rsidP="000C0876">
      <w:pPr>
        <w:jc w:val="both"/>
        <w:rPr>
          <w:rFonts w:ascii="Arial" w:hAnsi="Arial" w:cs="Arial"/>
          <w:b/>
          <w:sz w:val="22"/>
          <w:szCs w:val="22"/>
        </w:rPr>
      </w:pPr>
    </w:p>
    <w:p w14:paraId="36C61F73" w14:textId="43AEBA52" w:rsidR="00B8521F" w:rsidRDefault="0099775E" w:rsidP="000C0876">
      <w:pPr>
        <w:jc w:val="both"/>
        <w:rPr>
          <w:rFonts w:ascii="Arial" w:hAnsi="Arial" w:cs="Arial"/>
          <w:sz w:val="22"/>
          <w:szCs w:val="22"/>
        </w:rPr>
      </w:pPr>
      <w:r>
        <w:rPr>
          <w:rFonts w:ascii="Arial" w:hAnsi="Arial" w:cs="Arial"/>
          <w:b/>
          <w:sz w:val="22"/>
          <w:szCs w:val="22"/>
        </w:rPr>
        <w:t>Supplemental Fig. S23</w:t>
      </w:r>
      <w:r w:rsidRPr="0091488E">
        <w:rPr>
          <w:rFonts w:ascii="Arial" w:hAnsi="Arial" w:cs="Arial"/>
          <w:sz w:val="22"/>
          <w:szCs w:val="22"/>
        </w:rPr>
        <w:t xml:space="preserve">. </w:t>
      </w:r>
      <w:r w:rsidRPr="0091488E">
        <w:rPr>
          <w:rFonts w:ascii="Arial" w:hAnsi="Arial" w:cs="Arial"/>
          <w:b/>
          <w:sz w:val="22"/>
          <w:szCs w:val="22"/>
        </w:rPr>
        <w:t>Comparison of steady-state versus time-lagged treatment of time-series data.</w:t>
      </w:r>
      <w:r w:rsidRPr="0091488E">
        <w:rPr>
          <w:rFonts w:ascii="Arial" w:hAnsi="Arial" w:cs="Arial"/>
          <w:sz w:val="22"/>
          <w:szCs w:val="22"/>
        </w:rPr>
        <w:t xml:space="preserve"> The gene expression matrix includes a small fraction of time-series samples (15 out of 254). Using the time-lag parameter tau (30 minutes) from </w:t>
      </w:r>
      <w:r w:rsidRPr="0091488E">
        <w:rPr>
          <w:rFonts w:ascii="Arial" w:hAnsi="Arial" w:cs="Arial"/>
          <w:sz w:val="22"/>
          <w:szCs w:val="22"/>
        </w:rPr>
        <w:fldChar w:fldCharType="begin" w:fldLock="1"/>
      </w:r>
      <w:r w:rsidR="008460C9">
        <w:rPr>
          <w:rFonts w:ascii="Arial" w:hAnsi="Arial" w:cs="Arial"/>
          <w:sz w:val="22"/>
          <w:szCs w:val="22"/>
        </w:rPr>
        <w:instrText>ADDIN CSL_CITATION {"citationItems":[{"id":"ITEM-1","itemData":{"DOI":"10.1016/j.cell.2012.09.016","ISSN":"1097-4172","PMID":"23021777","abstract":"Th17 cells have critical roles in mucosal defense and are major contributors to inflammatory disease. Their differentiation requires the nuclear hormone receptor RORγt working with multiple other essential transcription factors (TFs). We have used an iterative systems approach, combining genome-wide TF occupancy, expression profiling of TF mutants, and expression time series to delineate the Th17 global transcriptional regulatory network. We find that cooperatively bound BATF and IRF4 contribute to initial chromatin accessibility and, with STAT3, initiate a transcriptional program that is then globally tuned by the lineage-specifying TF RORγt, which plays a focal deterministic role at key loci. Integration of multiple data sets allowed inference of an accurate predictive model that we computationally and experimentally validated, identifying multiple new Th17 regulators, including Fosl2, a key determinant of cellular plasticity. This interconnected network can be used to investigate new therapeutic approaches to manipulate Th17 functions in the setting of inflammatory disease.","author":[{"dropping-particle":"","family":"Ciofani","given":"Maria","non-dropping-particle":"","parse-names":false,"suffix":""},{"dropping-particle":"","family":"Madar","given":"Aviv","non-dropping-particle":"","parse-names":false,"suffix":""},{"dropping-particle":"","family":"Galan","given":"Carolina","non-dropping-particle":"","parse-names":false,"suffix":""},{"dropping-particle":"","family":"Sellars","given":"Maclean","non-dropping-particle":"","parse-names":false,"suffix":""},{"dropping-particle":"","family":"Mace","given":"Kieran","non-dropping-particle":"","parse-names":false,"suffix":""},{"dropping-particle":"","family":"Pauli","given":"Florencia","non-dropping-particle":"","parse-names":false,"suffix":""},{"dropping-particle":"","family":"Agarwal","given":"Ashish","non-dropping-particle":"","parse-names":false,"suffix":""},{"dropping-particle":"","family":"Huang","given":"Wendy","non-dropping-particle":"","parse-names":false,"suffix":""},{"dropping-particle":"","family":"Parkurst","given":"Christopher N","non-dropping-particle":"","parse-names":false,"suffix":""},{"dropping-particle":"","family":"Muratet","given":"Michael","non-dropping-particle":"","parse-names":false,"suffix":""},{"dropping-particle":"","family":"Newberry","given":"Kim M","non-dropping-particle":"","parse-names":false,"suffix":""},{"dropping-particle":"","family":"Meadows","given":"Sarah","non-dropping-particle":"","parse-names":false,"suffix":""},{"dropping-particle":"","family":"Greenfield","given":"Alex","non-dropping-particle":"","parse-names":false,"suffix":""},{"dropping-particle":"","family":"Yang","given":"Yi","non-dropping-particle":"","parse-names":false,"suffix":""},{"dropping-particle":"","family":"Jain","given":"Preti","non-dropping-particle":"","parse-names":false,"suffix":""},{"dropping-particle":"","family":"Kirigin","given":"Francis K","non-dropping-particle":"","parse-names":false,"suffix":""},{"dropping-particle":"","family":"Birchmeier","given":"Carmen","non-dropping-particle":"","parse-names":false,"suffix":""},{"dropping-particle":"","family":"Wagner","given":"Erwin F","non-dropping-particle":"","parse-names":false,"suffix":""},{"dropping-particle":"","family":"Murphy","given":"Kenneth M","non-dropping-particle":"","parse-names":false,"suffix":""},{"dropping-particle":"","family":"Myers","given":"Richard M","non-dropping-particle":"","parse-names":false,"suffix":""},{"dropping-particle":"","family":"Bonneau","given":"Richard","non-dropping-particle":"","parse-names":false,"suffix":""},{"dropping-particle":"","family":"Littman","given":"Dan R","non-dropping-particle":"","parse-names":false,"suffix":""}],"container-title":"Cell","id":"ITEM-1","issue":"2","issued":{"date-parts":[["2012","10","12"]]},"page":"289-303","publisher":"Elsevier Inc.","title":"A validated regulatory network for Th17 cell specification.","type":"article-journal","volume":"151"},"uris":["http://www.mendeley.com/documents/?uuid=87a624dc-a9a4-4ffc-9f90-6828a47b2582"]}],"mendeley":{"formattedCitation":"(Ciofani et al. 2012)","plainTextFormattedCitation":"(Ciofani et al. 2012)","previouslyFormattedCitation":"(Ciofani et al. 2012)"},"properties":{"noteIndex":0},"schema":"https://github.com/citation-style-language/schema/raw/master/csl-citation.json"}</w:instrText>
      </w:r>
      <w:r w:rsidRPr="0091488E">
        <w:rPr>
          <w:rFonts w:ascii="Arial" w:hAnsi="Arial" w:cs="Arial"/>
          <w:sz w:val="22"/>
          <w:szCs w:val="22"/>
        </w:rPr>
        <w:fldChar w:fldCharType="separate"/>
      </w:r>
      <w:r w:rsidRPr="009E17FE">
        <w:rPr>
          <w:rFonts w:ascii="Arial" w:hAnsi="Arial" w:cs="Arial"/>
          <w:noProof/>
          <w:sz w:val="22"/>
          <w:szCs w:val="22"/>
        </w:rPr>
        <w:t>(Ciofani et al. 2012)</w:t>
      </w:r>
      <w:r w:rsidRPr="0091488E">
        <w:rPr>
          <w:rFonts w:ascii="Arial" w:hAnsi="Arial" w:cs="Arial"/>
          <w:sz w:val="22"/>
          <w:szCs w:val="22"/>
        </w:rPr>
        <w:fldChar w:fldCharType="end"/>
      </w:r>
      <w:r w:rsidRPr="0091488E">
        <w:rPr>
          <w:rFonts w:ascii="Arial" w:hAnsi="Arial" w:cs="Arial"/>
          <w:sz w:val="22"/>
          <w:szCs w:val="22"/>
        </w:rPr>
        <w:t xml:space="preserve">, we compared performance between TRNs built with and without time-lag (mLASSO-StARS with the Th17 ATAC prior, moderate prior reinforcement (bias </w:t>
      </w:r>
      <m:oMath>
        <m:r>
          <w:rPr>
            <w:rFonts w:ascii="Cambria Math" w:hAnsi="Cambria Math" w:cs="Arial"/>
            <w:sz w:val="22"/>
            <w:szCs w:val="22"/>
          </w:rPr>
          <m:t>=.5</m:t>
        </m:r>
      </m:oMath>
      <w:r w:rsidRPr="0091488E">
        <w:rPr>
          <w:rFonts w:ascii="Arial" w:hAnsi="Arial" w:cs="Arial"/>
          <w:sz w:val="22"/>
          <w:szCs w:val="22"/>
        </w:rPr>
        <w:t xml:space="preserve">), and either TFA = TF mRNA or prior-based TFA. Precision-recall of the </w:t>
      </w:r>
      <w:r w:rsidRPr="0091488E">
        <w:rPr>
          <w:rFonts w:ascii="Arial" w:hAnsi="Arial" w:cs="Arial"/>
          <w:b/>
          <w:sz w:val="22"/>
          <w:szCs w:val="22"/>
        </w:rPr>
        <w:t>(A)</w:t>
      </w:r>
      <w:r w:rsidRPr="0091488E">
        <w:rPr>
          <w:rFonts w:ascii="Arial" w:hAnsi="Arial" w:cs="Arial"/>
          <w:sz w:val="22"/>
          <w:szCs w:val="22"/>
        </w:rPr>
        <w:t xml:space="preserve"> KO+ChIP and </w:t>
      </w:r>
      <w:r w:rsidRPr="0091488E">
        <w:rPr>
          <w:rFonts w:ascii="Arial" w:hAnsi="Arial" w:cs="Arial"/>
          <w:b/>
          <w:sz w:val="22"/>
          <w:szCs w:val="22"/>
        </w:rPr>
        <w:t>(B)</w:t>
      </w:r>
      <w:r w:rsidRPr="0091488E">
        <w:rPr>
          <w:rFonts w:ascii="Arial" w:hAnsi="Arial" w:cs="Arial"/>
          <w:sz w:val="22"/>
          <w:szCs w:val="22"/>
        </w:rPr>
        <w:t xml:space="preserve"> KO G.S.’s did not change between time-lagged and steady-state models.</w:t>
      </w:r>
    </w:p>
    <w:p w14:paraId="7764DF94" w14:textId="77777777" w:rsidR="0099775E" w:rsidRPr="0091488E" w:rsidRDefault="0099775E" w:rsidP="000C0876">
      <w:pPr>
        <w:jc w:val="both"/>
        <w:rPr>
          <w:rFonts w:ascii="Arial" w:hAnsi="Arial" w:cs="Arial"/>
          <w:sz w:val="22"/>
          <w:szCs w:val="22"/>
        </w:rPr>
      </w:pPr>
    </w:p>
    <w:p w14:paraId="18D371A8" w14:textId="7B02DBCC"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2</w:t>
      </w:r>
      <w:r w:rsidR="00956F7E">
        <w:rPr>
          <w:rFonts w:ascii="Arial" w:hAnsi="Arial" w:cs="Arial"/>
          <w:b/>
          <w:sz w:val="22"/>
          <w:szCs w:val="22"/>
        </w:rPr>
        <w:t>4</w:t>
      </w:r>
      <w:r w:rsidR="000C0876" w:rsidRPr="0091488E">
        <w:rPr>
          <w:rFonts w:ascii="Arial" w:hAnsi="Arial" w:cs="Arial"/>
          <w:sz w:val="22"/>
          <w:szCs w:val="22"/>
        </w:rPr>
        <w:t xml:space="preserve">. </w:t>
      </w:r>
      <w:r w:rsidR="000C0876" w:rsidRPr="0091488E">
        <w:rPr>
          <w:rFonts w:ascii="Arial" w:hAnsi="Arial" w:cs="Arial"/>
          <w:b/>
          <w:sz w:val="22"/>
          <w:szCs w:val="22"/>
        </w:rPr>
        <w:t>(A) Per-gene and (B) network-level average instability paths.</w:t>
      </w:r>
      <w:r w:rsidR="000C0876" w:rsidRPr="0091488E">
        <w:rPr>
          <w:rFonts w:ascii="Arial" w:hAnsi="Arial" w:cs="Arial"/>
          <w:sz w:val="22"/>
          <w:szCs w:val="22"/>
        </w:rPr>
        <w:t xml:space="preserve"> Average instabilities were calculated on per-gene and network level over a range of LASSO penalties, </w:t>
      </w:r>
      <m:oMath>
        <m:r>
          <w:rPr>
            <w:rFonts w:ascii="Cambria Math" w:hAnsi="Cambria Math" w:cs="Arial"/>
            <w:sz w:val="22"/>
            <w:szCs w:val="22"/>
          </w:rPr>
          <m:t>λ</m:t>
        </m:r>
      </m:oMath>
      <w:r w:rsidR="000C0876" w:rsidRPr="0091488E">
        <w:rPr>
          <w:rFonts w:ascii="Arial" w:eastAsiaTheme="minorEastAsia" w:hAnsi="Arial" w:cs="Arial"/>
          <w:sz w:val="22"/>
          <w:szCs w:val="22"/>
        </w:rPr>
        <w:t>. Results are shown for the No Prior TRN using 50 subsamples.</w:t>
      </w:r>
    </w:p>
    <w:p w14:paraId="02BBED70" w14:textId="77777777" w:rsidR="000C0876" w:rsidRPr="0091488E" w:rsidRDefault="000C0876" w:rsidP="000C0876">
      <w:pPr>
        <w:jc w:val="both"/>
        <w:rPr>
          <w:rFonts w:ascii="Arial" w:hAnsi="Arial" w:cs="Arial"/>
          <w:sz w:val="22"/>
          <w:szCs w:val="22"/>
        </w:rPr>
      </w:pPr>
    </w:p>
    <w:p w14:paraId="7E908606" w14:textId="07496E9B" w:rsidR="000C0876" w:rsidRPr="0091488E" w:rsidRDefault="00473230" w:rsidP="000C0876">
      <w:pPr>
        <w:jc w:val="both"/>
        <w:rPr>
          <w:rFonts w:ascii="Arial" w:hAnsi="Arial" w:cs="Arial"/>
          <w:sz w:val="22"/>
          <w:szCs w:val="22"/>
        </w:rPr>
      </w:pPr>
      <w:r>
        <w:rPr>
          <w:rFonts w:ascii="Arial" w:hAnsi="Arial" w:cs="Arial"/>
          <w:b/>
          <w:sz w:val="22"/>
          <w:szCs w:val="22"/>
        </w:rPr>
        <w:lastRenderedPageBreak/>
        <w:t>Supplemental Fig. S</w:t>
      </w:r>
      <w:r w:rsidR="000C0876" w:rsidRPr="0091488E">
        <w:rPr>
          <w:rFonts w:ascii="Arial" w:hAnsi="Arial" w:cs="Arial"/>
          <w:b/>
          <w:sz w:val="22"/>
          <w:szCs w:val="22"/>
        </w:rPr>
        <w:t>2</w:t>
      </w:r>
      <w:r w:rsidR="00956F7E">
        <w:rPr>
          <w:rFonts w:ascii="Arial" w:hAnsi="Arial" w:cs="Arial"/>
          <w:b/>
          <w:sz w:val="22"/>
          <w:szCs w:val="22"/>
        </w:rPr>
        <w:t>5</w:t>
      </w:r>
      <w:r w:rsidR="000C0876" w:rsidRPr="0091488E">
        <w:rPr>
          <w:rFonts w:ascii="Arial" w:hAnsi="Arial" w:cs="Arial"/>
          <w:sz w:val="22"/>
          <w:szCs w:val="22"/>
        </w:rPr>
        <w:t xml:space="preserve">. </w:t>
      </w:r>
      <w:r w:rsidR="000C0876" w:rsidRPr="0091488E">
        <w:rPr>
          <w:rFonts w:ascii="Arial" w:hAnsi="Arial" w:cs="Arial"/>
          <w:b/>
          <w:sz w:val="22"/>
          <w:szCs w:val="22"/>
        </w:rPr>
        <w:t>Distribution of nonzero subsamples per TF-gene edge.</w:t>
      </w:r>
      <w:r w:rsidR="000C0876" w:rsidRPr="0091488E">
        <w:rPr>
          <w:rFonts w:ascii="Arial" w:hAnsi="Arial" w:cs="Arial"/>
          <w:sz w:val="22"/>
          <w:szCs w:val="22"/>
        </w:rPr>
        <w:t xml:space="preserve"> Distribution of nonzero subsamples per TF-gene, using per-gene and network average instability cutoffs of .05, .1, and .2. </w:t>
      </w:r>
      <w:r w:rsidR="000C0876" w:rsidRPr="0091488E">
        <w:rPr>
          <w:rFonts w:ascii="Arial" w:eastAsiaTheme="minorEastAsia" w:hAnsi="Arial" w:cs="Arial"/>
          <w:sz w:val="22"/>
          <w:szCs w:val="22"/>
        </w:rPr>
        <w:t xml:space="preserve">Results are shown for the No Prior TRN using 50 subsamples. The dotted-red line marks the instability cutoff in terms of nonzero subsamples, and the average model size at that cutoff appears as text in the upper right hand. </w:t>
      </w:r>
    </w:p>
    <w:p w14:paraId="0972980F" w14:textId="77777777" w:rsidR="000C0876" w:rsidRPr="0091488E" w:rsidRDefault="000C0876" w:rsidP="000C0876">
      <w:pPr>
        <w:jc w:val="both"/>
        <w:rPr>
          <w:rFonts w:ascii="Arial" w:hAnsi="Arial" w:cs="Arial"/>
          <w:b/>
          <w:sz w:val="22"/>
          <w:szCs w:val="22"/>
          <w:u w:val="single"/>
        </w:rPr>
      </w:pPr>
    </w:p>
    <w:p w14:paraId="0C403605" w14:textId="4B01A1AF"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2</w:t>
      </w:r>
      <w:r w:rsidR="00956F7E">
        <w:rPr>
          <w:rFonts w:ascii="Arial" w:hAnsi="Arial" w:cs="Arial"/>
          <w:b/>
          <w:sz w:val="22"/>
          <w:szCs w:val="22"/>
        </w:rPr>
        <w:t>6</w:t>
      </w:r>
      <w:r w:rsidR="000C0876" w:rsidRPr="0091488E">
        <w:rPr>
          <w:rFonts w:ascii="Arial" w:hAnsi="Arial" w:cs="Arial"/>
          <w:sz w:val="22"/>
          <w:szCs w:val="22"/>
        </w:rPr>
        <w:t xml:space="preserve">. </w:t>
      </w:r>
      <w:r w:rsidR="000C0876" w:rsidRPr="0091488E">
        <w:rPr>
          <w:rFonts w:ascii="Arial" w:hAnsi="Arial" w:cs="Arial"/>
          <w:b/>
          <w:sz w:val="22"/>
          <w:szCs w:val="22"/>
        </w:rPr>
        <w:t>Comparison of edge-ranking methods</w:t>
      </w:r>
      <w:r w:rsidR="000C0876" w:rsidRPr="0091488E">
        <w:rPr>
          <w:rFonts w:ascii="Arial" w:hAnsi="Arial" w:cs="Arial"/>
          <w:sz w:val="22"/>
          <w:szCs w:val="22"/>
        </w:rPr>
        <w:t xml:space="preserve">. Edges are ranked according to </w:t>
      </w:r>
      <w:r w:rsidR="000C0876" w:rsidRPr="0091488E">
        <w:rPr>
          <w:rFonts w:ascii="Arial" w:hAnsi="Arial" w:cs="Arial"/>
          <w:b/>
          <w:sz w:val="22"/>
          <w:szCs w:val="22"/>
        </w:rPr>
        <w:t>(A)</w:t>
      </w:r>
      <w:r w:rsidR="000C0876" w:rsidRPr="0091488E">
        <w:rPr>
          <w:rFonts w:ascii="Arial" w:hAnsi="Arial" w:cs="Arial"/>
          <w:sz w:val="22"/>
          <w:szCs w:val="22"/>
        </w:rPr>
        <w:t xml:space="preserve"> nonzero subsamples or </w:t>
      </w:r>
      <w:r w:rsidR="000C0876" w:rsidRPr="0091488E">
        <w:rPr>
          <w:rFonts w:ascii="Arial" w:hAnsi="Arial" w:cs="Arial"/>
          <w:b/>
          <w:sz w:val="22"/>
          <w:szCs w:val="22"/>
        </w:rPr>
        <w:t>(B)</w:t>
      </w:r>
      <w:r w:rsidR="000C0876" w:rsidRPr="0091488E">
        <w:rPr>
          <w:rFonts w:ascii="Arial" w:hAnsi="Arial" w:cs="Arial"/>
          <w:sz w:val="22"/>
          <w:szCs w:val="22"/>
        </w:rPr>
        <w:t xml:space="preserve"> nonzero subsamples plus the absolute value of edge partial correlatio</w:t>
      </w:r>
      <w:r w:rsidR="000C0876" w:rsidRPr="00D72ADD">
        <w:rPr>
          <w:rFonts w:ascii="Arial" w:hAnsi="Arial" w:cs="Arial"/>
          <w:sz w:val="22"/>
          <w:szCs w:val="22"/>
        </w:rPr>
        <w:t>n (</w:t>
      </w:r>
      <w:r w:rsidR="000C0876" w:rsidRPr="00D72ADD">
        <w:rPr>
          <w:rFonts w:ascii="Arial" w:hAnsi="Arial" w:cs="Arial"/>
          <w:b/>
          <w:sz w:val="22"/>
          <w:szCs w:val="22"/>
        </w:rPr>
        <w:t>Equation 4</w:t>
      </w:r>
      <w:r w:rsidR="000C0876" w:rsidRPr="00D72ADD">
        <w:rPr>
          <w:rFonts w:ascii="Arial" w:hAnsi="Arial" w:cs="Arial"/>
          <w:sz w:val="22"/>
          <w:szCs w:val="22"/>
        </w:rPr>
        <w:t>) for network- and gene-level average instabilities at cutoffs .05, .1 and .2. Right and</w:t>
      </w:r>
      <w:r w:rsidR="000C0876" w:rsidRPr="0091488E">
        <w:rPr>
          <w:rFonts w:ascii="Arial" w:hAnsi="Arial" w:cs="Arial"/>
          <w:sz w:val="22"/>
          <w:szCs w:val="22"/>
        </w:rPr>
        <w:t xml:space="preserve"> left panels denote full and zoomed-in curves, respectively. Results are shown for the Th17 ATAC prior, bias = .5, and prior-based TFA, using the KO + ChIP G.S.</w:t>
      </w:r>
    </w:p>
    <w:p w14:paraId="166504A2" w14:textId="77777777" w:rsidR="000C0876" w:rsidRPr="0091488E" w:rsidRDefault="000C0876" w:rsidP="000C0876">
      <w:pPr>
        <w:jc w:val="both"/>
        <w:rPr>
          <w:rFonts w:ascii="Arial" w:hAnsi="Arial" w:cs="Arial"/>
          <w:sz w:val="22"/>
          <w:szCs w:val="22"/>
        </w:rPr>
      </w:pPr>
    </w:p>
    <w:p w14:paraId="3C6F71C6" w14:textId="7F9ABDC4" w:rsidR="000C0876" w:rsidRPr="00D72ADD"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2</w:t>
      </w:r>
      <w:r w:rsidR="00956F7E">
        <w:rPr>
          <w:rFonts w:ascii="Arial" w:hAnsi="Arial" w:cs="Arial"/>
          <w:b/>
          <w:sz w:val="22"/>
          <w:szCs w:val="22"/>
        </w:rPr>
        <w:t>7.</w:t>
      </w:r>
      <w:r w:rsidR="000C0876" w:rsidRPr="0091488E">
        <w:rPr>
          <w:rFonts w:ascii="Arial" w:hAnsi="Arial" w:cs="Arial"/>
          <w:sz w:val="22"/>
          <w:szCs w:val="22"/>
        </w:rPr>
        <w:t xml:space="preserve"> </w:t>
      </w:r>
      <w:r w:rsidR="000C0876" w:rsidRPr="0091488E">
        <w:rPr>
          <w:rFonts w:ascii="Arial" w:hAnsi="Arial" w:cs="Arial"/>
          <w:b/>
          <w:sz w:val="22"/>
          <w:szCs w:val="22"/>
        </w:rPr>
        <w:t>StARS parameterization: precision-recall of the KO+ChIP G.S.</w:t>
      </w:r>
      <w:r w:rsidR="000C0876" w:rsidRPr="0091488E">
        <w:rPr>
          <w:rFonts w:ascii="Arial" w:hAnsi="Arial" w:cs="Arial"/>
          <w:sz w:val="22"/>
          <w:szCs w:val="22"/>
        </w:rPr>
        <w:t xml:space="preserve"> TRNs were built using the Th17 ATAC prior with prior-based or TF mRNA TFA, no, moderate or strong prior reinforcement, network- and gene-level average instabilities at cutoffs .05, .1 and .2. Edges are ranked according to nonzero sub</w:t>
      </w:r>
      <w:r w:rsidR="000C0876" w:rsidRPr="00D72ADD">
        <w:rPr>
          <w:rFonts w:ascii="Arial" w:hAnsi="Arial" w:cs="Arial"/>
          <w:sz w:val="22"/>
          <w:szCs w:val="22"/>
        </w:rPr>
        <w:t xml:space="preserve">samples or </w:t>
      </w:r>
      <w:r w:rsidR="000C0876" w:rsidRPr="00D72ADD">
        <w:rPr>
          <w:rFonts w:ascii="Arial" w:hAnsi="Arial" w:cs="Arial"/>
          <w:b/>
          <w:sz w:val="22"/>
          <w:szCs w:val="22"/>
        </w:rPr>
        <w:t>Equation 4</w:t>
      </w:r>
      <w:r w:rsidR="000C0876" w:rsidRPr="00D72ADD">
        <w:rPr>
          <w:rFonts w:ascii="Arial" w:hAnsi="Arial" w:cs="Arial"/>
          <w:sz w:val="22"/>
          <w:szCs w:val="22"/>
        </w:rPr>
        <w:t>.</w:t>
      </w:r>
    </w:p>
    <w:p w14:paraId="1A6C983E" w14:textId="77777777" w:rsidR="000C0876" w:rsidRPr="0091488E" w:rsidRDefault="000C0876" w:rsidP="000C0876">
      <w:pPr>
        <w:jc w:val="both"/>
        <w:rPr>
          <w:rFonts w:ascii="Arial" w:hAnsi="Arial" w:cs="Arial"/>
          <w:sz w:val="22"/>
          <w:szCs w:val="22"/>
        </w:rPr>
      </w:pPr>
    </w:p>
    <w:p w14:paraId="531937CC" w14:textId="351DEA0B"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2</w:t>
      </w:r>
      <w:r w:rsidR="00956F7E">
        <w:rPr>
          <w:rFonts w:ascii="Arial" w:hAnsi="Arial" w:cs="Arial"/>
          <w:b/>
          <w:sz w:val="22"/>
          <w:szCs w:val="22"/>
        </w:rPr>
        <w:t>8</w:t>
      </w:r>
      <w:r w:rsidR="000C0876" w:rsidRPr="0091488E">
        <w:rPr>
          <w:rFonts w:ascii="Arial" w:hAnsi="Arial" w:cs="Arial"/>
          <w:sz w:val="22"/>
          <w:szCs w:val="22"/>
        </w:rPr>
        <w:t xml:space="preserve">. </w:t>
      </w:r>
      <w:r w:rsidR="000C0876" w:rsidRPr="0091488E">
        <w:rPr>
          <w:rFonts w:ascii="Arial" w:hAnsi="Arial" w:cs="Arial"/>
          <w:b/>
          <w:sz w:val="22"/>
          <w:szCs w:val="22"/>
        </w:rPr>
        <w:t>StARS parameterization: precision-recall of the KO G.S.</w:t>
      </w:r>
      <w:r w:rsidR="000C0876" w:rsidRPr="0091488E">
        <w:rPr>
          <w:rFonts w:ascii="Arial" w:hAnsi="Arial" w:cs="Arial"/>
          <w:sz w:val="22"/>
          <w:szCs w:val="22"/>
        </w:rPr>
        <w:t xml:space="preserve"> TRNs were built using the Th17 ATAC prior with prior-based or TF mRNA TFA, no, moderate or strong prior reinforcement, network- and gene-level average instabilities at cutoffs .05, .1 and .2. Edges are </w:t>
      </w:r>
      <w:r w:rsidR="000C0876" w:rsidRPr="00D72ADD">
        <w:rPr>
          <w:rFonts w:ascii="Arial" w:hAnsi="Arial" w:cs="Arial"/>
          <w:sz w:val="22"/>
          <w:szCs w:val="22"/>
        </w:rPr>
        <w:t xml:space="preserve">ranked according to nonzero subsamples or </w:t>
      </w:r>
      <w:r w:rsidR="000C0876" w:rsidRPr="00D72ADD">
        <w:rPr>
          <w:rFonts w:ascii="Arial" w:hAnsi="Arial" w:cs="Arial"/>
          <w:b/>
          <w:sz w:val="22"/>
          <w:szCs w:val="22"/>
        </w:rPr>
        <w:t>Equation 4</w:t>
      </w:r>
      <w:r w:rsidR="000C0876" w:rsidRPr="00D72ADD">
        <w:rPr>
          <w:rFonts w:ascii="Arial" w:hAnsi="Arial" w:cs="Arial"/>
          <w:sz w:val="22"/>
          <w:szCs w:val="22"/>
        </w:rPr>
        <w:t>.</w:t>
      </w:r>
    </w:p>
    <w:p w14:paraId="097E6C92" w14:textId="77777777" w:rsidR="000C0876" w:rsidRPr="0091488E" w:rsidRDefault="000C0876" w:rsidP="000C0876">
      <w:pPr>
        <w:jc w:val="both"/>
        <w:rPr>
          <w:rFonts w:ascii="Arial" w:hAnsi="Arial" w:cs="Arial"/>
          <w:sz w:val="22"/>
          <w:szCs w:val="22"/>
        </w:rPr>
      </w:pPr>
    </w:p>
    <w:p w14:paraId="5217E040" w14:textId="7502D200"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2</w:t>
      </w:r>
      <w:r w:rsidR="00956F7E">
        <w:rPr>
          <w:rFonts w:ascii="Arial" w:hAnsi="Arial" w:cs="Arial"/>
          <w:b/>
          <w:sz w:val="22"/>
          <w:szCs w:val="22"/>
        </w:rPr>
        <w:t>9</w:t>
      </w:r>
      <w:r w:rsidR="000C0876" w:rsidRPr="0091488E">
        <w:rPr>
          <w:rFonts w:ascii="Arial" w:hAnsi="Arial" w:cs="Arial"/>
          <w:sz w:val="22"/>
          <w:szCs w:val="22"/>
        </w:rPr>
        <w:t xml:space="preserve">. </w:t>
      </w:r>
      <w:r w:rsidR="000C0876" w:rsidRPr="0091488E">
        <w:rPr>
          <w:rFonts w:ascii="Arial" w:hAnsi="Arial" w:cs="Arial"/>
          <w:b/>
          <w:sz w:val="22"/>
          <w:szCs w:val="22"/>
        </w:rPr>
        <w:t>StARS parameterization: out-of-sample gene expression prediction.</w:t>
      </w:r>
      <w:r w:rsidR="000C0876" w:rsidRPr="0091488E">
        <w:rPr>
          <w:rFonts w:ascii="Arial" w:hAnsi="Arial" w:cs="Arial"/>
          <w:sz w:val="22"/>
          <w:szCs w:val="22"/>
        </w:rPr>
        <w:t xml:space="preserve"> TRNs were built using the Th17 ATAC prior with prior-based or TF mRNA TFA, no, moderate or strong prior reinforcement, network- and gene-level average instabilities at cutoffs .05, .1 and .2. Out-of-sample gene expression prediction was tested on the leave-out “Early Th17” set (8 samples). </w:t>
      </w:r>
      <w:r w:rsidR="000C0876" w:rsidRPr="0091488E">
        <w:rPr>
          <w:rFonts w:ascii="Arial" w:hAnsi="Arial" w:cs="Arial"/>
          <w:b/>
          <w:sz w:val="22"/>
          <w:szCs w:val="22"/>
        </w:rPr>
        <w:t>(A)</w:t>
      </w:r>
      <w:r w:rsidR="000C0876" w:rsidRPr="0091488E">
        <w:rPr>
          <w:rFonts w:ascii="Arial" w:hAnsi="Arial" w:cs="Arial"/>
          <w:sz w:val="22"/>
          <w:szCs w:val="22"/>
        </w:rPr>
        <w:t xml:space="preserve"> and </w:t>
      </w:r>
      <w:r w:rsidR="000C0876" w:rsidRPr="0091488E">
        <w:rPr>
          <w:rFonts w:ascii="Arial" w:hAnsi="Arial" w:cs="Arial"/>
          <w:b/>
          <w:sz w:val="22"/>
          <w:szCs w:val="22"/>
        </w:rPr>
        <w:t>(B)</w:t>
      </w:r>
      <w:r w:rsidR="000C0876" w:rsidRPr="0091488E">
        <w:rPr>
          <w:rFonts w:ascii="Arial" w:hAnsi="Arial" w:cs="Arial"/>
          <w:sz w:val="22"/>
          <w:szCs w:val="22"/>
        </w:rPr>
        <w:t xml:space="preserve"> show overall R</w:t>
      </w:r>
      <w:r w:rsidR="000C0876" w:rsidRPr="0091488E">
        <w:rPr>
          <w:rFonts w:ascii="Arial" w:hAnsi="Arial" w:cs="Arial"/>
          <w:sz w:val="22"/>
          <w:szCs w:val="22"/>
          <w:vertAlign w:val="superscript"/>
        </w:rPr>
        <w:t>2</w:t>
      </w:r>
      <w:r w:rsidR="000C0876" w:rsidRPr="0091488E">
        <w:rPr>
          <w:rFonts w:ascii="Arial" w:hAnsi="Arial" w:cs="Arial"/>
          <w:sz w:val="22"/>
          <w:szCs w:val="22"/>
          <w:vertAlign w:val="subscript"/>
        </w:rPr>
        <w:t>pred</w:t>
      </w:r>
      <w:r w:rsidR="000C0876" w:rsidRPr="0091488E">
        <w:rPr>
          <w:rFonts w:ascii="Arial" w:hAnsi="Arial" w:cs="Arial"/>
          <w:sz w:val="22"/>
          <w:szCs w:val="22"/>
        </w:rPr>
        <w:t xml:space="preserve"> or the median-gene’s R</w:t>
      </w:r>
      <w:r w:rsidR="000C0876" w:rsidRPr="0091488E">
        <w:rPr>
          <w:rFonts w:ascii="Arial" w:hAnsi="Arial" w:cs="Arial"/>
          <w:sz w:val="22"/>
          <w:szCs w:val="22"/>
          <w:vertAlign w:val="superscript"/>
        </w:rPr>
        <w:t>2</w:t>
      </w:r>
      <w:r w:rsidR="000C0876" w:rsidRPr="0091488E">
        <w:rPr>
          <w:rFonts w:ascii="Arial" w:hAnsi="Arial" w:cs="Arial"/>
          <w:sz w:val="22"/>
          <w:szCs w:val="22"/>
          <w:vertAlign w:val="subscript"/>
        </w:rPr>
        <w:t>pred</w:t>
      </w:r>
      <w:r w:rsidR="000C0876" w:rsidRPr="0091488E">
        <w:rPr>
          <w:rFonts w:ascii="Arial" w:hAnsi="Arial" w:cs="Arial"/>
          <w:sz w:val="22"/>
          <w:szCs w:val="22"/>
        </w:rPr>
        <w:t xml:space="preserve"> as a function of average model size, using </w:t>
      </w:r>
      <w:r w:rsidR="000C0876" w:rsidRPr="004C4A06">
        <w:rPr>
          <w:rFonts w:ascii="Arial" w:hAnsi="Arial" w:cs="Arial"/>
          <w:b/>
          <w:sz w:val="22"/>
          <w:szCs w:val="22"/>
        </w:rPr>
        <w:t>Equation 4</w:t>
      </w:r>
      <w:r w:rsidR="000C0876" w:rsidRPr="004C4A06">
        <w:rPr>
          <w:rFonts w:ascii="Arial" w:hAnsi="Arial" w:cs="Arial"/>
          <w:sz w:val="22"/>
          <w:szCs w:val="22"/>
        </w:rPr>
        <w:t xml:space="preserve"> t</w:t>
      </w:r>
      <w:r w:rsidR="000C0876" w:rsidRPr="0091488E">
        <w:rPr>
          <w:rFonts w:ascii="Arial" w:hAnsi="Arial" w:cs="Arial"/>
          <w:sz w:val="22"/>
          <w:szCs w:val="22"/>
        </w:rPr>
        <w:t>o rank TF-gene interactions.</w:t>
      </w:r>
    </w:p>
    <w:p w14:paraId="7902CE77" w14:textId="77777777" w:rsidR="000C0876" w:rsidRPr="0091488E" w:rsidRDefault="000C0876" w:rsidP="000C0876">
      <w:pPr>
        <w:jc w:val="both"/>
        <w:rPr>
          <w:rFonts w:ascii="Arial" w:hAnsi="Arial" w:cs="Arial"/>
          <w:sz w:val="22"/>
          <w:szCs w:val="22"/>
        </w:rPr>
      </w:pPr>
    </w:p>
    <w:p w14:paraId="7BB7958D" w14:textId="7CBE5946"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956F7E">
        <w:rPr>
          <w:rFonts w:ascii="Arial" w:hAnsi="Arial" w:cs="Arial"/>
          <w:b/>
          <w:sz w:val="22"/>
          <w:szCs w:val="22"/>
        </w:rPr>
        <w:t>30</w:t>
      </w:r>
      <w:r w:rsidR="000C0876" w:rsidRPr="0091488E">
        <w:rPr>
          <w:rFonts w:ascii="Arial" w:hAnsi="Arial" w:cs="Arial"/>
          <w:sz w:val="22"/>
          <w:szCs w:val="22"/>
        </w:rPr>
        <w:t xml:space="preserve">. </w:t>
      </w:r>
      <w:r w:rsidR="000C0876" w:rsidRPr="0091488E">
        <w:rPr>
          <w:rFonts w:ascii="Arial" w:hAnsi="Arial" w:cs="Arial"/>
          <w:b/>
          <w:sz w:val="22"/>
          <w:szCs w:val="22"/>
        </w:rPr>
        <w:t>Computational speed-up with bStARS lambda bounds.</w:t>
      </w:r>
      <w:r w:rsidR="000C0876" w:rsidRPr="0091488E">
        <w:rPr>
          <w:rFonts w:ascii="Arial" w:hAnsi="Arial" w:cs="Arial"/>
          <w:sz w:val="22"/>
          <w:szCs w:val="22"/>
        </w:rPr>
        <w:t xml:space="preserve"> </w:t>
      </w:r>
      <w:r w:rsidR="000C0876" w:rsidRPr="0091488E">
        <w:rPr>
          <w:rFonts w:ascii="Arial" w:hAnsi="Arial" w:cs="Arial"/>
          <w:b/>
          <w:sz w:val="22"/>
          <w:szCs w:val="22"/>
        </w:rPr>
        <w:t xml:space="preserve">(A) </w:t>
      </w:r>
      <w:r w:rsidR="000C0876" w:rsidRPr="0091488E">
        <w:rPr>
          <w:rFonts w:ascii="Arial" w:hAnsi="Arial" w:cs="Arial"/>
          <w:sz w:val="22"/>
          <w:szCs w:val="22"/>
        </w:rPr>
        <w:t xml:space="preserve">Network instabilities were estimated using 50 subsamples for Th17 ATAC prior with prior-based TFA and moderate reinforcement over a range of lambda penalties containing the lambda corresponding to the target instability cutoff .05 (vertical black line). bStARS upper and lower instability bounds, based on </w:t>
      </w:r>
      <w:r w:rsidR="000C0876" w:rsidRPr="0091488E">
        <w:rPr>
          <w:rFonts w:ascii="Arial" w:hAnsi="Arial" w:cs="Arial"/>
          <w:b/>
          <w:sz w:val="22"/>
          <w:szCs w:val="22"/>
        </w:rPr>
        <w:t xml:space="preserve">(B) </w:t>
      </w:r>
      <w:r w:rsidR="000C0876" w:rsidRPr="0091488E">
        <w:rPr>
          <w:rFonts w:ascii="Arial" w:hAnsi="Arial" w:cs="Arial"/>
          <w:sz w:val="22"/>
          <w:szCs w:val="22"/>
        </w:rPr>
        <w:t>two or</w:t>
      </w:r>
      <w:r w:rsidR="000C0876" w:rsidRPr="0091488E">
        <w:rPr>
          <w:rFonts w:ascii="Arial" w:hAnsi="Arial" w:cs="Arial"/>
          <w:b/>
          <w:sz w:val="22"/>
          <w:szCs w:val="22"/>
        </w:rPr>
        <w:t xml:space="preserve"> (C) </w:t>
      </w:r>
      <w:r w:rsidR="000C0876" w:rsidRPr="0091488E">
        <w:rPr>
          <w:rFonts w:ascii="Arial" w:hAnsi="Arial" w:cs="Arial"/>
          <w:sz w:val="22"/>
          <w:szCs w:val="22"/>
        </w:rPr>
        <w:t xml:space="preserve">five subsamples shorten the lambda search space (orange arrows, and black lines indicate lower and upper bounds for lambda corresponding to the target instability cutoff .05). Solving the LASSO is very slow for smaller lambda penalties; thus, increasing the lower bound (as in </w:t>
      </w:r>
      <w:r w:rsidR="000C0876" w:rsidRPr="0091488E">
        <w:rPr>
          <w:rFonts w:ascii="Arial" w:hAnsi="Arial" w:cs="Arial"/>
          <w:b/>
          <w:sz w:val="22"/>
          <w:szCs w:val="22"/>
        </w:rPr>
        <w:t>(C)</w:t>
      </w:r>
      <w:r w:rsidR="000C0876" w:rsidRPr="0091488E">
        <w:rPr>
          <w:rFonts w:ascii="Arial" w:hAnsi="Arial" w:cs="Arial"/>
          <w:sz w:val="22"/>
          <w:szCs w:val="22"/>
        </w:rPr>
        <w:t xml:space="preserve">) results in significant speed-up (~2-fold), while looser bounds (as in </w:t>
      </w:r>
      <w:r w:rsidR="000C0876" w:rsidRPr="0091488E">
        <w:rPr>
          <w:rFonts w:ascii="Arial" w:hAnsi="Arial" w:cs="Arial"/>
          <w:b/>
          <w:sz w:val="22"/>
          <w:szCs w:val="22"/>
        </w:rPr>
        <w:t>(B)</w:t>
      </w:r>
      <w:r w:rsidR="000C0876" w:rsidRPr="0091488E">
        <w:rPr>
          <w:rFonts w:ascii="Arial" w:hAnsi="Arial" w:cs="Arial"/>
          <w:sz w:val="22"/>
          <w:szCs w:val="22"/>
        </w:rPr>
        <w:t>) do not.</w:t>
      </w:r>
    </w:p>
    <w:p w14:paraId="4CF138D5" w14:textId="77777777" w:rsidR="000C0876" w:rsidRPr="0091488E" w:rsidRDefault="000C0876" w:rsidP="000C0876">
      <w:pPr>
        <w:jc w:val="both"/>
        <w:rPr>
          <w:rFonts w:ascii="Arial" w:hAnsi="Arial" w:cs="Arial"/>
          <w:sz w:val="22"/>
          <w:szCs w:val="22"/>
        </w:rPr>
      </w:pPr>
    </w:p>
    <w:p w14:paraId="5D1E31E6" w14:textId="511C2EBC"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956F7E">
        <w:rPr>
          <w:rFonts w:ascii="Arial" w:hAnsi="Arial" w:cs="Arial"/>
          <w:b/>
          <w:sz w:val="22"/>
          <w:szCs w:val="22"/>
        </w:rPr>
        <w:t>31</w:t>
      </w:r>
      <w:r w:rsidR="000C0876" w:rsidRPr="0091488E">
        <w:rPr>
          <w:rFonts w:ascii="Arial" w:hAnsi="Arial" w:cs="Arial"/>
          <w:sz w:val="22"/>
          <w:szCs w:val="22"/>
        </w:rPr>
        <w:t xml:space="preserve">. </w:t>
      </w:r>
      <w:r w:rsidR="000C0876" w:rsidRPr="0091488E">
        <w:rPr>
          <w:rFonts w:ascii="Arial" w:hAnsi="Arial" w:cs="Arial"/>
          <w:b/>
          <w:sz w:val="22"/>
          <w:szCs w:val="22"/>
        </w:rPr>
        <w:t>Effect of individual target genes on prior-based TFA estimation.</w:t>
      </w:r>
      <w:r w:rsidR="000C0876" w:rsidRPr="0091488E">
        <w:rPr>
          <w:rFonts w:ascii="Arial" w:hAnsi="Arial" w:cs="Arial"/>
          <w:sz w:val="22"/>
          <w:szCs w:val="22"/>
        </w:rPr>
        <w:t xml:space="preserve"> The empirical cumulative distribution function (CDF) of Pearson correlation coefficients between TFA estimates f</w:t>
      </w:r>
      <w:r w:rsidR="000C0876" w:rsidRPr="00D72ADD">
        <w:rPr>
          <w:rFonts w:ascii="Arial" w:hAnsi="Arial" w:cs="Arial"/>
          <w:sz w:val="22"/>
          <w:szCs w:val="22"/>
        </w:rPr>
        <w:t xml:space="preserve">rom </w:t>
      </w:r>
      <w:r w:rsidR="000C0876" w:rsidRPr="00D72ADD">
        <w:rPr>
          <w:rFonts w:ascii="Arial" w:hAnsi="Arial" w:cs="Arial"/>
          <w:b/>
          <w:sz w:val="22"/>
          <w:szCs w:val="22"/>
        </w:rPr>
        <w:t>Equation 2</w:t>
      </w:r>
      <w:r w:rsidR="000C0876" w:rsidRPr="00D72ADD">
        <w:rPr>
          <w:rFonts w:ascii="Arial" w:hAnsi="Arial" w:cs="Arial"/>
          <w:sz w:val="22"/>
          <w:szCs w:val="22"/>
        </w:rPr>
        <w:t xml:space="preserve"> versus </w:t>
      </w:r>
      <w:r w:rsidR="000C0876" w:rsidRPr="00D72ADD">
        <w:rPr>
          <w:rFonts w:ascii="Arial" w:hAnsi="Arial" w:cs="Arial"/>
          <w:b/>
          <w:sz w:val="22"/>
          <w:szCs w:val="22"/>
        </w:rPr>
        <w:t>Equation 6</w:t>
      </w:r>
      <w:r w:rsidR="000C0876" w:rsidRPr="00D72ADD">
        <w:rPr>
          <w:rFonts w:ascii="Arial" w:hAnsi="Arial" w:cs="Arial"/>
          <w:sz w:val="22"/>
          <w:szCs w:val="22"/>
        </w:rPr>
        <w:t xml:space="preserve">, using the Th17 ATAC prior. For each of the 2093 target genes with edges in the prior </w:t>
      </w:r>
      <m:oMath>
        <m:r>
          <m:rPr>
            <m:sty m:val="p"/>
          </m:rPr>
          <w:rPr>
            <w:rFonts w:ascii="Cambria Math" w:hAnsi="Cambria Math" w:cs="Arial"/>
            <w:sz w:val="22"/>
            <w:szCs w:val="22"/>
          </w:rPr>
          <m:t>P</m:t>
        </m:r>
      </m:oMath>
      <w:r w:rsidR="000C0876" w:rsidRPr="00D72ADD">
        <w:rPr>
          <w:rFonts w:ascii="Arial" w:eastAsiaTheme="minorEastAsia" w:hAnsi="Arial" w:cs="Arial"/>
          <w:sz w:val="22"/>
          <w:szCs w:val="22"/>
        </w:rPr>
        <w:t>,</w:t>
      </w:r>
      <w:r w:rsidR="000C0876" w:rsidRPr="00D72ADD">
        <w:rPr>
          <w:rFonts w:ascii="Arial" w:hAnsi="Arial" w:cs="Arial"/>
          <w:b/>
          <w:sz w:val="22"/>
          <w:szCs w:val="22"/>
        </w:rPr>
        <w:t xml:space="preserve"> Equation 6</w:t>
      </w:r>
      <w:r w:rsidR="000C0876" w:rsidRPr="00D72ADD">
        <w:rPr>
          <w:rFonts w:ascii="Arial" w:hAnsi="Arial" w:cs="Arial"/>
          <w:sz w:val="22"/>
          <w:szCs w:val="22"/>
        </w:rPr>
        <w:t xml:space="preserve"> is solved for A</w:t>
      </w:r>
      <w:r w:rsidR="000C0876" w:rsidRPr="00D72ADD">
        <w:rPr>
          <w:rFonts w:ascii="Arial" w:hAnsi="Arial" w:cs="Arial"/>
          <w:sz w:val="22"/>
          <w:szCs w:val="22"/>
          <w:vertAlign w:val="superscript"/>
        </w:rPr>
        <w:t>-i</w:t>
      </w:r>
      <w:r w:rsidR="000C0876" w:rsidRPr="00D72ADD">
        <w:rPr>
          <w:rFonts w:ascii="Arial" w:hAnsi="Arial" w:cs="Arial"/>
          <w:sz w:val="22"/>
          <w:szCs w:val="22"/>
        </w:rPr>
        <w:t>. For each gene i, correlations are l</w:t>
      </w:r>
      <w:r w:rsidR="000C0876" w:rsidRPr="0091488E">
        <w:rPr>
          <w:rFonts w:ascii="Arial" w:hAnsi="Arial" w:cs="Arial"/>
          <w:sz w:val="22"/>
          <w:szCs w:val="22"/>
        </w:rPr>
        <w:t xml:space="preserve">imited to those TFs k for which </w:t>
      </w:r>
      <m:oMath>
        <m:r>
          <m:rPr>
            <m:sty m:val="p"/>
          </m:rPr>
          <w:rPr>
            <w:rFonts w:ascii="Cambria Math" w:hAnsi="Cambria Math" w:cs="Arial"/>
            <w:sz w:val="22"/>
            <w:szCs w:val="22"/>
          </w:rPr>
          <m:t>P</m:t>
        </m:r>
        <m:d>
          <m:dPr>
            <m:ctrlPr>
              <w:rPr>
                <w:rFonts w:ascii="Cambria Math" w:hAnsi="Cambria Math" w:cs="Arial"/>
                <w:sz w:val="22"/>
                <w:szCs w:val="22"/>
              </w:rPr>
            </m:ctrlPr>
          </m:dPr>
          <m:e>
            <m:r>
              <m:rPr>
                <m:sty m:val="p"/>
              </m:rPr>
              <w:rPr>
                <w:rFonts w:ascii="Cambria Math" w:hAnsi="Cambria Math" w:cs="Arial"/>
                <w:sz w:val="22"/>
                <w:szCs w:val="22"/>
              </w:rPr>
              <m:t>i,k</m:t>
            </m:r>
          </m:e>
        </m:d>
        <m:r>
          <m:rPr>
            <m:sty m:val="p"/>
          </m:rPr>
          <w:rPr>
            <w:rFonts w:ascii="Cambria Math" w:hAnsi="Cambria Math" w:cs="Arial"/>
            <w:sz w:val="22"/>
            <w:szCs w:val="22"/>
          </w:rPr>
          <m:t>≠0</m:t>
        </m:r>
      </m:oMath>
      <w:r w:rsidR="000C0876" w:rsidRPr="0091488E">
        <w:rPr>
          <w:rFonts w:ascii="Arial" w:eastAsiaTheme="minorEastAsia" w:hAnsi="Arial" w:cs="Arial"/>
          <w:sz w:val="22"/>
          <w:szCs w:val="22"/>
        </w:rPr>
        <w:t>, yielding 10,8850 correlation coefficients</w:t>
      </w:r>
      <w:r w:rsidR="000C0876" w:rsidRPr="0091488E">
        <w:rPr>
          <w:rFonts w:ascii="Arial" w:hAnsi="Arial" w:cs="Arial"/>
          <w:sz w:val="22"/>
          <w:szCs w:val="22"/>
        </w:rPr>
        <w:t xml:space="preserve">. </w:t>
      </w:r>
    </w:p>
    <w:p w14:paraId="6A6D1B52" w14:textId="77777777" w:rsidR="000C0876" w:rsidRPr="0091488E" w:rsidRDefault="000C0876" w:rsidP="000C0876">
      <w:pPr>
        <w:jc w:val="both"/>
        <w:rPr>
          <w:rFonts w:ascii="Arial" w:hAnsi="Arial" w:cs="Arial"/>
          <w:sz w:val="22"/>
          <w:szCs w:val="22"/>
        </w:rPr>
      </w:pPr>
    </w:p>
    <w:p w14:paraId="720605A8" w14:textId="6220D7C9" w:rsidR="000C0876" w:rsidRPr="00B20E01" w:rsidRDefault="00473230" w:rsidP="000C0876">
      <w:pPr>
        <w:jc w:val="both"/>
        <w:rPr>
          <w:rFonts w:ascii="Arial" w:hAnsi="Arial" w:cs="Arial"/>
          <w:b/>
          <w:sz w:val="22"/>
          <w:szCs w:val="22"/>
        </w:rPr>
      </w:pPr>
      <w:r>
        <w:rPr>
          <w:rFonts w:ascii="Arial" w:hAnsi="Arial" w:cs="Arial"/>
          <w:b/>
          <w:bCs/>
          <w:sz w:val="22"/>
          <w:szCs w:val="22"/>
        </w:rPr>
        <w:t>Supplemental Fig. S</w:t>
      </w:r>
      <w:r w:rsidR="00B20E01" w:rsidRPr="00B20E01">
        <w:rPr>
          <w:rFonts w:ascii="Arial" w:hAnsi="Arial" w:cs="Arial"/>
          <w:b/>
          <w:bCs/>
          <w:sz w:val="22"/>
          <w:szCs w:val="22"/>
        </w:rPr>
        <w:t>32</w:t>
      </w:r>
      <w:r w:rsidR="00B20E01" w:rsidRPr="00B20E01">
        <w:rPr>
          <w:rFonts w:ascii="Arial" w:hAnsi="Arial" w:cs="Arial"/>
          <w:b/>
          <w:sz w:val="22"/>
          <w:szCs w:val="22"/>
        </w:rPr>
        <w:t xml:space="preserve">. </w:t>
      </w:r>
      <w:r w:rsidR="00B20E01" w:rsidRPr="00B20E01">
        <w:rPr>
          <w:rFonts w:ascii="Arial" w:hAnsi="Arial" w:cs="Arial"/>
          <w:b/>
          <w:bCs/>
          <w:sz w:val="22"/>
          <w:szCs w:val="22"/>
        </w:rPr>
        <w:t>Effect of individual target genes on prediction using prior-based TFA.</w:t>
      </w:r>
      <w:r w:rsidR="00B20E01" w:rsidRPr="00B20E01">
        <w:rPr>
          <w:rFonts w:ascii="Arial" w:hAnsi="Arial" w:cs="Arial"/>
          <w:b/>
          <w:sz w:val="22"/>
          <w:szCs w:val="22"/>
        </w:rPr>
        <w:t xml:space="preserve"> </w:t>
      </w:r>
      <w:r w:rsidR="00B20E01" w:rsidRPr="00B20E01">
        <w:rPr>
          <w:rFonts w:ascii="Arial" w:hAnsi="Arial" w:cs="Arial"/>
          <w:sz w:val="22"/>
          <w:szCs w:val="22"/>
        </w:rPr>
        <w:t xml:space="preserve">For the three out-of-sample prediction challenges, gene models were built using </w:t>
      </w:r>
      <w:r w:rsidR="00B20E01" w:rsidRPr="00B20E01">
        <w:rPr>
          <w:rFonts w:ascii="Arial" w:hAnsi="Arial" w:cs="Arial"/>
          <w:bCs/>
          <w:sz w:val="22"/>
          <w:szCs w:val="22"/>
        </w:rPr>
        <w:t>Equation 2</w:t>
      </w:r>
      <w:r w:rsidR="00B20E01" w:rsidRPr="00B20E01">
        <w:rPr>
          <w:rFonts w:ascii="Arial" w:hAnsi="Arial" w:cs="Arial"/>
          <w:sz w:val="22"/>
          <w:szCs w:val="22"/>
        </w:rPr>
        <w:t xml:space="preserve"> (“TFA”) or</w:t>
      </w:r>
      <w:r w:rsidR="00B20E01" w:rsidRPr="00B20E01">
        <w:rPr>
          <w:rFonts w:ascii="Arial" w:hAnsi="Arial" w:cs="Arial"/>
          <w:b/>
          <w:sz w:val="22"/>
          <w:szCs w:val="22"/>
        </w:rPr>
        <w:t xml:space="preserve"> </w:t>
      </w:r>
      <w:r w:rsidR="00B20E01" w:rsidRPr="00B20E01">
        <w:rPr>
          <w:rFonts w:ascii="Arial" w:hAnsi="Arial" w:cs="Arial"/>
          <w:b/>
          <w:bCs/>
          <w:sz w:val="22"/>
          <w:szCs w:val="22"/>
        </w:rPr>
        <w:t>Equation 6</w:t>
      </w:r>
      <w:r w:rsidR="00B20E01" w:rsidRPr="00B20E01">
        <w:rPr>
          <w:rFonts w:ascii="Arial" w:hAnsi="Arial" w:cs="Arial"/>
          <w:b/>
          <w:sz w:val="22"/>
          <w:szCs w:val="22"/>
        </w:rPr>
        <w:t xml:space="preserve"> </w:t>
      </w:r>
      <w:r w:rsidR="00B20E01" w:rsidRPr="00B20E01">
        <w:rPr>
          <w:rFonts w:ascii="Arial" w:hAnsi="Arial" w:cs="Arial"/>
          <w:sz w:val="22"/>
          <w:szCs w:val="22"/>
        </w:rPr>
        <w:t>(“TFA</w:t>
      </w:r>
      <w:r w:rsidR="00B20E01" w:rsidRPr="00B20E01">
        <w:rPr>
          <w:rFonts w:ascii="Arial" w:hAnsi="Arial" w:cs="Arial"/>
          <w:sz w:val="22"/>
          <w:szCs w:val="22"/>
          <w:vertAlign w:val="superscript"/>
        </w:rPr>
        <w:t>-gene i</w:t>
      </w:r>
      <w:r w:rsidR="00B20E01" w:rsidRPr="00B20E01">
        <w:rPr>
          <w:rFonts w:ascii="Arial" w:hAnsi="Arial" w:cs="Arial"/>
          <w:sz w:val="22"/>
          <w:szCs w:val="22"/>
        </w:rPr>
        <w:t xml:space="preserve">"), using mLASSO-StARS, Th17 ATAC prior, and moderate prior reinforcement. </w:t>
      </w:r>
      <w:r w:rsidR="00B20E01" w:rsidRPr="00B20E01">
        <w:rPr>
          <w:rFonts w:ascii="Arial" w:hAnsi="Arial" w:cs="Arial"/>
          <w:bCs/>
          <w:sz w:val="22"/>
          <w:szCs w:val="22"/>
        </w:rPr>
        <w:t>(A)</w:t>
      </w:r>
      <w:r w:rsidR="00B20E01" w:rsidRPr="00B20E01">
        <w:rPr>
          <w:rFonts w:ascii="Arial" w:hAnsi="Arial" w:cs="Arial"/>
          <w:sz w:val="22"/>
          <w:szCs w:val="22"/>
        </w:rPr>
        <w:t xml:space="preserve"> Overall R</w:t>
      </w:r>
      <w:r w:rsidR="00B20E01" w:rsidRPr="00B20E01">
        <w:rPr>
          <w:rFonts w:ascii="Arial" w:hAnsi="Arial" w:cs="Arial"/>
          <w:sz w:val="22"/>
          <w:szCs w:val="22"/>
          <w:vertAlign w:val="superscript"/>
        </w:rPr>
        <w:t>2</w:t>
      </w:r>
      <w:r w:rsidR="00B20E01" w:rsidRPr="00B20E01">
        <w:rPr>
          <w:rFonts w:ascii="Arial" w:hAnsi="Arial" w:cs="Arial"/>
          <w:sz w:val="22"/>
          <w:szCs w:val="22"/>
          <w:vertAlign w:val="subscript"/>
        </w:rPr>
        <w:t>pred</w:t>
      </w:r>
      <w:r w:rsidR="00B20E01" w:rsidRPr="00B20E01">
        <w:rPr>
          <w:rFonts w:ascii="Arial" w:hAnsi="Arial" w:cs="Arial"/>
          <w:sz w:val="22"/>
          <w:szCs w:val="22"/>
        </w:rPr>
        <w:t xml:space="preserve"> and median per-gene R</w:t>
      </w:r>
      <w:r w:rsidR="00B20E01" w:rsidRPr="00B20E01">
        <w:rPr>
          <w:rFonts w:ascii="Arial" w:hAnsi="Arial" w:cs="Arial"/>
          <w:sz w:val="22"/>
          <w:szCs w:val="22"/>
          <w:vertAlign w:val="superscript"/>
        </w:rPr>
        <w:t>2</w:t>
      </w:r>
      <w:r w:rsidR="00B20E01" w:rsidRPr="00B20E01">
        <w:rPr>
          <w:rFonts w:ascii="Arial" w:hAnsi="Arial" w:cs="Arial"/>
          <w:sz w:val="22"/>
          <w:szCs w:val="22"/>
          <w:vertAlign w:val="subscript"/>
        </w:rPr>
        <w:t>pred</w:t>
      </w:r>
      <w:r w:rsidR="00B20E01" w:rsidRPr="00B20E01">
        <w:rPr>
          <w:rFonts w:ascii="Arial" w:hAnsi="Arial" w:cs="Arial"/>
          <w:sz w:val="22"/>
          <w:szCs w:val="22"/>
        </w:rPr>
        <w:t xml:space="preserve"> for all genes or limited to those genes with edges in the prior. </w:t>
      </w:r>
      <w:r w:rsidR="00B20E01" w:rsidRPr="00B20E01">
        <w:rPr>
          <w:rFonts w:ascii="Arial" w:hAnsi="Arial" w:cs="Arial"/>
          <w:bCs/>
          <w:sz w:val="22"/>
          <w:szCs w:val="22"/>
        </w:rPr>
        <w:t xml:space="preserve">(B) </w:t>
      </w:r>
      <w:r w:rsidR="00B20E01" w:rsidRPr="00B20E01">
        <w:rPr>
          <w:rFonts w:ascii="Arial" w:hAnsi="Arial" w:cs="Arial"/>
          <w:sz w:val="22"/>
          <w:szCs w:val="22"/>
        </w:rPr>
        <w:t>The CDFs of per-gene R</w:t>
      </w:r>
      <w:r w:rsidR="00B20E01" w:rsidRPr="00B20E01">
        <w:rPr>
          <w:rFonts w:ascii="Arial" w:hAnsi="Arial" w:cs="Arial"/>
          <w:sz w:val="22"/>
          <w:szCs w:val="22"/>
          <w:vertAlign w:val="superscript"/>
        </w:rPr>
        <w:t>2</w:t>
      </w:r>
      <w:r w:rsidR="00B20E01" w:rsidRPr="00B20E01">
        <w:rPr>
          <w:rFonts w:ascii="Arial" w:hAnsi="Arial" w:cs="Arial"/>
          <w:sz w:val="22"/>
          <w:szCs w:val="22"/>
          <w:vertAlign w:val="subscript"/>
        </w:rPr>
        <w:t>pred</w:t>
      </w:r>
      <w:r w:rsidR="00B20E01" w:rsidRPr="00B20E01">
        <w:rPr>
          <w:rFonts w:ascii="Arial" w:hAnsi="Arial" w:cs="Arial"/>
          <w:sz w:val="22"/>
          <w:szCs w:val="22"/>
        </w:rPr>
        <w:t xml:space="preserve"> are plotted for average model size </w:t>
      </w:r>
      <w:r w:rsidR="00B20E01" w:rsidRPr="00B20E01">
        <w:rPr>
          <w:rFonts w:ascii="Arial" w:hAnsi="Arial" w:cs="Arial"/>
          <w:sz w:val="22"/>
          <w:szCs w:val="22"/>
        </w:rPr>
        <w:lastRenderedPageBreak/>
        <w:t xml:space="preserve">of 15 TFs/gene. Thus, in this context, evaluation of out-of-sample gene expression prediction can be accomplished using </w:t>
      </w:r>
      <w:r w:rsidR="00B20E01" w:rsidRPr="00B20E01">
        <w:rPr>
          <w:rFonts w:ascii="Arial" w:hAnsi="Arial" w:cs="Arial"/>
          <w:b/>
          <w:bCs/>
          <w:sz w:val="22"/>
          <w:szCs w:val="22"/>
        </w:rPr>
        <w:t>Equation 2</w:t>
      </w:r>
      <w:r w:rsidR="00B20E01" w:rsidRPr="00B20E01">
        <w:rPr>
          <w:rFonts w:ascii="Arial" w:hAnsi="Arial" w:cs="Arial"/>
          <w:bCs/>
          <w:sz w:val="22"/>
          <w:szCs w:val="22"/>
        </w:rPr>
        <w:t xml:space="preserve"> </w:t>
      </w:r>
      <w:r w:rsidR="00B20E01" w:rsidRPr="00B20E01">
        <w:rPr>
          <w:rFonts w:ascii="Arial" w:hAnsi="Arial" w:cs="Arial"/>
          <w:sz w:val="22"/>
          <w:szCs w:val="22"/>
        </w:rPr>
        <w:t xml:space="preserve">(versus the more computationally intensive </w:t>
      </w:r>
      <w:r w:rsidR="00B20E01" w:rsidRPr="00B20E01">
        <w:rPr>
          <w:rFonts w:ascii="Arial" w:hAnsi="Arial" w:cs="Arial"/>
          <w:b/>
          <w:bCs/>
          <w:sz w:val="22"/>
          <w:szCs w:val="22"/>
        </w:rPr>
        <w:t>Equation 6</w:t>
      </w:r>
      <w:r w:rsidR="00B20E01" w:rsidRPr="00B20E01">
        <w:rPr>
          <w:rFonts w:ascii="Arial" w:hAnsi="Arial" w:cs="Arial"/>
          <w:sz w:val="22"/>
          <w:szCs w:val="22"/>
        </w:rPr>
        <w:t>).</w:t>
      </w:r>
    </w:p>
    <w:p w14:paraId="6C13E342" w14:textId="117EE9AB"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3</w:t>
      </w:r>
      <w:r w:rsidR="00956F7E">
        <w:rPr>
          <w:rFonts w:ascii="Arial" w:hAnsi="Arial" w:cs="Arial"/>
          <w:b/>
          <w:sz w:val="22"/>
          <w:szCs w:val="22"/>
        </w:rPr>
        <w:t>3</w:t>
      </w:r>
      <w:r w:rsidR="000C0876" w:rsidRPr="0091488E">
        <w:rPr>
          <w:rFonts w:ascii="Arial" w:hAnsi="Arial" w:cs="Arial"/>
          <w:sz w:val="22"/>
          <w:szCs w:val="22"/>
        </w:rPr>
        <w:t xml:space="preserve">. </w:t>
      </w:r>
      <w:r w:rsidR="000C0876" w:rsidRPr="0091488E">
        <w:rPr>
          <w:rFonts w:ascii="Arial" w:hAnsi="Arial" w:cs="Arial"/>
          <w:b/>
          <w:sz w:val="22"/>
          <w:szCs w:val="22"/>
        </w:rPr>
        <w:t>Rank-combination of ATAC TRNs.</w:t>
      </w:r>
      <w:r w:rsidR="000C0876" w:rsidRPr="0091488E">
        <w:rPr>
          <w:rFonts w:ascii="Arial" w:hAnsi="Arial" w:cs="Arial"/>
          <w:sz w:val="22"/>
          <w:szCs w:val="22"/>
        </w:rPr>
        <w:t xml:space="preserve"> The precision-recall of individual ATAC TRNs (at moderate prior reinforcement “b=50” for prior-based and TF mRNA TFA) are compared to performance average- or maximum-combination of TRNs.  </w:t>
      </w:r>
    </w:p>
    <w:p w14:paraId="5202441A" w14:textId="77777777" w:rsidR="000C0876" w:rsidRPr="0091488E" w:rsidRDefault="000C0876" w:rsidP="000C0876">
      <w:pPr>
        <w:jc w:val="both"/>
        <w:rPr>
          <w:rFonts w:ascii="Arial" w:hAnsi="Arial" w:cs="Arial"/>
          <w:sz w:val="22"/>
          <w:szCs w:val="22"/>
        </w:rPr>
      </w:pPr>
    </w:p>
    <w:p w14:paraId="3BFB6D4A" w14:textId="71CECBED"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3</w:t>
      </w:r>
      <w:r w:rsidR="00956F7E">
        <w:rPr>
          <w:rFonts w:ascii="Arial" w:hAnsi="Arial" w:cs="Arial"/>
          <w:b/>
          <w:sz w:val="22"/>
          <w:szCs w:val="22"/>
        </w:rPr>
        <w:t>4</w:t>
      </w:r>
      <w:r w:rsidR="000C0876" w:rsidRPr="0091488E">
        <w:rPr>
          <w:rFonts w:ascii="Arial" w:hAnsi="Arial" w:cs="Arial"/>
          <w:sz w:val="22"/>
          <w:szCs w:val="22"/>
        </w:rPr>
        <w:t xml:space="preserve">. </w:t>
      </w:r>
      <w:r w:rsidR="000C0876" w:rsidRPr="0091488E">
        <w:rPr>
          <w:rFonts w:ascii="Arial" w:hAnsi="Arial" w:cs="Arial"/>
          <w:b/>
          <w:sz w:val="22"/>
          <w:szCs w:val="22"/>
        </w:rPr>
        <w:t>Rank-combination of TRNs from different priors.</w:t>
      </w:r>
      <w:r w:rsidR="000C0876" w:rsidRPr="0091488E">
        <w:rPr>
          <w:rFonts w:ascii="Arial" w:hAnsi="Arial" w:cs="Arial"/>
          <w:sz w:val="22"/>
          <w:szCs w:val="22"/>
        </w:rPr>
        <w:t xml:space="preserve"> The precision-recall of TRNs from individual priors and pairs of priors (at moderate prior reinforcement “b=50” for both prior-based and TF mRNA TFA) are compared, using </w:t>
      </w:r>
      <w:r w:rsidR="000C0876" w:rsidRPr="0091488E">
        <w:rPr>
          <w:rFonts w:ascii="Arial" w:hAnsi="Arial" w:cs="Arial"/>
          <w:b/>
          <w:sz w:val="22"/>
          <w:szCs w:val="22"/>
        </w:rPr>
        <w:t>(A)</w:t>
      </w:r>
      <w:r w:rsidR="000C0876" w:rsidRPr="0091488E">
        <w:rPr>
          <w:rFonts w:ascii="Arial" w:hAnsi="Arial" w:cs="Arial"/>
          <w:sz w:val="22"/>
          <w:szCs w:val="22"/>
        </w:rPr>
        <w:t xml:space="preserve"> maximum- or </w:t>
      </w:r>
      <w:r w:rsidR="000C0876" w:rsidRPr="0091488E">
        <w:rPr>
          <w:rFonts w:ascii="Arial" w:hAnsi="Arial" w:cs="Arial"/>
          <w:b/>
          <w:sz w:val="22"/>
          <w:szCs w:val="22"/>
        </w:rPr>
        <w:t>(B)</w:t>
      </w:r>
      <w:r w:rsidR="000C0876" w:rsidRPr="0091488E">
        <w:rPr>
          <w:rFonts w:ascii="Arial" w:hAnsi="Arial" w:cs="Arial"/>
          <w:sz w:val="22"/>
          <w:szCs w:val="22"/>
        </w:rPr>
        <w:t xml:space="preserve"> average-combination of TRNs. </w:t>
      </w:r>
    </w:p>
    <w:p w14:paraId="379C938A" w14:textId="77777777" w:rsidR="000C0876" w:rsidRPr="0091488E" w:rsidRDefault="000C0876" w:rsidP="000C0876">
      <w:pPr>
        <w:jc w:val="both"/>
        <w:rPr>
          <w:rFonts w:ascii="Arial" w:hAnsi="Arial" w:cs="Arial"/>
          <w:sz w:val="22"/>
          <w:szCs w:val="22"/>
        </w:rPr>
      </w:pPr>
    </w:p>
    <w:p w14:paraId="0CD4DEF1" w14:textId="2B8F9284" w:rsidR="000C0876" w:rsidRPr="0091488E" w:rsidRDefault="00473230" w:rsidP="000C0876">
      <w:pPr>
        <w:jc w:val="both"/>
        <w:rPr>
          <w:rFonts w:ascii="Arial" w:hAnsi="Arial" w:cs="Arial"/>
          <w:sz w:val="22"/>
          <w:szCs w:val="22"/>
        </w:rPr>
      </w:pPr>
      <w:r>
        <w:rPr>
          <w:rFonts w:ascii="Arial" w:hAnsi="Arial" w:cs="Arial"/>
          <w:b/>
          <w:sz w:val="22"/>
          <w:szCs w:val="22"/>
        </w:rPr>
        <w:t>Supplemental Fig. S</w:t>
      </w:r>
      <w:r w:rsidR="000C0876" w:rsidRPr="0091488E">
        <w:rPr>
          <w:rFonts w:ascii="Arial" w:hAnsi="Arial" w:cs="Arial"/>
          <w:b/>
          <w:sz w:val="22"/>
          <w:szCs w:val="22"/>
        </w:rPr>
        <w:t>3</w:t>
      </w:r>
      <w:r w:rsidR="00956F7E">
        <w:rPr>
          <w:rFonts w:ascii="Arial" w:hAnsi="Arial" w:cs="Arial"/>
          <w:b/>
          <w:sz w:val="22"/>
          <w:szCs w:val="22"/>
        </w:rPr>
        <w:t>5</w:t>
      </w:r>
      <w:r w:rsidR="000C0876" w:rsidRPr="0091488E">
        <w:rPr>
          <w:rFonts w:ascii="Arial" w:hAnsi="Arial" w:cs="Arial"/>
          <w:sz w:val="22"/>
          <w:szCs w:val="22"/>
        </w:rPr>
        <w:t xml:space="preserve">. </w:t>
      </w:r>
      <w:r w:rsidR="000C0876" w:rsidRPr="0091488E">
        <w:rPr>
          <w:rFonts w:ascii="Arial" w:hAnsi="Arial" w:cs="Arial"/>
          <w:b/>
          <w:sz w:val="22"/>
          <w:szCs w:val="22"/>
        </w:rPr>
        <w:t xml:space="preserve">Ranking of TF-TF Clusters. </w:t>
      </w:r>
      <w:r w:rsidR="000C0876" w:rsidRPr="0091488E">
        <w:rPr>
          <w:rFonts w:ascii="Arial" w:hAnsi="Arial" w:cs="Arial"/>
          <w:sz w:val="22"/>
          <w:szCs w:val="22"/>
        </w:rPr>
        <w:t xml:space="preserve">Heuristic significance estimates versus cluster size for TF-TF modules built from </w:t>
      </w:r>
      <w:r w:rsidR="000C0876" w:rsidRPr="0091488E">
        <w:rPr>
          <w:rFonts w:ascii="Arial" w:hAnsi="Arial" w:cs="Arial"/>
          <w:b/>
          <w:sz w:val="22"/>
          <w:szCs w:val="22"/>
        </w:rPr>
        <w:t>(A)</w:t>
      </w:r>
      <w:r w:rsidR="000C0876" w:rsidRPr="0091488E">
        <w:rPr>
          <w:rFonts w:ascii="Arial" w:hAnsi="Arial" w:cs="Arial"/>
          <w:sz w:val="22"/>
          <w:szCs w:val="22"/>
        </w:rPr>
        <w:t xml:space="preserve"> positive and </w:t>
      </w:r>
      <w:r w:rsidR="000C0876" w:rsidRPr="0091488E">
        <w:rPr>
          <w:rFonts w:ascii="Arial" w:hAnsi="Arial" w:cs="Arial"/>
          <w:b/>
          <w:sz w:val="22"/>
          <w:szCs w:val="22"/>
        </w:rPr>
        <w:t>(B)</w:t>
      </w:r>
      <w:r w:rsidR="000C0876" w:rsidRPr="0091488E">
        <w:rPr>
          <w:rFonts w:ascii="Arial" w:hAnsi="Arial" w:cs="Arial"/>
          <w:sz w:val="22"/>
          <w:szCs w:val="22"/>
        </w:rPr>
        <w:t xml:space="preserve"> negative TF-TF edge overlaps.</w:t>
      </w:r>
      <w:r w:rsidR="009D1233">
        <w:rPr>
          <w:rFonts w:ascii="Arial" w:hAnsi="Arial" w:cs="Arial"/>
          <w:sz w:val="22"/>
          <w:szCs w:val="22"/>
        </w:rPr>
        <w:t xml:space="preserve"> Results are shown for the “final” ChIP+KO+ATAC TRN.</w:t>
      </w:r>
    </w:p>
    <w:p w14:paraId="5D7973CE" w14:textId="77777777" w:rsidR="000C0876" w:rsidRPr="0091488E" w:rsidRDefault="000C0876" w:rsidP="000C0876">
      <w:pPr>
        <w:jc w:val="both"/>
        <w:rPr>
          <w:rFonts w:ascii="Arial" w:hAnsi="Arial" w:cs="Arial"/>
          <w:sz w:val="22"/>
          <w:szCs w:val="22"/>
        </w:rPr>
      </w:pPr>
    </w:p>
    <w:p w14:paraId="175C7EC7" w14:textId="0FB6E42E" w:rsidR="000C0876" w:rsidRPr="0091488E" w:rsidRDefault="0091488E" w:rsidP="000C0876">
      <w:pPr>
        <w:jc w:val="both"/>
        <w:outlineLvl w:val="0"/>
        <w:rPr>
          <w:rFonts w:ascii="Arial" w:hAnsi="Arial" w:cs="Arial"/>
          <w:b/>
          <w:sz w:val="22"/>
          <w:szCs w:val="22"/>
          <w:u w:val="single"/>
        </w:rPr>
      </w:pPr>
      <w:r w:rsidRPr="0091488E">
        <w:rPr>
          <w:rFonts w:ascii="Arial" w:hAnsi="Arial" w:cs="Arial"/>
          <w:b/>
          <w:sz w:val="22"/>
          <w:szCs w:val="22"/>
          <w:u w:val="single"/>
        </w:rPr>
        <w:t>Supplemental</w:t>
      </w:r>
      <w:r w:rsidR="000C0876" w:rsidRPr="0091488E">
        <w:rPr>
          <w:rFonts w:ascii="Arial" w:hAnsi="Arial" w:cs="Arial"/>
          <w:b/>
          <w:sz w:val="22"/>
          <w:szCs w:val="22"/>
          <w:u w:val="single"/>
        </w:rPr>
        <w:t xml:space="preserve"> Table Legends</w:t>
      </w:r>
    </w:p>
    <w:p w14:paraId="52786312" w14:textId="77777777" w:rsidR="000C0876" w:rsidRPr="00D72ADD" w:rsidRDefault="000C0876" w:rsidP="000C0876">
      <w:pPr>
        <w:spacing w:before="240"/>
        <w:jc w:val="both"/>
        <w:rPr>
          <w:rFonts w:ascii="Arial" w:hAnsi="Arial" w:cs="Arial"/>
          <w:sz w:val="22"/>
          <w:szCs w:val="22"/>
        </w:rPr>
      </w:pPr>
      <w:r w:rsidRPr="0091488E">
        <w:rPr>
          <w:rFonts w:ascii="Arial" w:hAnsi="Arial" w:cs="Arial"/>
          <w:b/>
          <w:sz w:val="22"/>
          <w:szCs w:val="22"/>
        </w:rPr>
        <w:t>Table S1.</w:t>
      </w:r>
      <w:r w:rsidRPr="0091488E">
        <w:rPr>
          <w:rFonts w:ascii="Arial" w:hAnsi="Arial" w:cs="Arial"/>
          <w:sz w:val="22"/>
          <w:szCs w:val="22"/>
        </w:rPr>
        <w:t xml:space="preserve"> </w:t>
      </w:r>
      <w:r w:rsidRPr="0091488E">
        <w:rPr>
          <w:rFonts w:ascii="Arial" w:hAnsi="Arial" w:cs="Arial"/>
          <w:b/>
          <w:sz w:val="22"/>
          <w:szCs w:val="22"/>
        </w:rPr>
        <w:t>Statistics on priors and gold standards. (A)</w:t>
      </w:r>
      <w:r w:rsidRPr="0091488E">
        <w:rPr>
          <w:rFonts w:ascii="Arial" w:hAnsi="Arial" w:cs="Arial"/>
          <w:sz w:val="22"/>
          <w:szCs w:val="22"/>
        </w:rPr>
        <w:t xml:space="preserve"> and </w:t>
      </w:r>
      <w:r w:rsidRPr="0091488E">
        <w:rPr>
          <w:rFonts w:ascii="Arial" w:hAnsi="Arial" w:cs="Arial"/>
          <w:b/>
          <w:sz w:val="22"/>
          <w:szCs w:val="22"/>
        </w:rPr>
        <w:t>(B)</w:t>
      </w:r>
      <w:r w:rsidRPr="0091488E">
        <w:rPr>
          <w:rFonts w:ascii="Arial" w:hAnsi="Arial" w:cs="Arial"/>
          <w:sz w:val="22"/>
          <w:szCs w:val="22"/>
        </w:rPr>
        <w:t xml:space="preserve"> were generated using the initial and updated mouse TF lists, respecti</w:t>
      </w:r>
      <w:r w:rsidRPr="00D72ADD">
        <w:rPr>
          <w:rFonts w:ascii="Arial" w:hAnsi="Arial" w:cs="Arial"/>
          <w:sz w:val="22"/>
          <w:szCs w:val="22"/>
        </w:rPr>
        <w:t xml:space="preserve">vely (see </w:t>
      </w:r>
      <w:r w:rsidRPr="00D72ADD">
        <w:rPr>
          <w:rFonts w:ascii="Arial" w:hAnsi="Arial" w:cs="Arial"/>
          <w:b/>
          <w:sz w:val="22"/>
          <w:szCs w:val="22"/>
        </w:rPr>
        <w:t>Methods</w:t>
      </w:r>
      <w:r w:rsidRPr="00D72ADD">
        <w:rPr>
          <w:rFonts w:ascii="Arial" w:hAnsi="Arial" w:cs="Arial"/>
          <w:sz w:val="22"/>
          <w:szCs w:val="22"/>
        </w:rPr>
        <w:t>).</w:t>
      </w:r>
    </w:p>
    <w:p w14:paraId="6F7D8E04" w14:textId="77777777" w:rsidR="000C0876" w:rsidRPr="0091488E" w:rsidRDefault="000C0876" w:rsidP="000C0876">
      <w:pPr>
        <w:jc w:val="both"/>
        <w:rPr>
          <w:rFonts w:ascii="Arial" w:hAnsi="Arial" w:cs="Arial"/>
          <w:sz w:val="22"/>
          <w:szCs w:val="22"/>
        </w:rPr>
      </w:pPr>
    </w:p>
    <w:p w14:paraId="3EBE1F8C" w14:textId="77777777" w:rsidR="000C0876" w:rsidRPr="0091488E" w:rsidRDefault="000C0876" w:rsidP="000C0876">
      <w:pPr>
        <w:jc w:val="both"/>
        <w:rPr>
          <w:rFonts w:ascii="Arial" w:hAnsi="Arial" w:cs="Arial"/>
          <w:sz w:val="22"/>
          <w:szCs w:val="22"/>
        </w:rPr>
      </w:pPr>
      <w:r w:rsidRPr="0091488E">
        <w:rPr>
          <w:rFonts w:ascii="Arial" w:hAnsi="Arial" w:cs="Arial"/>
          <w:b/>
          <w:sz w:val="22"/>
          <w:szCs w:val="22"/>
        </w:rPr>
        <w:t xml:space="preserve">Table S2. Normalized gene expression matrix. </w:t>
      </w:r>
      <w:r w:rsidRPr="0091488E">
        <w:rPr>
          <w:rFonts w:ascii="Arial" w:hAnsi="Arial" w:cs="Arial"/>
          <w:sz w:val="22"/>
          <w:szCs w:val="22"/>
        </w:rPr>
        <w:t xml:space="preserve">Data were normalized as described in </w:t>
      </w:r>
      <w:r w:rsidRPr="00D72ADD">
        <w:rPr>
          <w:rFonts w:ascii="Arial" w:hAnsi="Arial" w:cs="Arial"/>
          <w:b/>
          <w:sz w:val="22"/>
          <w:szCs w:val="22"/>
        </w:rPr>
        <w:t>Methods</w:t>
      </w:r>
      <w:r w:rsidRPr="00D72ADD">
        <w:rPr>
          <w:rFonts w:ascii="Arial" w:hAnsi="Arial" w:cs="Arial"/>
          <w:sz w:val="22"/>
          <w:szCs w:val="22"/>
        </w:rPr>
        <w:t>, and final units</w:t>
      </w:r>
      <w:r w:rsidRPr="0091488E">
        <w:rPr>
          <w:rFonts w:ascii="Arial" w:hAnsi="Arial" w:cs="Arial"/>
          <w:sz w:val="22"/>
          <w:szCs w:val="22"/>
        </w:rPr>
        <w:t xml:space="preserve"> are DESeq2 VSD counts. </w:t>
      </w:r>
    </w:p>
    <w:p w14:paraId="1ECD0D83" w14:textId="77777777" w:rsidR="000C0876" w:rsidRPr="0091488E" w:rsidRDefault="000C0876" w:rsidP="000C0876">
      <w:pPr>
        <w:jc w:val="both"/>
        <w:rPr>
          <w:rFonts w:ascii="Arial" w:hAnsi="Arial" w:cs="Arial"/>
          <w:b/>
          <w:sz w:val="22"/>
          <w:szCs w:val="22"/>
        </w:rPr>
      </w:pPr>
    </w:p>
    <w:p w14:paraId="3B8C114A" w14:textId="77777777" w:rsidR="000C0876" w:rsidRPr="0091488E" w:rsidRDefault="000C0876" w:rsidP="000C0876">
      <w:pPr>
        <w:jc w:val="both"/>
        <w:rPr>
          <w:rFonts w:ascii="Arial" w:hAnsi="Arial" w:cs="Arial"/>
          <w:sz w:val="22"/>
          <w:szCs w:val="22"/>
        </w:rPr>
      </w:pPr>
      <w:r w:rsidRPr="0091488E">
        <w:rPr>
          <w:rFonts w:ascii="Arial" w:hAnsi="Arial" w:cs="Arial"/>
          <w:b/>
          <w:sz w:val="22"/>
          <w:szCs w:val="22"/>
        </w:rPr>
        <w:t xml:space="preserve">Table S3. Target gene and candidate regulator lists. </w:t>
      </w:r>
    </w:p>
    <w:p w14:paraId="07800E4A" w14:textId="77777777" w:rsidR="000C0876" w:rsidRPr="0091488E" w:rsidRDefault="000C0876" w:rsidP="000C0876">
      <w:pPr>
        <w:jc w:val="both"/>
        <w:rPr>
          <w:rFonts w:ascii="Arial" w:hAnsi="Arial" w:cs="Arial"/>
          <w:b/>
          <w:sz w:val="22"/>
          <w:szCs w:val="22"/>
        </w:rPr>
      </w:pPr>
    </w:p>
    <w:p w14:paraId="56B0EE85" w14:textId="77777777" w:rsidR="000C0876" w:rsidRPr="0091488E" w:rsidRDefault="000C0876" w:rsidP="000C0876">
      <w:pPr>
        <w:jc w:val="both"/>
        <w:rPr>
          <w:rFonts w:ascii="Arial" w:hAnsi="Arial" w:cs="Arial"/>
          <w:sz w:val="22"/>
          <w:szCs w:val="22"/>
        </w:rPr>
      </w:pPr>
      <w:r w:rsidRPr="0091488E">
        <w:rPr>
          <w:rFonts w:ascii="Arial" w:hAnsi="Arial" w:cs="Arial"/>
          <w:b/>
          <w:sz w:val="22"/>
          <w:szCs w:val="22"/>
        </w:rPr>
        <w:t xml:space="preserve">Table S4. Lists of sample names corresponding to each leave-out set. </w:t>
      </w:r>
    </w:p>
    <w:p w14:paraId="5CBB42A6" w14:textId="77777777" w:rsidR="000C0876" w:rsidRPr="0091488E" w:rsidRDefault="000C0876" w:rsidP="000C0876">
      <w:pPr>
        <w:jc w:val="both"/>
        <w:rPr>
          <w:rFonts w:ascii="Arial" w:hAnsi="Arial" w:cs="Arial"/>
          <w:b/>
          <w:sz w:val="22"/>
          <w:szCs w:val="22"/>
        </w:rPr>
      </w:pPr>
    </w:p>
    <w:p w14:paraId="16F8CE72" w14:textId="77777777" w:rsidR="000C0876" w:rsidRPr="0091488E" w:rsidRDefault="000C0876" w:rsidP="000C0876">
      <w:pPr>
        <w:jc w:val="both"/>
        <w:rPr>
          <w:rFonts w:ascii="Arial" w:hAnsi="Arial" w:cs="Arial"/>
          <w:sz w:val="22"/>
          <w:szCs w:val="22"/>
        </w:rPr>
      </w:pPr>
      <w:r w:rsidRPr="0091488E">
        <w:rPr>
          <w:rFonts w:ascii="Arial" w:hAnsi="Arial" w:cs="Arial"/>
          <w:b/>
          <w:sz w:val="22"/>
          <w:szCs w:val="22"/>
        </w:rPr>
        <w:t>Table S5. Final KO+ChIP+ATAC and ATAC-only TRNs.</w:t>
      </w:r>
      <w:r w:rsidRPr="0091488E">
        <w:rPr>
          <w:rFonts w:ascii="Arial" w:hAnsi="Arial" w:cs="Arial"/>
          <w:sz w:val="22"/>
          <w:szCs w:val="22"/>
        </w:rPr>
        <w:t xml:space="preserve"> </w:t>
      </w:r>
    </w:p>
    <w:p w14:paraId="6214B3B8" w14:textId="77777777" w:rsidR="000C0876" w:rsidRPr="0091488E" w:rsidRDefault="000C0876" w:rsidP="000C0876">
      <w:pPr>
        <w:jc w:val="both"/>
        <w:rPr>
          <w:rFonts w:ascii="Arial" w:hAnsi="Arial" w:cs="Arial"/>
          <w:b/>
          <w:sz w:val="22"/>
          <w:szCs w:val="22"/>
        </w:rPr>
      </w:pPr>
    </w:p>
    <w:p w14:paraId="4F3F7E8C" w14:textId="77777777" w:rsidR="000C0876" w:rsidRPr="0091488E" w:rsidRDefault="000C0876" w:rsidP="000C0876">
      <w:pPr>
        <w:jc w:val="both"/>
        <w:rPr>
          <w:rFonts w:ascii="Arial" w:hAnsi="Arial" w:cs="Arial"/>
          <w:b/>
          <w:sz w:val="22"/>
          <w:szCs w:val="22"/>
        </w:rPr>
      </w:pPr>
      <w:r w:rsidRPr="0091488E">
        <w:rPr>
          <w:rFonts w:ascii="Arial" w:hAnsi="Arial" w:cs="Arial"/>
          <w:b/>
          <w:sz w:val="22"/>
          <w:szCs w:val="22"/>
        </w:rPr>
        <w:t>Table S6. TF target enrichment in GWAS phenotype genes.</w:t>
      </w:r>
    </w:p>
    <w:p w14:paraId="14CBB6C2" w14:textId="77777777" w:rsidR="00464860" w:rsidRPr="0091488E" w:rsidRDefault="00DF407F">
      <w:pPr>
        <w:rPr>
          <w:rFonts w:ascii="Arial" w:hAnsi="Arial" w:cs="Arial"/>
          <w:sz w:val="22"/>
          <w:szCs w:val="22"/>
        </w:rPr>
      </w:pPr>
    </w:p>
    <w:p w14:paraId="7849AB5B" w14:textId="7494E81E" w:rsidR="00D43D49" w:rsidRDefault="00026F17">
      <w:pPr>
        <w:rPr>
          <w:rFonts w:ascii="Arial" w:hAnsi="Arial" w:cs="Arial"/>
          <w:sz w:val="22"/>
          <w:szCs w:val="22"/>
        </w:rPr>
      </w:pPr>
      <w:r>
        <w:rPr>
          <w:rFonts w:ascii="Arial" w:hAnsi="Arial" w:cs="Arial"/>
          <w:b/>
          <w:sz w:val="22"/>
          <w:szCs w:val="22"/>
          <w:u w:val="single"/>
        </w:rPr>
        <w:t>Supplemental Codeb</w:t>
      </w:r>
      <w:r w:rsidR="0091488E" w:rsidRPr="0091488E">
        <w:rPr>
          <w:rFonts w:ascii="Arial" w:hAnsi="Arial" w:cs="Arial"/>
          <w:b/>
          <w:sz w:val="22"/>
          <w:szCs w:val="22"/>
          <w:u w:val="single"/>
        </w:rPr>
        <w:t>ases</w:t>
      </w:r>
    </w:p>
    <w:p w14:paraId="3D3FB30D" w14:textId="77777777" w:rsidR="00D43D49" w:rsidRDefault="00D43D49">
      <w:pPr>
        <w:rPr>
          <w:rFonts w:ascii="Arial" w:hAnsi="Arial" w:cs="Arial"/>
          <w:sz w:val="22"/>
          <w:szCs w:val="22"/>
        </w:rPr>
      </w:pPr>
    </w:p>
    <w:p w14:paraId="468FD062" w14:textId="29111A16" w:rsidR="00D43D49" w:rsidRDefault="00D43D49">
      <w:pPr>
        <w:rPr>
          <w:rFonts w:ascii="Arial" w:hAnsi="Arial" w:cs="Arial"/>
          <w:sz w:val="22"/>
          <w:szCs w:val="22"/>
        </w:rPr>
      </w:pPr>
      <w:r>
        <w:rPr>
          <w:rFonts w:ascii="Arial" w:hAnsi="Arial" w:cs="Arial"/>
          <w:b/>
          <w:sz w:val="22"/>
          <w:szCs w:val="22"/>
        </w:rPr>
        <w:t>infTRN_lassoStARS.</w:t>
      </w:r>
      <w:r>
        <w:rPr>
          <w:rFonts w:ascii="Arial" w:hAnsi="Arial" w:cs="Arial"/>
          <w:sz w:val="22"/>
          <w:szCs w:val="22"/>
        </w:rPr>
        <w:t xml:space="preserve"> Workflows and codebase for inference of transcriptional regulatory network inference from gene expression and prior information (e.g., ATAC-seq). The codebase is hosted at </w:t>
      </w:r>
      <w:r w:rsidRPr="00D43D49">
        <w:rPr>
          <w:rFonts w:ascii="Arial" w:hAnsi="Arial" w:cs="Arial"/>
          <w:sz w:val="22"/>
          <w:szCs w:val="22"/>
          <w:u w:val="single"/>
        </w:rPr>
        <w:t>https://github.com/emiraldi/infTRN_lassoStARS</w:t>
      </w:r>
      <w:r>
        <w:rPr>
          <w:rFonts w:ascii="Arial" w:hAnsi="Arial" w:cs="Arial"/>
          <w:sz w:val="22"/>
          <w:szCs w:val="22"/>
        </w:rPr>
        <w:t>.</w:t>
      </w:r>
    </w:p>
    <w:p w14:paraId="4C7692AD" w14:textId="77777777" w:rsidR="00D43D49" w:rsidRDefault="00D43D49">
      <w:pPr>
        <w:rPr>
          <w:rFonts w:ascii="Arial" w:hAnsi="Arial" w:cs="Arial"/>
          <w:sz w:val="22"/>
          <w:szCs w:val="22"/>
        </w:rPr>
      </w:pPr>
    </w:p>
    <w:p w14:paraId="7BE5C5BE" w14:textId="10228D1F" w:rsidR="00D43D49" w:rsidRPr="00D43D49" w:rsidRDefault="00D43D49">
      <w:pPr>
        <w:rPr>
          <w:rFonts w:ascii="Arial" w:hAnsi="Arial" w:cs="Arial"/>
          <w:sz w:val="22"/>
          <w:szCs w:val="22"/>
        </w:rPr>
      </w:pPr>
      <w:r>
        <w:rPr>
          <w:rFonts w:ascii="Arial" w:hAnsi="Arial" w:cs="Arial"/>
          <w:b/>
          <w:sz w:val="22"/>
          <w:szCs w:val="22"/>
        </w:rPr>
        <w:t xml:space="preserve">jp_gene_viz. </w:t>
      </w:r>
      <w:r>
        <w:rPr>
          <w:rFonts w:ascii="Arial" w:hAnsi="Arial" w:cs="Arial"/>
          <w:sz w:val="22"/>
          <w:szCs w:val="22"/>
        </w:rPr>
        <w:t>iPython Jupyter notebook</w:t>
      </w:r>
      <w:r w:rsidR="004E461C">
        <w:rPr>
          <w:rFonts w:ascii="Arial" w:hAnsi="Arial" w:cs="Arial"/>
          <w:sz w:val="22"/>
          <w:szCs w:val="22"/>
        </w:rPr>
        <w:t xml:space="preserve"> codebase for</w:t>
      </w:r>
      <w:r w:rsidR="00CD06CF">
        <w:rPr>
          <w:rFonts w:ascii="Arial" w:hAnsi="Arial" w:cs="Arial"/>
          <w:sz w:val="22"/>
          <w:szCs w:val="22"/>
        </w:rPr>
        <w:t xml:space="preserve"> interactive</w:t>
      </w:r>
      <w:r w:rsidR="004E461C">
        <w:rPr>
          <w:rFonts w:ascii="Arial" w:hAnsi="Arial" w:cs="Arial"/>
          <w:sz w:val="22"/>
          <w:szCs w:val="22"/>
        </w:rPr>
        <w:t xml:space="preserve"> visualization of transcriptional regulatory networks and genomics data. The codebase is available from</w:t>
      </w:r>
      <w:r>
        <w:rPr>
          <w:rFonts w:ascii="Arial" w:hAnsi="Arial" w:cs="Arial"/>
          <w:sz w:val="22"/>
          <w:szCs w:val="22"/>
        </w:rPr>
        <w:t xml:space="preserve"> </w:t>
      </w:r>
      <w:r w:rsidR="004E461C" w:rsidRPr="004E461C">
        <w:rPr>
          <w:rFonts w:ascii="Arial" w:hAnsi="Arial" w:cs="Arial"/>
          <w:sz w:val="22"/>
          <w:szCs w:val="22"/>
          <w:u w:val="single"/>
        </w:rPr>
        <w:t>https://github.com/simonsfoundation/jp_gene_viz</w:t>
      </w:r>
      <w:r w:rsidR="004E461C">
        <w:rPr>
          <w:rFonts w:ascii="Arial" w:hAnsi="Arial" w:cs="Arial"/>
          <w:sz w:val="22"/>
          <w:szCs w:val="22"/>
        </w:rPr>
        <w:t>.</w:t>
      </w:r>
    </w:p>
    <w:p w14:paraId="163A177F" w14:textId="77777777" w:rsidR="00D43D49" w:rsidRPr="0091488E" w:rsidRDefault="00D43D49">
      <w:pPr>
        <w:rPr>
          <w:rFonts w:ascii="Arial" w:hAnsi="Arial" w:cs="Arial"/>
          <w:sz w:val="22"/>
          <w:szCs w:val="22"/>
        </w:rPr>
      </w:pPr>
    </w:p>
    <w:p w14:paraId="08D6F7D7" w14:textId="65926EAE" w:rsidR="0091488E" w:rsidRDefault="00AD1062">
      <w:pPr>
        <w:rPr>
          <w:rFonts w:ascii="Arial" w:hAnsi="Arial" w:cs="Arial"/>
          <w:sz w:val="22"/>
          <w:szCs w:val="22"/>
        </w:rPr>
      </w:pPr>
      <w:r>
        <w:rPr>
          <w:rFonts w:ascii="Arial" w:hAnsi="Arial" w:cs="Arial"/>
          <w:b/>
          <w:sz w:val="22"/>
          <w:szCs w:val="22"/>
        </w:rPr>
        <w:t>Th17</w:t>
      </w:r>
      <w:r w:rsidR="00D43D49">
        <w:rPr>
          <w:rFonts w:ascii="Arial" w:hAnsi="Arial" w:cs="Arial"/>
          <w:b/>
          <w:sz w:val="22"/>
          <w:szCs w:val="22"/>
        </w:rPr>
        <w:t>_TRN_Networks</w:t>
      </w:r>
      <w:r w:rsidR="004E461C">
        <w:rPr>
          <w:rFonts w:ascii="Arial" w:hAnsi="Arial" w:cs="Arial"/>
          <w:b/>
          <w:sz w:val="22"/>
          <w:szCs w:val="22"/>
        </w:rPr>
        <w:t xml:space="preserve">. </w:t>
      </w:r>
      <w:r w:rsidR="004E461C">
        <w:rPr>
          <w:rFonts w:ascii="Arial" w:hAnsi="Arial" w:cs="Arial"/>
          <w:sz w:val="22"/>
          <w:szCs w:val="22"/>
        </w:rPr>
        <w:t>The iPython Jupyter notebooks integrating the 36 TRNs, including final ATAC+KO+ChIP as well as ATAC-only Th17 TRNs, for interactive visualization. Notebooks and networks are available from</w:t>
      </w:r>
      <w:r w:rsidR="00D43D49">
        <w:rPr>
          <w:rFonts w:ascii="Arial" w:hAnsi="Arial" w:cs="Arial"/>
          <w:sz w:val="22"/>
          <w:szCs w:val="22"/>
        </w:rPr>
        <w:t xml:space="preserve"> </w:t>
      </w:r>
      <w:r w:rsidR="004E461C" w:rsidRPr="004E461C">
        <w:rPr>
          <w:rFonts w:ascii="Arial" w:hAnsi="Arial" w:cs="Arial"/>
          <w:sz w:val="22"/>
          <w:szCs w:val="22"/>
          <w:u w:val="single"/>
        </w:rPr>
        <w:t>https://github.com/simonsfoundation/Th17_TRN_Networks</w:t>
      </w:r>
      <w:r w:rsidR="004E461C">
        <w:rPr>
          <w:rFonts w:ascii="Arial" w:hAnsi="Arial" w:cs="Arial"/>
          <w:sz w:val="22"/>
          <w:szCs w:val="22"/>
        </w:rPr>
        <w:t>.</w:t>
      </w:r>
    </w:p>
    <w:p w14:paraId="3DACE419" w14:textId="2CB77996" w:rsidR="009E17FE" w:rsidRDefault="009E17FE">
      <w:pPr>
        <w:rPr>
          <w:rFonts w:ascii="Arial" w:hAnsi="Arial" w:cs="Arial"/>
          <w:sz w:val="22"/>
          <w:szCs w:val="22"/>
        </w:rPr>
      </w:pPr>
    </w:p>
    <w:p w14:paraId="09D335B2" w14:textId="03BA903A" w:rsidR="009E17FE" w:rsidRDefault="009E17FE" w:rsidP="009E17FE">
      <w:pPr>
        <w:rPr>
          <w:rFonts w:ascii="Arial" w:hAnsi="Arial" w:cs="Arial"/>
          <w:b/>
          <w:sz w:val="22"/>
          <w:szCs w:val="22"/>
          <w:u w:val="single"/>
        </w:rPr>
      </w:pPr>
      <w:r>
        <w:rPr>
          <w:rFonts w:ascii="Arial" w:hAnsi="Arial" w:cs="Arial"/>
          <w:b/>
          <w:sz w:val="22"/>
          <w:szCs w:val="22"/>
          <w:u w:val="single"/>
        </w:rPr>
        <w:t>Supplemental References</w:t>
      </w:r>
    </w:p>
    <w:p w14:paraId="273BB8BE" w14:textId="392B294A" w:rsidR="009E17FE" w:rsidRDefault="009E17FE" w:rsidP="009E17FE">
      <w:pPr>
        <w:rPr>
          <w:rFonts w:ascii="Arial" w:hAnsi="Arial" w:cs="Arial"/>
          <w:sz w:val="22"/>
          <w:szCs w:val="22"/>
        </w:rPr>
      </w:pPr>
    </w:p>
    <w:p w14:paraId="1107189A" w14:textId="42082738" w:rsidR="008460C9" w:rsidRPr="008460C9" w:rsidRDefault="009E17FE" w:rsidP="008460C9">
      <w:pPr>
        <w:widowControl w:val="0"/>
        <w:autoSpaceDE w:val="0"/>
        <w:autoSpaceDN w:val="0"/>
        <w:adjustRightInd w:val="0"/>
        <w:ind w:left="480" w:hanging="480"/>
        <w:rPr>
          <w:rFonts w:ascii="Arial" w:hAnsi="Arial" w:cs="Arial"/>
          <w:noProof/>
          <w:sz w:val="22"/>
        </w:rPr>
      </w:pPr>
      <w:r>
        <w:rPr>
          <w:rFonts w:ascii="Arial" w:hAnsi="Arial" w:cs="Arial"/>
          <w:b/>
          <w:sz w:val="22"/>
          <w:szCs w:val="22"/>
        </w:rPr>
        <w:fldChar w:fldCharType="begin" w:fldLock="1"/>
      </w:r>
      <w:r>
        <w:rPr>
          <w:rFonts w:ascii="Arial" w:hAnsi="Arial" w:cs="Arial"/>
          <w:b/>
          <w:sz w:val="22"/>
          <w:szCs w:val="22"/>
        </w:rPr>
        <w:instrText xml:space="preserve">ADDIN Mendeley Bibliography CSL_BIBLIOGRAPHY </w:instrText>
      </w:r>
      <w:r>
        <w:rPr>
          <w:rFonts w:ascii="Arial" w:hAnsi="Arial" w:cs="Arial"/>
          <w:b/>
          <w:sz w:val="22"/>
          <w:szCs w:val="22"/>
        </w:rPr>
        <w:fldChar w:fldCharType="separate"/>
      </w:r>
      <w:r w:rsidR="008460C9" w:rsidRPr="008460C9">
        <w:rPr>
          <w:rFonts w:ascii="Arial" w:hAnsi="Arial" w:cs="Arial"/>
          <w:noProof/>
          <w:sz w:val="22"/>
        </w:rPr>
        <w:t xml:space="preserve">Bonneau R, Reiss DJ, Shannon P, Facciotti M, Hood L, Baliga NS, Thorsson V. 2006. The Inferelator: an algorithm for learning parsimonious regulatory networks from systems-biology data sets de novo. </w:t>
      </w:r>
      <w:r w:rsidR="008460C9" w:rsidRPr="008460C9">
        <w:rPr>
          <w:rFonts w:ascii="Arial" w:hAnsi="Arial" w:cs="Arial"/>
          <w:i/>
          <w:iCs/>
          <w:noProof/>
          <w:sz w:val="22"/>
        </w:rPr>
        <w:t>Genome Biol</w:t>
      </w:r>
      <w:r w:rsidR="008460C9" w:rsidRPr="008460C9">
        <w:rPr>
          <w:rFonts w:ascii="Arial" w:hAnsi="Arial" w:cs="Arial"/>
          <w:noProof/>
          <w:sz w:val="22"/>
        </w:rPr>
        <w:t xml:space="preserve"> </w:t>
      </w:r>
      <w:r w:rsidR="008460C9" w:rsidRPr="008460C9">
        <w:rPr>
          <w:rFonts w:ascii="Arial" w:hAnsi="Arial" w:cs="Arial"/>
          <w:b/>
          <w:bCs/>
          <w:noProof/>
          <w:sz w:val="22"/>
        </w:rPr>
        <w:t>7</w:t>
      </w:r>
      <w:r w:rsidR="008460C9" w:rsidRPr="008460C9">
        <w:rPr>
          <w:rFonts w:ascii="Arial" w:hAnsi="Arial" w:cs="Arial"/>
          <w:noProof/>
          <w:sz w:val="22"/>
        </w:rPr>
        <w:t>: 1.</w:t>
      </w:r>
    </w:p>
    <w:p w14:paraId="58478018"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Castro DM, Veaux N de, Miraldi ER, Bonneau R. 2018. Multi-study inference of regulatory </w:t>
      </w:r>
      <w:r w:rsidRPr="008460C9">
        <w:rPr>
          <w:rFonts w:ascii="Arial" w:hAnsi="Arial" w:cs="Arial"/>
          <w:noProof/>
          <w:sz w:val="22"/>
        </w:rPr>
        <w:lastRenderedPageBreak/>
        <w:t xml:space="preserve">networks for more accurate models of gene regulation. </w:t>
      </w:r>
      <w:r w:rsidRPr="008460C9">
        <w:rPr>
          <w:rFonts w:ascii="Arial" w:hAnsi="Arial" w:cs="Arial"/>
          <w:i/>
          <w:iCs/>
          <w:noProof/>
          <w:sz w:val="22"/>
        </w:rPr>
        <w:t>bioRxiv</w:t>
      </w:r>
      <w:r w:rsidRPr="008460C9">
        <w:rPr>
          <w:rFonts w:ascii="Arial" w:hAnsi="Arial" w:cs="Arial"/>
          <w:noProof/>
          <w:sz w:val="22"/>
        </w:rPr>
        <w:t xml:space="preserve"> 279224.</w:t>
      </w:r>
    </w:p>
    <w:p w14:paraId="4A0A02BE"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Ciofani M, Madar A, Galan C, Sellars M, Mace K, Pauli F, Agarwal A, Huang W, Parkurst CN, Muratet M, et al. 2012. A validated regulatory network for Th17 cell specification. </w:t>
      </w:r>
      <w:r w:rsidRPr="008460C9">
        <w:rPr>
          <w:rFonts w:ascii="Arial" w:hAnsi="Arial" w:cs="Arial"/>
          <w:i/>
          <w:iCs/>
          <w:noProof/>
          <w:sz w:val="22"/>
        </w:rPr>
        <w:t>Cell</w:t>
      </w:r>
      <w:r w:rsidRPr="008460C9">
        <w:rPr>
          <w:rFonts w:ascii="Arial" w:hAnsi="Arial" w:cs="Arial"/>
          <w:noProof/>
          <w:sz w:val="22"/>
        </w:rPr>
        <w:t xml:space="preserve"> </w:t>
      </w:r>
      <w:r w:rsidRPr="008460C9">
        <w:rPr>
          <w:rFonts w:ascii="Arial" w:hAnsi="Arial" w:cs="Arial"/>
          <w:b/>
          <w:bCs/>
          <w:noProof/>
          <w:sz w:val="22"/>
        </w:rPr>
        <w:t>151</w:t>
      </w:r>
      <w:r w:rsidRPr="008460C9">
        <w:rPr>
          <w:rFonts w:ascii="Arial" w:hAnsi="Arial" w:cs="Arial"/>
          <w:noProof/>
          <w:sz w:val="22"/>
        </w:rPr>
        <w:t>: 289</w:t>
      </w:r>
      <w:r w:rsidRPr="008460C9">
        <w:rPr>
          <w:rFonts w:ascii="Cambria Math" w:hAnsi="Cambria Math" w:cs="Cambria Math"/>
          <w:noProof/>
          <w:sz w:val="22"/>
        </w:rPr>
        <w:t>‑</w:t>
      </w:r>
      <w:r w:rsidRPr="008460C9">
        <w:rPr>
          <w:rFonts w:ascii="Arial" w:hAnsi="Arial" w:cs="Arial"/>
          <w:noProof/>
          <w:sz w:val="22"/>
        </w:rPr>
        <w:t>303.</w:t>
      </w:r>
    </w:p>
    <w:p w14:paraId="7D180DAF"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Derrien T, Estellé J, Sola SM, Knowles DG, Raineri E, Guigó R, Ribeca P. 2012. Fast computation a</w:t>
      </w:r>
      <w:bookmarkStart w:id="0" w:name="_GoBack"/>
      <w:bookmarkEnd w:id="0"/>
      <w:r w:rsidRPr="008460C9">
        <w:rPr>
          <w:rFonts w:ascii="Arial" w:hAnsi="Arial" w:cs="Arial"/>
          <w:noProof/>
          <w:sz w:val="22"/>
        </w:rPr>
        <w:t xml:space="preserve">nd applications of genome mappability. </w:t>
      </w:r>
      <w:r w:rsidRPr="008460C9">
        <w:rPr>
          <w:rFonts w:ascii="Arial" w:hAnsi="Arial" w:cs="Arial"/>
          <w:i/>
          <w:iCs/>
          <w:noProof/>
          <w:sz w:val="22"/>
        </w:rPr>
        <w:t>PLoS One</w:t>
      </w:r>
      <w:r w:rsidRPr="008460C9">
        <w:rPr>
          <w:rFonts w:ascii="Arial" w:hAnsi="Arial" w:cs="Arial"/>
          <w:noProof/>
          <w:sz w:val="22"/>
        </w:rPr>
        <w:t xml:space="preserve"> </w:t>
      </w:r>
      <w:r w:rsidRPr="008460C9">
        <w:rPr>
          <w:rFonts w:ascii="Arial" w:hAnsi="Arial" w:cs="Arial"/>
          <w:b/>
          <w:bCs/>
          <w:noProof/>
          <w:sz w:val="22"/>
        </w:rPr>
        <w:t>7</w:t>
      </w:r>
      <w:r w:rsidRPr="008460C9">
        <w:rPr>
          <w:rFonts w:ascii="Arial" w:hAnsi="Arial" w:cs="Arial"/>
          <w:noProof/>
          <w:sz w:val="22"/>
        </w:rPr>
        <w:t>: e30377.</w:t>
      </w:r>
    </w:p>
    <w:p w14:paraId="1ED1EA89"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Dobin A, Davis CA, Schlesinger F, Drenkow J, Zaleski C, Jha S, Batut P, Chaisson M, Gingeras TR. 2013. STAR: Ultrafast universal RNA-seq aligner. </w:t>
      </w:r>
      <w:r w:rsidRPr="008460C9">
        <w:rPr>
          <w:rFonts w:ascii="Arial" w:hAnsi="Arial" w:cs="Arial"/>
          <w:i/>
          <w:iCs/>
          <w:noProof/>
          <w:sz w:val="22"/>
        </w:rPr>
        <w:t>Bioinformatics</w:t>
      </w:r>
      <w:r w:rsidRPr="008460C9">
        <w:rPr>
          <w:rFonts w:ascii="Arial" w:hAnsi="Arial" w:cs="Arial"/>
          <w:noProof/>
          <w:sz w:val="22"/>
        </w:rPr>
        <w:t xml:space="preserve"> </w:t>
      </w:r>
      <w:r w:rsidRPr="008460C9">
        <w:rPr>
          <w:rFonts w:ascii="Arial" w:hAnsi="Arial" w:cs="Arial"/>
          <w:b/>
          <w:bCs/>
          <w:noProof/>
          <w:sz w:val="22"/>
        </w:rPr>
        <w:t>29</w:t>
      </w:r>
      <w:r w:rsidRPr="008460C9">
        <w:rPr>
          <w:rFonts w:ascii="Arial" w:hAnsi="Arial" w:cs="Arial"/>
          <w:noProof/>
          <w:sz w:val="22"/>
        </w:rPr>
        <w:t>: 15</w:t>
      </w:r>
      <w:r w:rsidRPr="008460C9">
        <w:rPr>
          <w:rFonts w:ascii="Cambria Math" w:hAnsi="Cambria Math" w:cs="Cambria Math"/>
          <w:noProof/>
          <w:sz w:val="22"/>
        </w:rPr>
        <w:t>‑</w:t>
      </w:r>
      <w:r w:rsidRPr="008460C9">
        <w:rPr>
          <w:rFonts w:ascii="Arial" w:hAnsi="Arial" w:cs="Arial"/>
          <w:noProof/>
          <w:sz w:val="22"/>
        </w:rPr>
        <w:t>21.</w:t>
      </w:r>
    </w:p>
    <w:p w14:paraId="761F5C43"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Faith JJ, Hayete B, Thaden JT, Mogno I, Wierzbowski J, Cottarel G, Kasif S, Collins JJ, Gardner TS. 2007. Large-scale mapping and validation of Escherichia coli transcriptional regulation from a compendium of expression profiles. </w:t>
      </w:r>
      <w:r w:rsidRPr="008460C9">
        <w:rPr>
          <w:rFonts w:ascii="Arial" w:hAnsi="Arial" w:cs="Arial"/>
          <w:i/>
          <w:iCs/>
          <w:noProof/>
          <w:sz w:val="22"/>
        </w:rPr>
        <w:t>PLoS Biol</w:t>
      </w:r>
      <w:r w:rsidRPr="008460C9">
        <w:rPr>
          <w:rFonts w:ascii="Arial" w:hAnsi="Arial" w:cs="Arial"/>
          <w:noProof/>
          <w:sz w:val="22"/>
        </w:rPr>
        <w:t xml:space="preserve"> </w:t>
      </w:r>
      <w:r w:rsidRPr="008460C9">
        <w:rPr>
          <w:rFonts w:ascii="Arial" w:hAnsi="Arial" w:cs="Arial"/>
          <w:b/>
          <w:bCs/>
          <w:noProof/>
          <w:sz w:val="22"/>
        </w:rPr>
        <w:t>5</w:t>
      </w:r>
      <w:r w:rsidRPr="008460C9">
        <w:rPr>
          <w:rFonts w:ascii="Arial" w:hAnsi="Arial" w:cs="Arial"/>
          <w:noProof/>
          <w:sz w:val="22"/>
        </w:rPr>
        <w:t>: e8.</w:t>
      </w:r>
    </w:p>
    <w:p w14:paraId="2C237605"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Han H, Shim H, Shin D, Shim JE, Ko Y, Shin J, Kim H, Cho A, Kim E, Lee T, et al. 2015. TRRUST: a reference database of human transcriptional regulatory interactions. </w:t>
      </w:r>
      <w:r w:rsidRPr="008460C9">
        <w:rPr>
          <w:rFonts w:ascii="Arial" w:hAnsi="Arial" w:cs="Arial"/>
          <w:i/>
          <w:iCs/>
          <w:noProof/>
          <w:sz w:val="22"/>
        </w:rPr>
        <w:t>Sci Rep</w:t>
      </w:r>
      <w:r w:rsidRPr="008460C9">
        <w:rPr>
          <w:rFonts w:ascii="Arial" w:hAnsi="Arial" w:cs="Arial"/>
          <w:noProof/>
          <w:sz w:val="22"/>
        </w:rPr>
        <w:t xml:space="preserve"> </w:t>
      </w:r>
      <w:r w:rsidRPr="008460C9">
        <w:rPr>
          <w:rFonts w:ascii="Arial" w:hAnsi="Arial" w:cs="Arial"/>
          <w:b/>
          <w:bCs/>
          <w:noProof/>
          <w:sz w:val="22"/>
        </w:rPr>
        <w:t>5</w:t>
      </w:r>
      <w:r w:rsidRPr="008460C9">
        <w:rPr>
          <w:rFonts w:ascii="Arial" w:hAnsi="Arial" w:cs="Arial"/>
          <w:noProof/>
          <w:sz w:val="22"/>
        </w:rPr>
        <w:t>: 11432.</w:t>
      </w:r>
    </w:p>
    <w:p w14:paraId="67736512"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Kittler J, Hater M, Duin RPW. 1996. Combining classifiers. </w:t>
      </w:r>
      <w:r w:rsidRPr="008460C9">
        <w:rPr>
          <w:rFonts w:ascii="Arial" w:hAnsi="Arial" w:cs="Arial"/>
          <w:i/>
          <w:iCs/>
          <w:noProof/>
          <w:sz w:val="22"/>
        </w:rPr>
        <w:t>Proc - Int Conf Pattern Recognit</w:t>
      </w:r>
      <w:r w:rsidRPr="008460C9">
        <w:rPr>
          <w:rFonts w:ascii="Arial" w:hAnsi="Arial" w:cs="Arial"/>
          <w:noProof/>
          <w:sz w:val="22"/>
        </w:rPr>
        <w:t xml:space="preserve"> </w:t>
      </w:r>
      <w:r w:rsidRPr="008460C9">
        <w:rPr>
          <w:rFonts w:ascii="Arial" w:hAnsi="Arial" w:cs="Arial"/>
          <w:b/>
          <w:bCs/>
          <w:noProof/>
          <w:sz w:val="22"/>
        </w:rPr>
        <w:t>2</w:t>
      </w:r>
      <w:r w:rsidRPr="008460C9">
        <w:rPr>
          <w:rFonts w:ascii="Arial" w:hAnsi="Arial" w:cs="Arial"/>
          <w:noProof/>
          <w:sz w:val="22"/>
        </w:rPr>
        <w:t>: 897</w:t>
      </w:r>
      <w:r w:rsidRPr="008460C9">
        <w:rPr>
          <w:rFonts w:ascii="Cambria Math" w:hAnsi="Cambria Math" w:cs="Cambria Math"/>
          <w:noProof/>
          <w:sz w:val="22"/>
        </w:rPr>
        <w:t>‑</w:t>
      </w:r>
      <w:r w:rsidRPr="008460C9">
        <w:rPr>
          <w:rFonts w:ascii="Arial" w:hAnsi="Arial" w:cs="Arial"/>
          <w:noProof/>
          <w:sz w:val="22"/>
        </w:rPr>
        <w:t>901.</w:t>
      </w:r>
    </w:p>
    <w:p w14:paraId="50F959C6"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Kurtz ZD, Müller CL, Miraldi ER, Littman DR, Blaser MJ, Bonneau RA. 2015. Sparse and Compositionally Robust Inference of Microbial Ecological Networks. </w:t>
      </w:r>
      <w:r w:rsidRPr="008460C9">
        <w:rPr>
          <w:rFonts w:ascii="Arial" w:hAnsi="Arial" w:cs="Arial"/>
          <w:i/>
          <w:iCs/>
          <w:noProof/>
          <w:sz w:val="22"/>
        </w:rPr>
        <w:t>PLoS Comput Biol</w:t>
      </w:r>
      <w:r w:rsidRPr="008460C9">
        <w:rPr>
          <w:rFonts w:ascii="Arial" w:hAnsi="Arial" w:cs="Arial"/>
          <w:noProof/>
          <w:sz w:val="22"/>
        </w:rPr>
        <w:t xml:space="preserve"> </w:t>
      </w:r>
      <w:r w:rsidRPr="008460C9">
        <w:rPr>
          <w:rFonts w:ascii="Arial" w:hAnsi="Arial" w:cs="Arial"/>
          <w:b/>
          <w:bCs/>
          <w:noProof/>
          <w:sz w:val="22"/>
        </w:rPr>
        <w:t>11</w:t>
      </w:r>
      <w:r w:rsidRPr="008460C9">
        <w:rPr>
          <w:rFonts w:ascii="Arial" w:hAnsi="Arial" w:cs="Arial"/>
          <w:noProof/>
          <w:sz w:val="22"/>
        </w:rPr>
        <w:t>: e1004226.</w:t>
      </w:r>
    </w:p>
    <w:p w14:paraId="08F5F2E6"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Love MI, Huber W, Anders S. 2014. Moderated estimation of fold change and dispersion for RNA-seq data with DESeq2. </w:t>
      </w:r>
      <w:r w:rsidRPr="008460C9">
        <w:rPr>
          <w:rFonts w:ascii="Arial" w:hAnsi="Arial" w:cs="Arial"/>
          <w:i/>
          <w:iCs/>
          <w:noProof/>
          <w:sz w:val="22"/>
        </w:rPr>
        <w:t>Genome Biol</w:t>
      </w:r>
      <w:r w:rsidRPr="008460C9">
        <w:rPr>
          <w:rFonts w:ascii="Arial" w:hAnsi="Arial" w:cs="Arial"/>
          <w:noProof/>
          <w:sz w:val="22"/>
        </w:rPr>
        <w:t xml:space="preserve"> </w:t>
      </w:r>
      <w:r w:rsidRPr="008460C9">
        <w:rPr>
          <w:rFonts w:ascii="Arial" w:hAnsi="Arial" w:cs="Arial"/>
          <w:b/>
          <w:bCs/>
          <w:noProof/>
          <w:sz w:val="22"/>
        </w:rPr>
        <w:t>15</w:t>
      </w:r>
      <w:r w:rsidRPr="008460C9">
        <w:rPr>
          <w:rFonts w:ascii="Arial" w:hAnsi="Arial" w:cs="Arial"/>
          <w:noProof/>
          <w:sz w:val="22"/>
        </w:rPr>
        <w:t>: 550.</w:t>
      </w:r>
    </w:p>
    <w:p w14:paraId="5E741F98"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Marbach D, Costello JC, Küffner R, Vega NM, Prill RJ, Camacho DM, Allison KR, Aderhold A, Bonneau R, Chen Y. 2012. Wisdom of crowds for robust gene network inference. </w:t>
      </w:r>
      <w:r w:rsidRPr="008460C9">
        <w:rPr>
          <w:rFonts w:ascii="Arial" w:hAnsi="Arial" w:cs="Arial"/>
          <w:i/>
          <w:iCs/>
          <w:noProof/>
          <w:sz w:val="22"/>
        </w:rPr>
        <w:t>Nat Methods</w:t>
      </w:r>
      <w:r w:rsidRPr="008460C9">
        <w:rPr>
          <w:rFonts w:ascii="Arial" w:hAnsi="Arial" w:cs="Arial"/>
          <w:noProof/>
          <w:sz w:val="22"/>
        </w:rPr>
        <w:t xml:space="preserve"> </w:t>
      </w:r>
      <w:r w:rsidRPr="008460C9">
        <w:rPr>
          <w:rFonts w:ascii="Arial" w:hAnsi="Arial" w:cs="Arial"/>
          <w:b/>
          <w:bCs/>
          <w:noProof/>
          <w:sz w:val="22"/>
        </w:rPr>
        <w:t>9</w:t>
      </w:r>
      <w:r w:rsidRPr="008460C9">
        <w:rPr>
          <w:rFonts w:ascii="Arial" w:hAnsi="Arial" w:cs="Arial"/>
          <w:noProof/>
          <w:sz w:val="22"/>
        </w:rPr>
        <w:t>: 796.</w:t>
      </w:r>
    </w:p>
    <w:p w14:paraId="27ECF358"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Müller CL, Bonneau R, Kurtz Z. 2016. Generalized Stability Approach for Regularized Graphical Models. </w:t>
      </w:r>
      <w:r w:rsidRPr="008460C9">
        <w:rPr>
          <w:rFonts w:ascii="Arial" w:hAnsi="Arial" w:cs="Arial"/>
          <w:i/>
          <w:iCs/>
          <w:noProof/>
          <w:sz w:val="22"/>
        </w:rPr>
        <w:t>arXiv</w:t>
      </w:r>
      <w:r w:rsidRPr="008460C9">
        <w:rPr>
          <w:rFonts w:ascii="Arial" w:hAnsi="Arial" w:cs="Arial"/>
          <w:noProof/>
          <w:sz w:val="22"/>
        </w:rPr>
        <w:t xml:space="preserve"> 1605.07072.</w:t>
      </w:r>
    </w:p>
    <w:p w14:paraId="48404ABD"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Parisi F, Strino F, Nadler B, Kluger Y. 2014. Ranking and combining multiple predictors without labeled data. </w:t>
      </w:r>
      <w:r w:rsidRPr="008460C9">
        <w:rPr>
          <w:rFonts w:ascii="Arial" w:hAnsi="Arial" w:cs="Arial"/>
          <w:i/>
          <w:iCs/>
          <w:noProof/>
          <w:sz w:val="22"/>
        </w:rPr>
        <w:t>Proc Natl Acad Sci U S A</w:t>
      </w:r>
      <w:r w:rsidRPr="008460C9">
        <w:rPr>
          <w:rFonts w:ascii="Arial" w:hAnsi="Arial" w:cs="Arial"/>
          <w:noProof/>
          <w:sz w:val="22"/>
        </w:rPr>
        <w:t xml:space="preserve"> </w:t>
      </w:r>
      <w:r w:rsidRPr="008460C9">
        <w:rPr>
          <w:rFonts w:ascii="Arial" w:hAnsi="Arial" w:cs="Arial"/>
          <w:b/>
          <w:bCs/>
          <w:noProof/>
          <w:sz w:val="22"/>
        </w:rPr>
        <w:t>111</w:t>
      </w:r>
      <w:r w:rsidRPr="008460C9">
        <w:rPr>
          <w:rFonts w:ascii="Arial" w:hAnsi="Arial" w:cs="Arial"/>
          <w:noProof/>
          <w:sz w:val="22"/>
        </w:rPr>
        <w:t>: 1253</w:t>
      </w:r>
      <w:r w:rsidRPr="008460C9">
        <w:rPr>
          <w:rFonts w:ascii="Cambria Math" w:hAnsi="Cambria Math" w:cs="Cambria Math"/>
          <w:noProof/>
          <w:sz w:val="22"/>
        </w:rPr>
        <w:t>‑</w:t>
      </w:r>
      <w:r w:rsidRPr="008460C9">
        <w:rPr>
          <w:rFonts w:ascii="Arial" w:hAnsi="Arial" w:cs="Arial"/>
          <w:noProof/>
          <w:sz w:val="22"/>
        </w:rPr>
        <w:t>8.</w:t>
      </w:r>
    </w:p>
    <w:p w14:paraId="65801158"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Stergachis AB, Neph S, Sandstrom R, Haugen E, Reynolds AP, Zhang M, Byron R, Canfield T, Stelhing-Sun S, Lee K, et al. 2014. Conservation of trans-acting circuitry during mammalian regulatory evolution. </w:t>
      </w:r>
      <w:r w:rsidRPr="008460C9">
        <w:rPr>
          <w:rFonts w:ascii="Arial" w:hAnsi="Arial" w:cs="Arial"/>
          <w:i/>
          <w:iCs/>
          <w:noProof/>
          <w:sz w:val="22"/>
        </w:rPr>
        <w:t>Nature</w:t>
      </w:r>
      <w:r w:rsidRPr="008460C9">
        <w:rPr>
          <w:rFonts w:ascii="Arial" w:hAnsi="Arial" w:cs="Arial"/>
          <w:noProof/>
          <w:sz w:val="22"/>
        </w:rPr>
        <w:t xml:space="preserve"> </w:t>
      </w:r>
      <w:r w:rsidRPr="008460C9">
        <w:rPr>
          <w:rFonts w:ascii="Arial" w:hAnsi="Arial" w:cs="Arial"/>
          <w:b/>
          <w:bCs/>
          <w:noProof/>
          <w:sz w:val="22"/>
        </w:rPr>
        <w:t>515</w:t>
      </w:r>
      <w:r w:rsidRPr="008460C9">
        <w:rPr>
          <w:rFonts w:ascii="Arial" w:hAnsi="Arial" w:cs="Arial"/>
          <w:noProof/>
          <w:sz w:val="22"/>
        </w:rPr>
        <w:t>: 365</w:t>
      </w:r>
      <w:r w:rsidRPr="008460C9">
        <w:rPr>
          <w:rFonts w:ascii="Cambria Math" w:hAnsi="Cambria Math" w:cs="Cambria Math"/>
          <w:noProof/>
          <w:sz w:val="22"/>
        </w:rPr>
        <w:t>‑</w:t>
      </w:r>
      <w:r w:rsidRPr="008460C9">
        <w:rPr>
          <w:rFonts w:ascii="Arial" w:hAnsi="Arial" w:cs="Arial"/>
          <w:noProof/>
          <w:sz w:val="22"/>
        </w:rPr>
        <w:t>370.</w:t>
      </w:r>
    </w:p>
    <w:p w14:paraId="7D265141" w14:textId="77777777" w:rsidR="008460C9" w:rsidRPr="008460C9" w:rsidRDefault="008460C9" w:rsidP="008460C9">
      <w:pPr>
        <w:widowControl w:val="0"/>
        <w:autoSpaceDE w:val="0"/>
        <w:autoSpaceDN w:val="0"/>
        <w:adjustRightInd w:val="0"/>
        <w:ind w:left="480" w:hanging="480"/>
        <w:rPr>
          <w:rFonts w:ascii="Arial" w:hAnsi="Arial" w:cs="Arial"/>
          <w:noProof/>
          <w:sz w:val="22"/>
        </w:rPr>
      </w:pPr>
      <w:r w:rsidRPr="008460C9">
        <w:rPr>
          <w:rFonts w:ascii="Arial" w:hAnsi="Arial" w:cs="Arial"/>
          <w:noProof/>
          <w:sz w:val="22"/>
        </w:rPr>
        <w:t xml:space="preserve">Whitlock MC. 2005. Combining probability from independent tests: the weighted Z-method is superior to Fisher’s approach. </w:t>
      </w:r>
      <w:r w:rsidRPr="008460C9">
        <w:rPr>
          <w:rFonts w:ascii="Arial" w:hAnsi="Arial" w:cs="Arial"/>
          <w:i/>
          <w:iCs/>
          <w:noProof/>
          <w:sz w:val="22"/>
        </w:rPr>
        <w:t>J Evol Biol</w:t>
      </w:r>
      <w:r w:rsidRPr="008460C9">
        <w:rPr>
          <w:rFonts w:ascii="Arial" w:hAnsi="Arial" w:cs="Arial"/>
          <w:noProof/>
          <w:sz w:val="22"/>
        </w:rPr>
        <w:t xml:space="preserve"> </w:t>
      </w:r>
      <w:r w:rsidRPr="008460C9">
        <w:rPr>
          <w:rFonts w:ascii="Arial" w:hAnsi="Arial" w:cs="Arial"/>
          <w:b/>
          <w:bCs/>
          <w:noProof/>
          <w:sz w:val="22"/>
        </w:rPr>
        <w:t>18</w:t>
      </w:r>
      <w:r w:rsidRPr="008460C9">
        <w:rPr>
          <w:rFonts w:ascii="Arial" w:hAnsi="Arial" w:cs="Arial"/>
          <w:noProof/>
          <w:sz w:val="22"/>
        </w:rPr>
        <w:t>: 1368</w:t>
      </w:r>
      <w:r w:rsidRPr="008460C9">
        <w:rPr>
          <w:rFonts w:ascii="Cambria Math" w:hAnsi="Cambria Math" w:cs="Cambria Math"/>
          <w:noProof/>
          <w:sz w:val="22"/>
        </w:rPr>
        <w:t>‑</w:t>
      </w:r>
      <w:r w:rsidRPr="008460C9">
        <w:rPr>
          <w:rFonts w:ascii="Arial" w:hAnsi="Arial" w:cs="Arial"/>
          <w:noProof/>
          <w:sz w:val="22"/>
        </w:rPr>
        <w:t>73.</w:t>
      </w:r>
    </w:p>
    <w:p w14:paraId="47DBD4AC" w14:textId="212EACCA" w:rsidR="009E17FE" w:rsidRPr="009E17FE" w:rsidRDefault="009E17FE" w:rsidP="008460C9">
      <w:pPr>
        <w:widowControl w:val="0"/>
        <w:autoSpaceDE w:val="0"/>
        <w:autoSpaceDN w:val="0"/>
        <w:adjustRightInd w:val="0"/>
        <w:ind w:left="480" w:hanging="480"/>
        <w:rPr>
          <w:rFonts w:ascii="Arial" w:hAnsi="Arial" w:cs="Arial"/>
          <w:b/>
          <w:sz w:val="22"/>
          <w:szCs w:val="22"/>
        </w:rPr>
      </w:pPr>
      <w:r>
        <w:rPr>
          <w:rFonts w:ascii="Arial" w:hAnsi="Arial" w:cs="Arial"/>
          <w:b/>
          <w:sz w:val="22"/>
          <w:szCs w:val="22"/>
        </w:rPr>
        <w:fldChar w:fldCharType="end"/>
      </w:r>
    </w:p>
    <w:p w14:paraId="15C0358E" w14:textId="77777777" w:rsidR="009E17FE" w:rsidRPr="00D43D49" w:rsidRDefault="009E17FE">
      <w:pPr>
        <w:rPr>
          <w:rFonts w:ascii="Arial" w:hAnsi="Arial" w:cs="Arial"/>
          <w:sz w:val="22"/>
          <w:szCs w:val="22"/>
        </w:rPr>
      </w:pPr>
    </w:p>
    <w:sectPr w:rsidR="009E17FE" w:rsidRPr="00D43D49" w:rsidSect="00421BB4">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D33E" w14:textId="77777777" w:rsidR="00DF407F" w:rsidRDefault="00DF407F" w:rsidP="000C0876">
      <w:r>
        <w:separator/>
      </w:r>
    </w:p>
  </w:endnote>
  <w:endnote w:type="continuationSeparator" w:id="0">
    <w:p w14:paraId="28564DA6" w14:textId="77777777" w:rsidR="00DF407F" w:rsidRDefault="00DF407F" w:rsidP="000C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96345" w14:textId="77777777" w:rsidR="00DF407F" w:rsidRDefault="00DF407F" w:rsidP="000C0876">
      <w:r>
        <w:separator/>
      </w:r>
    </w:p>
  </w:footnote>
  <w:footnote w:type="continuationSeparator" w:id="0">
    <w:p w14:paraId="24B533E9" w14:textId="77777777" w:rsidR="00DF407F" w:rsidRDefault="00DF407F" w:rsidP="000C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6271644"/>
      <w:docPartObj>
        <w:docPartGallery w:val="Page Numbers (Top of Page)"/>
        <w:docPartUnique/>
      </w:docPartObj>
    </w:sdtPr>
    <w:sdtEndPr>
      <w:rPr>
        <w:rStyle w:val="PageNumber"/>
      </w:rPr>
    </w:sdtEndPr>
    <w:sdtContent>
      <w:p w14:paraId="21A84139" w14:textId="3E7BDBB6" w:rsidR="000C0876" w:rsidRDefault="000C0876" w:rsidP="00A174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EA3EB" w14:textId="77777777" w:rsidR="000C0876" w:rsidRDefault="000C0876" w:rsidP="000C08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0119115"/>
      <w:docPartObj>
        <w:docPartGallery w:val="Page Numbers (Top of Page)"/>
        <w:docPartUnique/>
      </w:docPartObj>
    </w:sdtPr>
    <w:sdtEndPr>
      <w:rPr>
        <w:rStyle w:val="PageNumber"/>
        <w:rFonts w:ascii="Arial" w:hAnsi="Arial" w:cs="Arial"/>
        <w:sz w:val="22"/>
        <w:szCs w:val="22"/>
      </w:rPr>
    </w:sdtEndPr>
    <w:sdtContent>
      <w:p w14:paraId="0D436DF5" w14:textId="7FD0B835" w:rsidR="000C0876" w:rsidRPr="000C0876" w:rsidRDefault="000C0876" w:rsidP="00A1746C">
        <w:pPr>
          <w:pStyle w:val="Header"/>
          <w:framePr w:wrap="none" w:vAnchor="text" w:hAnchor="margin" w:xAlign="right" w:y="1"/>
          <w:rPr>
            <w:rStyle w:val="PageNumber"/>
            <w:rFonts w:ascii="Arial" w:hAnsi="Arial" w:cs="Arial"/>
            <w:sz w:val="22"/>
            <w:szCs w:val="22"/>
          </w:rPr>
        </w:pPr>
        <w:r w:rsidRPr="000C0876">
          <w:rPr>
            <w:rStyle w:val="PageNumber"/>
            <w:rFonts w:ascii="Arial" w:hAnsi="Arial" w:cs="Arial"/>
            <w:sz w:val="22"/>
            <w:szCs w:val="22"/>
          </w:rPr>
          <w:fldChar w:fldCharType="begin"/>
        </w:r>
        <w:r w:rsidRPr="000C0876">
          <w:rPr>
            <w:rStyle w:val="PageNumber"/>
            <w:rFonts w:ascii="Arial" w:hAnsi="Arial" w:cs="Arial"/>
            <w:sz w:val="22"/>
            <w:szCs w:val="22"/>
          </w:rPr>
          <w:instrText xml:space="preserve"> PAGE </w:instrText>
        </w:r>
        <w:r w:rsidRPr="000C0876">
          <w:rPr>
            <w:rStyle w:val="PageNumber"/>
            <w:rFonts w:ascii="Arial" w:hAnsi="Arial" w:cs="Arial"/>
            <w:sz w:val="22"/>
            <w:szCs w:val="22"/>
          </w:rPr>
          <w:fldChar w:fldCharType="separate"/>
        </w:r>
        <w:r w:rsidRPr="000C0876">
          <w:rPr>
            <w:rStyle w:val="PageNumber"/>
            <w:rFonts w:ascii="Arial" w:hAnsi="Arial" w:cs="Arial"/>
            <w:noProof/>
            <w:sz w:val="22"/>
            <w:szCs w:val="22"/>
          </w:rPr>
          <w:t>1</w:t>
        </w:r>
        <w:r w:rsidRPr="000C0876">
          <w:rPr>
            <w:rStyle w:val="PageNumber"/>
            <w:rFonts w:ascii="Arial" w:hAnsi="Arial" w:cs="Arial"/>
            <w:sz w:val="22"/>
            <w:szCs w:val="22"/>
          </w:rPr>
          <w:fldChar w:fldCharType="end"/>
        </w:r>
      </w:p>
    </w:sdtContent>
  </w:sdt>
  <w:p w14:paraId="3CEE662F" w14:textId="17DA7B94" w:rsidR="000C0876" w:rsidRPr="000C0876" w:rsidRDefault="000C0876" w:rsidP="000C0876">
    <w:pPr>
      <w:pStyle w:val="Header"/>
      <w:ind w:right="360"/>
      <w:jc w:val="right"/>
      <w:rPr>
        <w:rFonts w:ascii="Arial" w:hAnsi="Arial" w:cs="Arial"/>
        <w:sz w:val="22"/>
        <w:szCs w:val="22"/>
      </w:rPr>
    </w:pPr>
    <w:r w:rsidRPr="000C0876">
      <w:rPr>
        <w:rFonts w:ascii="Arial" w:hAnsi="Arial" w:cs="Arial"/>
        <w:sz w:val="22"/>
        <w:szCs w:val="22"/>
      </w:rPr>
      <w:t xml:space="preserve">Miraldi et 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CD"/>
    <w:rsid w:val="00026F17"/>
    <w:rsid w:val="000C0876"/>
    <w:rsid w:val="00116137"/>
    <w:rsid w:val="001C1535"/>
    <w:rsid w:val="001C78CD"/>
    <w:rsid w:val="001D3C8D"/>
    <w:rsid w:val="001D42AA"/>
    <w:rsid w:val="00263D3D"/>
    <w:rsid w:val="002B28DD"/>
    <w:rsid w:val="002B28FC"/>
    <w:rsid w:val="002B7EE6"/>
    <w:rsid w:val="003D2625"/>
    <w:rsid w:val="0041030C"/>
    <w:rsid w:val="00421BB4"/>
    <w:rsid w:val="00447477"/>
    <w:rsid w:val="00473230"/>
    <w:rsid w:val="00485B1C"/>
    <w:rsid w:val="004A4E93"/>
    <w:rsid w:val="004C4A06"/>
    <w:rsid w:val="004D0C0A"/>
    <w:rsid w:val="004E461C"/>
    <w:rsid w:val="004F27E8"/>
    <w:rsid w:val="004F6DAA"/>
    <w:rsid w:val="005A03FB"/>
    <w:rsid w:val="005C7945"/>
    <w:rsid w:val="00620FC9"/>
    <w:rsid w:val="006521AA"/>
    <w:rsid w:val="00665B8A"/>
    <w:rsid w:val="006B5D91"/>
    <w:rsid w:val="006D1C90"/>
    <w:rsid w:val="006F6E41"/>
    <w:rsid w:val="00782E77"/>
    <w:rsid w:val="008279FC"/>
    <w:rsid w:val="008460C9"/>
    <w:rsid w:val="00854B4C"/>
    <w:rsid w:val="0091488E"/>
    <w:rsid w:val="00956F7E"/>
    <w:rsid w:val="0099775E"/>
    <w:rsid w:val="009A0B6E"/>
    <w:rsid w:val="009D1233"/>
    <w:rsid w:val="009E17FE"/>
    <w:rsid w:val="00A2735E"/>
    <w:rsid w:val="00AD1062"/>
    <w:rsid w:val="00AD6C7A"/>
    <w:rsid w:val="00AF6535"/>
    <w:rsid w:val="00B1305F"/>
    <w:rsid w:val="00B20E01"/>
    <w:rsid w:val="00B65896"/>
    <w:rsid w:val="00B8521F"/>
    <w:rsid w:val="00BA74A9"/>
    <w:rsid w:val="00BE1572"/>
    <w:rsid w:val="00CD06CF"/>
    <w:rsid w:val="00CD4328"/>
    <w:rsid w:val="00D100E8"/>
    <w:rsid w:val="00D43D49"/>
    <w:rsid w:val="00D72ADD"/>
    <w:rsid w:val="00DD614C"/>
    <w:rsid w:val="00DF407F"/>
    <w:rsid w:val="00E51E49"/>
    <w:rsid w:val="00ED3AF5"/>
    <w:rsid w:val="00EE462B"/>
    <w:rsid w:val="00F53358"/>
    <w:rsid w:val="00F80E95"/>
    <w:rsid w:val="00F9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A642D"/>
  <w14:defaultImageDpi w14:val="32767"/>
  <w15:chartTrackingRefBased/>
  <w15:docId w15:val="{D2687EB5-2308-2F4E-AD6C-0B579A69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462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876"/>
    <w:pPr>
      <w:tabs>
        <w:tab w:val="center" w:pos="4680"/>
        <w:tab w:val="right" w:pos="9360"/>
      </w:tabs>
    </w:pPr>
  </w:style>
  <w:style w:type="character" w:customStyle="1" w:styleId="HeaderChar">
    <w:name w:val="Header Char"/>
    <w:basedOn w:val="DefaultParagraphFont"/>
    <w:link w:val="Header"/>
    <w:uiPriority w:val="99"/>
    <w:rsid w:val="000C0876"/>
    <w:rPr>
      <w:rFonts w:ascii="Times New Roman" w:hAnsi="Times New Roman" w:cs="Times New Roman"/>
    </w:rPr>
  </w:style>
  <w:style w:type="paragraph" w:styleId="Footer">
    <w:name w:val="footer"/>
    <w:basedOn w:val="Normal"/>
    <w:link w:val="FooterChar"/>
    <w:uiPriority w:val="99"/>
    <w:unhideWhenUsed/>
    <w:rsid w:val="000C0876"/>
    <w:pPr>
      <w:tabs>
        <w:tab w:val="center" w:pos="4680"/>
        <w:tab w:val="right" w:pos="9360"/>
      </w:tabs>
    </w:pPr>
  </w:style>
  <w:style w:type="character" w:customStyle="1" w:styleId="FooterChar">
    <w:name w:val="Footer Char"/>
    <w:basedOn w:val="DefaultParagraphFont"/>
    <w:link w:val="Footer"/>
    <w:uiPriority w:val="99"/>
    <w:rsid w:val="000C0876"/>
    <w:rPr>
      <w:rFonts w:ascii="Times New Roman" w:hAnsi="Times New Roman" w:cs="Times New Roman"/>
    </w:rPr>
  </w:style>
  <w:style w:type="character" w:styleId="PageNumber">
    <w:name w:val="page number"/>
    <w:basedOn w:val="DefaultParagraphFont"/>
    <w:uiPriority w:val="99"/>
    <w:semiHidden/>
    <w:unhideWhenUsed/>
    <w:rsid w:val="000C0876"/>
  </w:style>
  <w:style w:type="paragraph" w:styleId="TOC1">
    <w:name w:val="toc 1"/>
    <w:basedOn w:val="Normal"/>
    <w:next w:val="Normal"/>
    <w:autoRedefine/>
    <w:uiPriority w:val="39"/>
    <w:unhideWhenUsed/>
    <w:rsid w:val="000C0876"/>
    <w:pPr>
      <w:spacing w:after="100"/>
    </w:pPr>
  </w:style>
  <w:style w:type="character" w:styleId="Hyperlink">
    <w:name w:val="Hyperlink"/>
    <w:basedOn w:val="DefaultParagraphFont"/>
    <w:uiPriority w:val="99"/>
    <w:unhideWhenUsed/>
    <w:rsid w:val="000C0876"/>
    <w:rPr>
      <w:color w:val="0563C1" w:themeColor="hyperlink"/>
      <w:u w:val="single"/>
    </w:rPr>
  </w:style>
  <w:style w:type="table" w:styleId="TableGrid">
    <w:name w:val="Table Grid"/>
    <w:basedOn w:val="TableNormal"/>
    <w:uiPriority w:val="39"/>
    <w:rsid w:val="0091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61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952">
      <w:bodyDiv w:val="1"/>
      <w:marLeft w:val="0"/>
      <w:marRight w:val="0"/>
      <w:marTop w:val="0"/>
      <w:marBottom w:val="0"/>
      <w:divBdr>
        <w:top w:val="none" w:sz="0" w:space="0" w:color="auto"/>
        <w:left w:val="none" w:sz="0" w:space="0" w:color="auto"/>
        <w:bottom w:val="none" w:sz="0" w:space="0" w:color="auto"/>
        <w:right w:val="none" w:sz="0" w:space="0" w:color="auto"/>
      </w:divBdr>
    </w:div>
    <w:div w:id="106316664">
      <w:bodyDiv w:val="1"/>
      <w:marLeft w:val="0"/>
      <w:marRight w:val="0"/>
      <w:marTop w:val="0"/>
      <w:marBottom w:val="0"/>
      <w:divBdr>
        <w:top w:val="none" w:sz="0" w:space="0" w:color="auto"/>
        <w:left w:val="none" w:sz="0" w:space="0" w:color="auto"/>
        <w:bottom w:val="none" w:sz="0" w:space="0" w:color="auto"/>
        <w:right w:val="none" w:sz="0" w:space="0" w:color="auto"/>
      </w:divBdr>
    </w:div>
    <w:div w:id="661546593">
      <w:bodyDiv w:val="1"/>
      <w:marLeft w:val="0"/>
      <w:marRight w:val="0"/>
      <w:marTop w:val="0"/>
      <w:marBottom w:val="0"/>
      <w:divBdr>
        <w:top w:val="none" w:sz="0" w:space="0" w:color="auto"/>
        <w:left w:val="none" w:sz="0" w:space="0" w:color="auto"/>
        <w:bottom w:val="none" w:sz="0" w:space="0" w:color="auto"/>
        <w:right w:val="none" w:sz="0" w:space="0" w:color="auto"/>
      </w:divBdr>
    </w:div>
    <w:div w:id="702561199">
      <w:bodyDiv w:val="1"/>
      <w:marLeft w:val="0"/>
      <w:marRight w:val="0"/>
      <w:marTop w:val="0"/>
      <w:marBottom w:val="0"/>
      <w:divBdr>
        <w:top w:val="none" w:sz="0" w:space="0" w:color="auto"/>
        <w:left w:val="none" w:sz="0" w:space="0" w:color="auto"/>
        <w:bottom w:val="none" w:sz="0" w:space="0" w:color="auto"/>
        <w:right w:val="none" w:sz="0" w:space="0" w:color="auto"/>
      </w:divBdr>
    </w:div>
    <w:div w:id="1562212892">
      <w:bodyDiv w:val="1"/>
      <w:marLeft w:val="0"/>
      <w:marRight w:val="0"/>
      <w:marTop w:val="0"/>
      <w:marBottom w:val="0"/>
      <w:divBdr>
        <w:top w:val="none" w:sz="0" w:space="0" w:color="auto"/>
        <w:left w:val="none" w:sz="0" w:space="0" w:color="auto"/>
        <w:bottom w:val="none" w:sz="0" w:space="0" w:color="auto"/>
        <w:right w:val="none" w:sz="0" w:space="0" w:color="auto"/>
      </w:divBdr>
    </w:div>
    <w:div w:id="1751274523">
      <w:bodyDiv w:val="1"/>
      <w:marLeft w:val="0"/>
      <w:marRight w:val="0"/>
      <w:marTop w:val="0"/>
      <w:marBottom w:val="0"/>
      <w:divBdr>
        <w:top w:val="none" w:sz="0" w:space="0" w:color="auto"/>
        <w:left w:val="none" w:sz="0" w:space="0" w:color="auto"/>
        <w:bottom w:val="none" w:sz="0" w:space="0" w:color="auto"/>
        <w:right w:val="none" w:sz="0" w:space="0" w:color="auto"/>
      </w:divBdr>
    </w:div>
    <w:div w:id="2042389059">
      <w:bodyDiv w:val="1"/>
      <w:marLeft w:val="0"/>
      <w:marRight w:val="0"/>
      <w:marTop w:val="0"/>
      <w:marBottom w:val="0"/>
      <w:divBdr>
        <w:top w:val="none" w:sz="0" w:space="0" w:color="auto"/>
        <w:left w:val="none" w:sz="0" w:space="0" w:color="auto"/>
        <w:bottom w:val="none" w:sz="0" w:space="0" w:color="auto"/>
        <w:right w:val="none" w:sz="0" w:space="0" w:color="auto"/>
      </w:divBdr>
    </w:div>
    <w:div w:id="205175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orynetwork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68C8-C4B6-4947-83B2-FC14708E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13696</Words>
  <Characters>78068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Miraldi, Emily</dc:creator>
  <cp:keywords/>
  <dc:description/>
  <cp:lastModifiedBy>Emily Miraldi</cp:lastModifiedBy>
  <cp:revision>24</cp:revision>
  <cp:lastPrinted>2018-12-18T15:16:00Z</cp:lastPrinted>
  <dcterms:created xsi:type="dcterms:W3CDTF">2018-09-16T20:55:00Z</dcterms:created>
  <dcterms:modified xsi:type="dcterms:W3CDTF">2019-01-05T03:46:00Z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350e1f6d-5d63-361d-89c2-6b7e15853ee8</vt:lpwstr>
  </property>
  <property fmtid="{D5CDD505-2E9C-101B-9397-08002B2CF9AE}" pid="4" name="Mendeley Citation Style_1">
    <vt:lpwstr>http://www.zotero.org/styles/genome-research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http://www.zotero.org/styles/cell</vt:lpwstr>
  </property>
  <property fmtid="{D5CDD505-2E9C-101B-9397-08002B2CF9AE}" pid="12" name="Mendeley Recent Style Name 3_1">
    <vt:lpwstr>Cell</vt:lpwstr>
  </property>
  <property fmtid="{D5CDD505-2E9C-101B-9397-08002B2CF9AE}" pid="13" name="Mendeley Recent Style Id 4_1">
    <vt:lpwstr>http://www.zotero.org/styles/genome-research</vt:lpwstr>
  </property>
  <property fmtid="{D5CDD505-2E9C-101B-9397-08002B2CF9AE}" pid="14" name="Mendeley Recent Style Name 4_1">
    <vt:lpwstr>Genome Research</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http://www.zotero.org/styles/national-institute-of-health-research</vt:lpwstr>
  </property>
  <property fmtid="{D5CDD505-2E9C-101B-9397-08002B2CF9AE}" pid="18" name="Mendeley Recent Style Name 6_1">
    <vt:lpwstr>National Institute of Health Research</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https://csl.mendeley.com/styles/70934531/nature-NIH-v2</vt:lpwstr>
  </property>
  <property fmtid="{D5CDD505-2E9C-101B-9397-08002B2CF9AE}" pid="24" name="Mendeley Recent Style Name 9_1">
    <vt:lpwstr>Nature - Emily Miraldi</vt:lpwstr>
  </property>
</Properties>
</file>