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F4400" w:rsidRDefault="005F4400">
      <w:pPr>
        <w:spacing w:line="240" w:lineRule="auto"/>
      </w:pPr>
      <w:bookmarkStart w:id="0" w:name="_GoBack"/>
      <w:bookmarkEnd w:id="0"/>
    </w:p>
    <w:tbl>
      <w:tblPr>
        <w:tblStyle w:val="a"/>
        <w:tblW w:w="10575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1155"/>
        <w:gridCol w:w="1380"/>
        <w:gridCol w:w="1275"/>
        <w:gridCol w:w="1590"/>
        <w:gridCol w:w="1155"/>
        <w:gridCol w:w="1950"/>
        <w:gridCol w:w="1230"/>
      </w:tblGrid>
      <w:tr w:rsidR="005F4400">
        <w:trPr>
          <w:trHeight w:val="720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ID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Cell line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Mapped Reads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Informative Sites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Protocol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Reference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Role</w:t>
            </w:r>
          </w:p>
        </w:tc>
      </w:tr>
      <w:tr w:rsidR="005F4400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K562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374,946,808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17,120,769 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GSM1480327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PRO-seq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(Core et al. 2014)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</w:t>
            </w:r>
          </w:p>
        </w:tc>
      </w:tr>
      <w:tr w:rsidR="005F4400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G2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K562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18,129,333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4,189,045 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GSM1480325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GRO-seq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(Core et al. 2014)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</w:t>
            </w:r>
          </w:p>
        </w:tc>
      </w:tr>
      <w:tr w:rsidR="005F4400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G3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K562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57,520,888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9,201,344 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GSM3452725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PRO-seq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Herein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</w:t>
            </w:r>
          </w:p>
        </w:tc>
      </w:tr>
      <w:tr w:rsidR="005F4400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G5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K562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71,452,942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8,678,964 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GSM2361442</w:t>
            </w:r>
          </w:p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GSM2361443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PRO-seq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A6505A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7">
              <w:r w:rsidR="00F14B9B">
                <w:rPr>
                  <w:sz w:val="20"/>
                  <w:szCs w:val="20"/>
                </w:rPr>
                <w:t>(</w:t>
              </w:r>
              <w:proofErr w:type="spellStart"/>
              <w:r w:rsidR="00F14B9B">
                <w:rPr>
                  <w:sz w:val="20"/>
                  <w:szCs w:val="20"/>
                </w:rPr>
                <w:t>Vihervaara</w:t>
              </w:r>
              <w:proofErr w:type="spellEnd"/>
              <w:r w:rsidR="00F14B9B">
                <w:rPr>
                  <w:sz w:val="20"/>
                  <w:szCs w:val="20"/>
                </w:rPr>
                <w:t xml:space="preserve"> et al. 2017)</w:t>
              </w:r>
            </w:hyperlink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</w:t>
            </w:r>
          </w:p>
        </w:tc>
      </w:tr>
      <w:tr w:rsidR="005F4400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G6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K562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26,972,822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5,890,140 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GSM2545324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PRO-seq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A6505A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8">
              <w:r w:rsidR="00F14B9B">
                <w:rPr>
                  <w:sz w:val="20"/>
                  <w:szCs w:val="20"/>
                </w:rPr>
                <w:t>(</w:t>
              </w:r>
              <w:proofErr w:type="spellStart"/>
              <w:r w:rsidR="00F14B9B">
                <w:rPr>
                  <w:sz w:val="20"/>
                  <w:szCs w:val="20"/>
                </w:rPr>
                <w:t>Dukler</w:t>
              </w:r>
              <w:proofErr w:type="spellEnd"/>
              <w:r w:rsidR="00F14B9B">
                <w:rPr>
                  <w:sz w:val="20"/>
                  <w:szCs w:val="20"/>
                </w:rPr>
                <w:t xml:space="preserve"> et al. 2017)</w:t>
              </w:r>
            </w:hyperlink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</w:t>
            </w:r>
          </w:p>
        </w:tc>
      </w:tr>
      <w:tr w:rsidR="005F4400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K562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27,046,373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5,839,230 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GSM2545325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PRO-seq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A6505A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9">
              <w:r w:rsidR="00F14B9B">
                <w:rPr>
                  <w:sz w:val="20"/>
                  <w:szCs w:val="20"/>
                </w:rPr>
                <w:t>(</w:t>
              </w:r>
              <w:proofErr w:type="spellStart"/>
              <w:r w:rsidR="00F14B9B">
                <w:rPr>
                  <w:sz w:val="20"/>
                  <w:szCs w:val="20"/>
                </w:rPr>
                <w:t>Dukler</w:t>
              </w:r>
              <w:proofErr w:type="spellEnd"/>
              <w:r w:rsidR="00F14B9B">
                <w:rPr>
                  <w:sz w:val="20"/>
                  <w:szCs w:val="20"/>
                </w:rPr>
                <w:t xml:space="preserve"> et al. 2017)</w:t>
              </w:r>
            </w:hyperlink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Holdout</w:t>
            </w:r>
          </w:p>
        </w:tc>
      </w:tr>
      <w:tr w:rsidR="005F4400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G8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K562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49,159,579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9,813,838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GSM1622612</w:t>
            </w:r>
          </w:p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GSM1622613</w:t>
            </w:r>
          </w:p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GSM1622614</w:t>
            </w:r>
          </w:p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GSM1622615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GRO-seq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Niskane</w:t>
            </w:r>
            <w:proofErr w:type="spellEnd"/>
            <w:r>
              <w:rPr>
                <w:sz w:val="20"/>
                <w:szCs w:val="20"/>
              </w:rPr>
              <w:t xml:space="preserve"> et al. 2015)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Holdout</w:t>
            </w:r>
          </w:p>
        </w:tc>
      </w:tr>
      <w:tr w:rsidR="005F4400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GM12878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105,936,649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9,738,488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GSM1480326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GRO-seq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(Core et al. 2014)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Holdout</w:t>
            </w:r>
          </w:p>
        </w:tc>
      </w:tr>
      <w:tr w:rsidR="005F4400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GH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HCT116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118,728,260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11,660,354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GSM1304424</w:t>
            </w:r>
          </w:p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GSM1304425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GRO-seq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(Allen et al, 2014)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Holdout</w:t>
            </w:r>
          </w:p>
        </w:tc>
      </w:tr>
      <w:tr w:rsidR="005F4400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CD4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CD4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33,087,414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4,952,646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GSM2265095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PRO-seq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A6505A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10">
              <w:r w:rsidR="00F14B9B">
                <w:rPr>
                  <w:sz w:val="20"/>
                  <w:szCs w:val="20"/>
                </w:rPr>
                <w:t>(Danko et al. 2018)</w:t>
              </w:r>
            </w:hyperlink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Holdout</w:t>
            </w:r>
          </w:p>
        </w:tc>
      </w:tr>
      <w:tr w:rsidR="005F4400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MCF7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MCF-7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92,614,853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10,913,834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GSM1014637</w:t>
            </w:r>
          </w:p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GSM1014638</w:t>
            </w:r>
          </w:p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GSM1014637</w:t>
            </w:r>
          </w:p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GSM1014638</w:t>
            </w:r>
          </w:p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GSM1014639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GRO-seq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A6505A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11">
              <w:r w:rsidR="00F14B9B">
                <w:rPr>
                  <w:sz w:val="20"/>
                  <w:szCs w:val="20"/>
                </w:rPr>
                <w:t>(Hah et al. 2011; Danko et al. 2013)</w:t>
              </w:r>
            </w:hyperlink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Holdout</w:t>
            </w:r>
          </w:p>
        </w:tc>
      </w:tr>
      <w:tr w:rsidR="005F4400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H1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HELA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5,812,515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1,629,415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GSE62046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GRO-seq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Andersson</w:t>
            </w:r>
            <w:proofErr w:type="spellEnd"/>
            <w:r>
              <w:rPr>
                <w:sz w:val="20"/>
                <w:szCs w:val="20"/>
              </w:rPr>
              <w:t xml:space="preserve">  et al. 2014)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Holdout</w:t>
            </w:r>
          </w:p>
        </w:tc>
      </w:tr>
      <w:tr w:rsidR="005F4400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H2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HELA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97,917,818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4,690,367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GSM1474225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mNET</w:t>
            </w:r>
            <w:proofErr w:type="spellEnd"/>
            <w:r>
              <w:rPr>
                <w:sz w:val="20"/>
                <w:szCs w:val="20"/>
              </w:rPr>
              <w:t>-seq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A6505A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12">
              <w:r w:rsidR="00F14B9B">
                <w:rPr>
                  <w:sz w:val="20"/>
                  <w:szCs w:val="20"/>
                </w:rPr>
                <w:t>(</w:t>
              </w:r>
              <w:proofErr w:type="spellStart"/>
              <w:r w:rsidR="00F14B9B">
                <w:rPr>
                  <w:sz w:val="20"/>
                  <w:szCs w:val="20"/>
                </w:rPr>
                <w:t>Nojima</w:t>
              </w:r>
              <w:proofErr w:type="spellEnd"/>
              <w:r w:rsidR="00F14B9B">
                <w:rPr>
                  <w:sz w:val="20"/>
                  <w:szCs w:val="20"/>
                </w:rPr>
                <w:t xml:space="preserve"> et al. 2015)</w:t>
              </w:r>
            </w:hyperlink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Holdout</w:t>
            </w:r>
          </w:p>
        </w:tc>
      </w:tr>
      <w:tr w:rsidR="005F4400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H3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HELA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80,739,276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20,385,352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GSM1505438</w:t>
            </w:r>
          </w:p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GSM1505439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mNET</w:t>
            </w:r>
            <w:proofErr w:type="spellEnd"/>
            <w:r>
              <w:rPr>
                <w:sz w:val="20"/>
                <w:szCs w:val="20"/>
              </w:rPr>
              <w:t>-seq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A6505A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13">
              <w:r w:rsidR="00F14B9B">
                <w:rPr>
                  <w:sz w:val="20"/>
                  <w:szCs w:val="20"/>
                </w:rPr>
                <w:t>(Mayer et al. 2015)</w:t>
              </w:r>
            </w:hyperlink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00" w:rsidRDefault="00F14B9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Holdout</w:t>
            </w:r>
          </w:p>
        </w:tc>
      </w:tr>
    </w:tbl>
    <w:p w:rsidR="005F4400" w:rsidRDefault="005F4400">
      <w:pPr>
        <w:spacing w:line="240" w:lineRule="auto"/>
        <w:rPr>
          <w:b/>
        </w:rPr>
      </w:pPr>
    </w:p>
    <w:p w:rsidR="005F4400" w:rsidRDefault="00F14B9B">
      <w:pPr>
        <w:spacing w:line="240" w:lineRule="auto"/>
      </w:pPr>
      <w:r>
        <w:rPr>
          <w:b/>
        </w:rPr>
        <w:t xml:space="preserve">Supplemental Table S1: Sources of PRO-seq data used in </w:t>
      </w:r>
      <w:proofErr w:type="spellStart"/>
      <w:r>
        <w:rPr>
          <w:b/>
        </w:rPr>
        <w:t>dREG</w:t>
      </w:r>
      <w:proofErr w:type="spellEnd"/>
      <w:r>
        <w:rPr>
          <w:b/>
        </w:rPr>
        <w:t xml:space="preserve"> model training and evaluation.</w:t>
      </w:r>
      <w:r>
        <w:t xml:space="preserve"> Columns show the data identification number, cell line, number of mapped sequence reads, informative sites in which </w:t>
      </w:r>
      <w:proofErr w:type="spellStart"/>
      <w:r>
        <w:t>dREG</w:t>
      </w:r>
      <w:proofErr w:type="spellEnd"/>
      <w:r>
        <w:t xml:space="preserve"> scores were computed, reference, and the role (training or holdout validation) in this particular study.</w:t>
      </w:r>
    </w:p>
    <w:sectPr w:rsidR="005F4400">
      <w:headerReference w:type="first" r:id="rId14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05A" w:rsidRDefault="00A6505A">
      <w:pPr>
        <w:spacing w:line="240" w:lineRule="auto"/>
      </w:pPr>
      <w:r>
        <w:separator/>
      </w:r>
    </w:p>
  </w:endnote>
  <w:endnote w:type="continuationSeparator" w:id="0">
    <w:p w:rsidR="00A6505A" w:rsidRDefault="00A650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05A" w:rsidRDefault="00A6505A">
      <w:pPr>
        <w:spacing w:line="240" w:lineRule="auto"/>
      </w:pPr>
      <w:r>
        <w:separator/>
      </w:r>
    </w:p>
  </w:footnote>
  <w:footnote w:type="continuationSeparator" w:id="0">
    <w:p w:rsidR="00A6505A" w:rsidRDefault="00A650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400" w:rsidRDefault="00F14B9B">
    <w:pPr>
      <w:spacing w:line="240" w:lineRule="auto"/>
      <w:rPr>
        <w:b/>
        <w:sz w:val="28"/>
        <w:szCs w:val="28"/>
      </w:rPr>
    </w:pPr>
    <w:r>
      <w:rPr>
        <w:b/>
        <w:sz w:val="28"/>
        <w:szCs w:val="28"/>
      </w:rPr>
      <w:t>Supplementa</w:t>
    </w:r>
    <w:r w:rsidR="00EC001E">
      <w:rPr>
        <w:b/>
        <w:sz w:val="28"/>
        <w:szCs w:val="28"/>
      </w:rPr>
      <w:t>l</w:t>
    </w:r>
    <w:r>
      <w:rPr>
        <w:b/>
        <w:sz w:val="28"/>
        <w:szCs w:val="28"/>
      </w:rPr>
      <w:t xml:space="preserve"> Tables</w:t>
    </w:r>
  </w:p>
  <w:p w:rsidR="005F4400" w:rsidRDefault="005F44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F4400"/>
    <w:rsid w:val="001147DE"/>
    <w:rsid w:val="005F4400"/>
    <w:rsid w:val="00A6505A"/>
    <w:rsid w:val="00EC001E"/>
    <w:rsid w:val="00F1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001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01E"/>
  </w:style>
  <w:style w:type="paragraph" w:styleId="Footer">
    <w:name w:val="footer"/>
    <w:basedOn w:val="Normal"/>
    <w:link w:val="FooterChar"/>
    <w:uiPriority w:val="99"/>
    <w:unhideWhenUsed/>
    <w:rsid w:val="00EC00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001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01E"/>
  </w:style>
  <w:style w:type="paragraph" w:styleId="Footer">
    <w:name w:val="footer"/>
    <w:basedOn w:val="Normal"/>
    <w:link w:val="FooterChar"/>
    <w:uiPriority w:val="99"/>
    <w:unhideWhenUsed/>
    <w:rsid w:val="00EC00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erpile.com/c/CQYcsv/SPNT" TargetMode="External"/><Relationship Id="rId13" Type="http://schemas.openxmlformats.org/officeDocument/2006/relationships/hyperlink" Target="https://paperpile.com/c/CQYcsv/9EYa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perpile.com/c/CQYcsv/v2Yw" TargetMode="External"/><Relationship Id="rId12" Type="http://schemas.openxmlformats.org/officeDocument/2006/relationships/hyperlink" Target="https://paperpile.com/c/CQYcsv/O8cyj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paperpile.com/c/CQYcsv/8nZV+vqW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aperpile.com/c/CQYcsv/Mnk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perpile.com/c/CQYcsv/SPN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Danko</dc:creator>
  <cp:lastModifiedBy>Charles Danko</cp:lastModifiedBy>
  <cp:revision>3</cp:revision>
  <dcterms:created xsi:type="dcterms:W3CDTF">2018-12-15T23:22:00Z</dcterms:created>
  <dcterms:modified xsi:type="dcterms:W3CDTF">2018-12-15T23:22:00Z</dcterms:modified>
</cp:coreProperties>
</file>