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45B78" w14:textId="57F83D1E" w:rsidR="00B80F7F" w:rsidRPr="003023EC" w:rsidRDefault="00B80F7F" w:rsidP="00B80F7F">
      <w:pPr>
        <w:pStyle w:val="SOMHead"/>
        <w:rPr>
          <w:sz w:val="28"/>
          <w:szCs w:val="28"/>
        </w:rPr>
      </w:pPr>
      <w:r w:rsidRPr="003023EC">
        <w:rPr>
          <w:sz w:val="28"/>
          <w:szCs w:val="28"/>
        </w:rPr>
        <w:t xml:space="preserve">Supplementary </w:t>
      </w:r>
      <w:r w:rsidR="006764E9">
        <w:rPr>
          <w:sz w:val="28"/>
          <w:szCs w:val="28"/>
        </w:rPr>
        <w:t>Methods</w:t>
      </w:r>
      <w:r w:rsidRPr="003023EC">
        <w:rPr>
          <w:sz w:val="28"/>
          <w:szCs w:val="28"/>
        </w:rPr>
        <w:t>:</w:t>
      </w:r>
    </w:p>
    <w:p w14:paraId="56708743" w14:textId="77777777" w:rsidR="00B80F7F" w:rsidRPr="003023EC" w:rsidRDefault="00B80F7F" w:rsidP="00B80F7F">
      <w:pPr>
        <w:spacing w:before="120"/>
        <w:rPr>
          <w:rFonts w:ascii="Times New Roman" w:hAnsi="Times New Roman"/>
          <w:b/>
          <w:sz w:val="28"/>
        </w:rPr>
      </w:pPr>
      <w:r w:rsidRPr="003023EC">
        <w:rPr>
          <w:rFonts w:ascii="Times New Roman" w:hAnsi="Times New Roman"/>
          <w:b/>
          <w:sz w:val="24"/>
          <w:szCs w:val="24"/>
        </w:rPr>
        <w:t>Experimental Procedure:</w:t>
      </w:r>
    </w:p>
    <w:p w14:paraId="3601F34D" w14:textId="77777777" w:rsidR="00B80F7F" w:rsidRPr="003023EC" w:rsidRDefault="00B80F7F" w:rsidP="00B80F7F">
      <w:pPr>
        <w:spacing w:before="120"/>
        <w:rPr>
          <w:rFonts w:ascii="Times New Roman" w:hAnsi="Times New Roman"/>
          <w:b/>
          <w:sz w:val="24"/>
        </w:rPr>
      </w:pPr>
      <w:r w:rsidRPr="003023EC">
        <w:rPr>
          <w:rFonts w:ascii="Times New Roman" w:hAnsi="Times New Roman"/>
          <w:b/>
          <w:sz w:val="24"/>
        </w:rPr>
        <w:t xml:space="preserve">Tissue </w:t>
      </w:r>
      <w:r w:rsidR="00333D76" w:rsidRPr="003023EC">
        <w:rPr>
          <w:rFonts w:ascii="Times New Roman" w:hAnsi="Times New Roman"/>
          <w:b/>
          <w:sz w:val="24"/>
        </w:rPr>
        <w:t>c</w:t>
      </w:r>
      <w:r w:rsidRPr="003023EC">
        <w:rPr>
          <w:rFonts w:ascii="Times New Roman" w:hAnsi="Times New Roman"/>
          <w:b/>
          <w:sz w:val="24"/>
        </w:rPr>
        <w:t>ollection</w:t>
      </w:r>
    </w:p>
    <w:p w14:paraId="03DFA246" w14:textId="77777777" w:rsidR="00B80F7F" w:rsidRPr="003023EC" w:rsidRDefault="00B80F7F" w:rsidP="00B80F7F">
      <w:pPr>
        <w:spacing w:before="120"/>
        <w:rPr>
          <w:rFonts w:ascii="Times New Roman" w:hAnsi="Times New Roman"/>
          <w:sz w:val="24"/>
          <w:szCs w:val="24"/>
        </w:rPr>
      </w:pPr>
      <w:r w:rsidRPr="003023EC">
        <w:rPr>
          <w:rFonts w:ascii="Times New Roman" w:hAnsi="Times New Roman"/>
          <w:sz w:val="24"/>
          <w:szCs w:val="24"/>
        </w:rPr>
        <w:t xml:space="preserve">Normal liver tissue was obtained from deceased donor at the time of organ procurement at Zhongshan Hospital, Fudan University (Shanghai, China) after research consent from family was obtained. Hepatoma sample was obtained from a patient with hepatic carcinoma in Zhongshan Hospital (Shanghai, China). Informed consent was obtained from all subjects. Samples were flash frozen with liquid nitrogen. </w:t>
      </w:r>
    </w:p>
    <w:p w14:paraId="35610DFA" w14:textId="77777777" w:rsidR="00B80F7F" w:rsidRPr="003023EC" w:rsidRDefault="00B80F7F" w:rsidP="00B80F7F">
      <w:pPr>
        <w:spacing w:before="120"/>
        <w:rPr>
          <w:rFonts w:ascii="Times New Roman" w:hAnsi="Times New Roman"/>
          <w:b/>
          <w:sz w:val="24"/>
          <w:szCs w:val="24"/>
        </w:rPr>
      </w:pPr>
      <w:r w:rsidRPr="003023EC">
        <w:rPr>
          <w:rFonts w:ascii="Times New Roman" w:hAnsi="Times New Roman"/>
          <w:b/>
          <w:sz w:val="24"/>
          <w:szCs w:val="24"/>
        </w:rPr>
        <w:t>Hepatocellular carcinoma (HCC) cell lines</w:t>
      </w:r>
    </w:p>
    <w:p w14:paraId="7C045F3B" w14:textId="41465463" w:rsidR="00B80F7F" w:rsidRPr="003023EC" w:rsidRDefault="00B97882" w:rsidP="00565C70">
      <w:pPr>
        <w:spacing w:before="120"/>
        <w:rPr>
          <w:rFonts w:ascii="Times New Roman" w:hAnsi="Times New Roman"/>
          <w:sz w:val="24"/>
          <w:szCs w:val="24"/>
        </w:rPr>
      </w:pPr>
      <w:r w:rsidRPr="003023EC">
        <w:rPr>
          <w:rFonts w:ascii="Times New Roman" w:hAnsi="Times New Roman"/>
          <w:sz w:val="24"/>
          <w:szCs w:val="24"/>
        </w:rPr>
        <w:t>97L and LM3 are hepatoma</w:t>
      </w:r>
      <w:r w:rsidR="00B80F7F" w:rsidRPr="003023EC">
        <w:rPr>
          <w:rFonts w:ascii="Times New Roman" w:hAnsi="Times New Roman"/>
          <w:sz w:val="24"/>
          <w:szCs w:val="24"/>
        </w:rPr>
        <w:t xml:space="preserve"> cell lines provided by the Liver Cancer Institute of Fudan University (Shanghai, China). 97L and LM3 are both derived from the parent metastatic human HCC cell line MHCC97, but have different metastatic potentials. 97L (full name MHCC97-L) has less metastatic potential while MHCC97-H has higher metastatic potential to lung. For LM3, MHCC97-H were inoculated into BALB/c nude mice, and the pulmonary metastatic lesions were harvested and re-implanted into nude mice for the second round of in vivo selection. The same procedure was repeated twice. LM3 was established from the third round with high metastatic potential to lung. Cell lines were cultured at 37˚C in 5% CO</w:t>
      </w:r>
      <w:r w:rsidR="00B80F7F" w:rsidRPr="003023EC">
        <w:rPr>
          <w:rFonts w:ascii="Times New Roman" w:hAnsi="Times New Roman"/>
          <w:sz w:val="24"/>
          <w:szCs w:val="24"/>
          <w:vertAlign w:val="subscript"/>
        </w:rPr>
        <w:t>2</w:t>
      </w:r>
      <w:r w:rsidR="00B80F7F" w:rsidRPr="003023EC">
        <w:rPr>
          <w:rFonts w:ascii="Times New Roman" w:hAnsi="Times New Roman"/>
          <w:sz w:val="24"/>
          <w:szCs w:val="24"/>
        </w:rPr>
        <w:t xml:space="preserve"> in high-glucose DMEM (Hyclone, USA) supplemented with 10% fetal bovine serum (Hyclone, USA), and collected under standard tissue culture protocols.</w:t>
      </w:r>
    </w:p>
    <w:p w14:paraId="45B5DB1A" w14:textId="77777777" w:rsidR="00B80F7F" w:rsidRPr="003023EC" w:rsidRDefault="00B80F7F" w:rsidP="00B80F7F">
      <w:pPr>
        <w:spacing w:before="120"/>
        <w:rPr>
          <w:rFonts w:ascii="Times New Roman" w:hAnsi="Times New Roman"/>
          <w:b/>
          <w:sz w:val="24"/>
          <w:szCs w:val="24"/>
        </w:rPr>
      </w:pPr>
      <w:r w:rsidRPr="003023EC">
        <w:rPr>
          <w:rFonts w:ascii="Times New Roman" w:hAnsi="Times New Roman"/>
          <w:b/>
          <w:sz w:val="24"/>
          <w:szCs w:val="24"/>
        </w:rPr>
        <w:t>Chromatin Immunoprecipitation Sequencing (ChIP-seq)</w:t>
      </w:r>
    </w:p>
    <w:p w14:paraId="6CA3478A" w14:textId="02551A44" w:rsidR="00B80F7F" w:rsidRPr="003023EC" w:rsidRDefault="00B80F7F" w:rsidP="00B80F7F">
      <w:pPr>
        <w:spacing w:before="120"/>
        <w:rPr>
          <w:rFonts w:ascii="Times New Roman" w:hAnsi="Times New Roman"/>
          <w:sz w:val="24"/>
          <w:szCs w:val="24"/>
        </w:rPr>
      </w:pPr>
      <w:r w:rsidRPr="003023EC">
        <w:rPr>
          <w:rFonts w:ascii="Times New Roman" w:hAnsi="Times New Roman"/>
          <w:sz w:val="24"/>
          <w:szCs w:val="24"/>
        </w:rPr>
        <w:t>ChIP was carried out in 97L and LM3 cell lines according to the standard protocol. Briefly, approximate 300μg fixed chromatin and 5μg antibody, including H3K4me3 (Abcam, ab8580), H3K27ac (Abcam, ab4729) and H3K36me3 (Abcam, ab9050), were used for each ChIP pull-down. ChIP library preparation and sequencing procedures were carried out according to Illumina protocols (Illumina, San Diego, CA).</w:t>
      </w:r>
      <w:r w:rsidR="0026641C" w:rsidRPr="003023EC">
        <w:rPr>
          <w:rFonts w:ascii="Times New Roman" w:hAnsi="Times New Roman"/>
          <w:sz w:val="24"/>
          <w:szCs w:val="24"/>
        </w:rPr>
        <w:t xml:space="preserve"> Liver ChIP-seq data were downloaded from GEO database</w:t>
      </w:r>
      <w:r w:rsidR="002032A7" w:rsidRPr="003023EC">
        <w:rPr>
          <w:rFonts w:ascii="Times New Roman" w:hAnsi="Times New Roman"/>
          <w:sz w:val="24"/>
          <w:szCs w:val="24"/>
        </w:rPr>
        <w:t>, including H3K4me3 (GSM537697, GSM537709 and GSM621675), H3K27ac (</w:t>
      </w:r>
      <w:r w:rsidR="000C28EA" w:rsidRPr="003023EC">
        <w:rPr>
          <w:rFonts w:ascii="Times New Roman" w:hAnsi="Times New Roman"/>
          <w:sz w:val="24"/>
          <w:szCs w:val="24"/>
        </w:rPr>
        <w:t>GSM1112809</w:t>
      </w:r>
      <w:r w:rsidR="002032A7" w:rsidRPr="003023EC">
        <w:rPr>
          <w:rFonts w:ascii="Times New Roman" w:hAnsi="Times New Roman"/>
          <w:sz w:val="24"/>
          <w:szCs w:val="24"/>
        </w:rPr>
        <w:t>) and H3K36me3 (</w:t>
      </w:r>
      <w:r w:rsidR="000C28EA" w:rsidRPr="003023EC">
        <w:rPr>
          <w:rFonts w:ascii="Times New Roman" w:hAnsi="Times New Roman"/>
          <w:sz w:val="24"/>
          <w:szCs w:val="24"/>
        </w:rPr>
        <w:t>GSM537699 and GSM537708</w:t>
      </w:r>
      <w:r w:rsidR="002032A7" w:rsidRPr="003023EC">
        <w:rPr>
          <w:rFonts w:ascii="Times New Roman" w:hAnsi="Times New Roman"/>
          <w:sz w:val="24"/>
          <w:szCs w:val="24"/>
        </w:rPr>
        <w:t>)</w:t>
      </w:r>
      <w:r w:rsidR="000C28EA" w:rsidRPr="003023EC">
        <w:rPr>
          <w:rFonts w:ascii="Times New Roman" w:hAnsi="Times New Roman"/>
          <w:sz w:val="24"/>
          <w:szCs w:val="24"/>
        </w:rPr>
        <w:t>.</w:t>
      </w:r>
    </w:p>
    <w:p w14:paraId="4EFC63D5" w14:textId="77777777" w:rsidR="00B80F7F" w:rsidRPr="003023EC" w:rsidRDefault="00B80F7F" w:rsidP="00B80F7F">
      <w:pPr>
        <w:spacing w:before="120"/>
        <w:rPr>
          <w:rFonts w:ascii="Times New Roman" w:hAnsi="Times New Roman"/>
          <w:sz w:val="24"/>
          <w:szCs w:val="24"/>
        </w:rPr>
      </w:pPr>
      <w:r w:rsidRPr="003023EC">
        <w:rPr>
          <w:rFonts w:ascii="Times New Roman" w:hAnsi="Times New Roman"/>
          <w:b/>
          <w:sz w:val="24"/>
          <w:szCs w:val="24"/>
        </w:rPr>
        <w:t>RNA-seq</w:t>
      </w:r>
    </w:p>
    <w:p w14:paraId="438EAF08" w14:textId="752342CF" w:rsidR="00B80F7F" w:rsidRPr="003023EC" w:rsidRDefault="00B80F7F" w:rsidP="00B80F7F">
      <w:pPr>
        <w:spacing w:before="240"/>
        <w:rPr>
          <w:rFonts w:ascii="Times New Roman" w:hAnsi="Times New Roman"/>
          <w:sz w:val="24"/>
          <w:szCs w:val="24"/>
        </w:rPr>
      </w:pPr>
      <w:r w:rsidRPr="003023EC">
        <w:rPr>
          <w:rFonts w:ascii="Times New Roman" w:hAnsi="Times New Roman"/>
          <w:sz w:val="24"/>
          <w:szCs w:val="24"/>
        </w:rPr>
        <w:t>We extracted approximate 6 micrograms of total RNA and removed ribosomal RNA (rRNA) according to the manufacturer’s instructions with minor modifications (</w:t>
      </w:r>
      <w:r w:rsidRPr="003023EC">
        <w:rPr>
          <w:rFonts w:ascii="Times New Roman" w:eastAsia="宋体" w:hAnsi="Times New Roman"/>
          <w:bCs/>
          <w:kern w:val="0"/>
          <w:sz w:val="24"/>
          <w:szCs w:val="24"/>
        </w:rPr>
        <w:t>Invitrogen)</w:t>
      </w:r>
      <w:r w:rsidRPr="003023EC">
        <w:rPr>
          <w:rFonts w:ascii="Times New Roman" w:hAnsi="Times New Roman"/>
          <w:sz w:val="24"/>
          <w:szCs w:val="24"/>
        </w:rPr>
        <w:t>. The remaining RNA was processed for sequencing library preparation with RNA-seq Library Preparation Kit for Whole Transcriptome Discovery (Huijiebio, China). Briefly, the RNA was incubated with fragmentation buffer for 5 min at 95 ˚C, then immediately cooled down on ice and ligated a 5’ single-strand linker, the cDNA synthesis was performed followed by PCR purification and size selection (400-500bp). The obtained library was sequenced with pair-end model (2×100bp) by Hi</w:t>
      </w:r>
      <w:r w:rsidR="00625485">
        <w:rPr>
          <w:rFonts w:ascii="Times New Roman" w:hAnsi="Times New Roman"/>
          <w:sz w:val="24"/>
          <w:szCs w:val="24"/>
        </w:rPr>
        <w:t xml:space="preserve"> </w:t>
      </w:r>
      <w:r w:rsidRPr="003023EC">
        <w:rPr>
          <w:rFonts w:ascii="Times New Roman" w:hAnsi="Times New Roman"/>
          <w:sz w:val="24"/>
          <w:szCs w:val="24"/>
        </w:rPr>
        <w:t>Seq 2500 (Illumina, San Diego, CA).</w:t>
      </w:r>
    </w:p>
    <w:p w14:paraId="53DD98C7" w14:textId="77777777" w:rsidR="00B80F7F" w:rsidRPr="003023EC" w:rsidRDefault="00B80F7F" w:rsidP="00B80F7F">
      <w:pPr>
        <w:spacing w:before="120"/>
        <w:rPr>
          <w:rFonts w:ascii="Times New Roman" w:hAnsi="Times New Roman"/>
          <w:b/>
          <w:sz w:val="24"/>
          <w:szCs w:val="24"/>
        </w:rPr>
      </w:pPr>
      <w:r w:rsidRPr="003023EC">
        <w:rPr>
          <w:rFonts w:ascii="Times New Roman" w:hAnsi="Times New Roman"/>
          <w:b/>
          <w:sz w:val="24"/>
          <w:szCs w:val="24"/>
        </w:rPr>
        <w:lastRenderedPageBreak/>
        <w:t xml:space="preserve">Bisulfite pyrosequencing </w:t>
      </w:r>
    </w:p>
    <w:p w14:paraId="773AE015" w14:textId="77777777" w:rsidR="00B80F7F" w:rsidRPr="003023EC" w:rsidRDefault="00B80F7F" w:rsidP="00B80F7F">
      <w:pPr>
        <w:spacing w:before="120"/>
        <w:rPr>
          <w:rFonts w:ascii="Times New Roman" w:hAnsi="Times New Roman"/>
          <w:sz w:val="24"/>
          <w:szCs w:val="24"/>
        </w:rPr>
      </w:pPr>
      <w:r w:rsidRPr="003023EC">
        <w:rPr>
          <w:rFonts w:ascii="Times New Roman" w:hAnsi="Times New Roman"/>
          <w:sz w:val="24"/>
          <w:szCs w:val="24"/>
        </w:rPr>
        <w:t xml:space="preserve">The nested-PCR was performed to produce the single band PCR products for bisulfite pyrosequencing. The first round PCR was generated in a 10μL reaction volume with 5μL 2×Taq PCR Master Mix (LifeFeng, Cat No.PT102), 100 nM of forward primer and 100nM reverse primer which tagged by a sequence recognized by the universal primer, and 1μL Template. The second round PCR was generated in a 30μL reaction volume with 15μL 2×Taq PCR Master Mix, 200 nM of forward primer and 200 uM universal biotin reverse primer, and 2μL product from first round PCR as template. The two rounds PCR conditions were 98°C for 30 seconds, followed by 30 cycles of denaturation at 98°C for 10 seconds, annealing at 58°C for 30 seconds, and elongation at 72°C for 30 seconds, and finished with 1 cycle of final elongation at 72°C for 5 minutes. </w:t>
      </w:r>
    </w:p>
    <w:p w14:paraId="28B38502" w14:textId="77777777" w:rsidR="00B80F7F" w:rsidRPr="003023EC" w:rsidRDefault="00B80F7F" w:rsidP="00B80F7F">
      <w:pPr>
        <w:spacing w:before="120"/>
        <w:rPr>
          <w:rFonts w:ascii="Times New Roman" w:hAnsi="Times New Roman"/>
          <w:sz w:val="24"/>
          <w:szCs w:val="24"/>
        </w:rPr>
      </w:pPr>
      <w:r w:rsidRPr="003023EC">
        <w:rPr>
          <w:rFonts w:ascii="Times New Roman" w:hAnsi="Times New Roman"/>
          <w:sz w:val="24"/>
          <w:szCs w:val="24"/>
        </w:rPr>
        <w:t>PCR products (20μL) were added to a mix consisting of 3μL Streptavidin Sepharose HP (GE Healthcare, Germany, Cat No. 17-5113-01), 40μL binding buffer (Qiagen, Hilden, Germany, 979006) and 17μL ddH</w:t>
      </w:r>
      <w:r w:rsidRPr="003023EC">
        <w:rPr>
          <w:rFonts w:ascii="Times New Roman" w:hAnsi="Times New Roman"/>
          <w:sz w:val="24"/>
          <w:szCs w:val="24"/>
          <w:vertAlign w:val="subscript"/>
        </w:rPr>
        <w:t>2</w:t>
      </w:r>
      <w:r w:rsidRPr="003023EC">
        <w:rPr>
          <w:rFonts w:ascii="Times New Roman" w:hAnsi="Times New Roman"/>
          <w:sz w:val="24"/>
          <w:szCs w:val="24"/>
        </w:rPr>
        <w:t>O, then mixed at 1400 rpm for 10 minutes at room temperature. Using the Vacuum Prep Tool (Qiagen, Hilden, Germany, 972804), single-stranded PCR products were prepared following the manufacturer’s instructions. The sepharose beads with the single stranded templates attached were released into a PSQ 96 Plate Low (Qiagen, Hilden, Germany) containing a mix of 40μL annealing buffer (Qiagen, Hilden, Germany) with 400 nM of the corresponding sequencing primer. Pyrosequencing reactions were performed in a PyroMark ID System (Qiagen, Hilden, Germany) according to the manufacturer’s instructions using the PyroMark Gold 96 Reagent Kit (Qiagen, Hilden, Germany). CpG site quantification was performed using the methylation Software Pyro Q-CpG.</w:t>
      </w:r>
    </w:p>
    <w:p w14:paraId="0A026F7A" w14:textId="77777777" w:rsidR="00B80F7F" w:rsidRPr="003023EC" w:rsidRDefault="00B80F7F" w:rsidP="00B80F7F">
      <w:pPr>
        <w:spacing w:before="120"/>
        <w:rPr>
          <w:rFonts w:ascii="Times New Roman" w:hAnsi="Times New Roman"/>
          <w:b/>
          <w:sz w:val="24"/>
          <w:szCs w:val="24"/>
        </w:rPr>
      </w:pPr>
    </w:p>
    <w:p w14:paraId="1A7B5551" w14:textId="77777777" w:rsidR="00B80F7F" w:rsidRPr="003023EC" w:rsidRDefault="00B80F7F" w:rsidP="00B80F7F">
      <w:pPr>
        <w:spacing w:before="120"/>
        <w:rPr>
          <w:rFonts w:ascii="Times New Roman" w:hAnsi="Times New Roman"/>
          <w:b/>
          <w:sz w:val="24"/>
          <w:szCs w:val="24"/>
        </w:rPr>
      </w:pPr>
      <w:r w:rsidRPr="003023EC">
        <w:rPr>
          <w:rFonts w:ascii="Times New Roman" w:hAnsi="Times New Roman"/>
          <w:b/>
          <w:sz w:val="24"/>
          <w:szCs w:val="24"/>
        </w:rPr>
        <w:t>Bioinformatic analysis:</w:t>
      </w:r>
    </w:p>
    <w:p w14:paraId="0884CE89" w14:textId="77777777" w:rsidR="00B80F7F" w:rsidRPr="003023EC" w:rsidRDefault="00B80F7F" w:rsidP="00B80F7F">
      <w:pPr>
        <w:spacing w:before="120"/>
        <w:rPr>
          <w:rFonts w:ascii="Times New Roman" w:hAnsi="Times New Roman"/>
          <w:b/>
          <w:sz w:val="24"/>
          <w:szCs w:val="24"/>
        </w:rPr>
      </w:pPr>
      <w:r w:rsidRPr="003023EC">
        <w:rPr>
          <w:rFonts w:ascii="Times New Roman" w:hAnsi="Times New Roman"/>
          <w:b/>
          <w:sz w:val="24"/>
          <w:szCs w:val="24"/>
        </w:rPr>
        <w:t xml:space="preserve">ChIP-seq </w:t>
      </w:r>
      <w:r w:rsidR="00333D76" w:rsidRPr="003023EC">
        <w:rPr>
          <w:rFonts w:ascii="Times New Roman" w:hAnsi="Times New Roman"/>
          <w:b/>
          <w:sz w:val="24"/>
          <w:szCs w:val="24"/>
        </w:rPr>
        <w:t>a</w:t>
      </w:r>
      <w:r w:rsidRPr="003023EC">
        <w:rPr>
          <w:rFonts w:ascii="Times New Roman" w:hAnsi="Times New Roman"/>
          <w:b/>
          <w:sz w:val="24"/>
          <w:szCs w:val="24"/>
        </w:rPr>
        <w:t>nalysis</w:t>
      </w:r>
    </w:p>
    <w:p w14:paraId="69F40388" w14:textId="0FA2675C" w:rsidR="00B80F7F" w:rsidRPr="003023EC" w:rsidRDefault="00B80F7F" w:rsidP="00B80F7F">
      <w:pPr>
        <w:spacing w:before="120"/>
        <w:rPr>
          <w:rFonts w:ascii="Times New Roman" w:hAnsi="Times New Roman"/>
          <w:sz w:val="24"/>
          <w:szCs w:val="24"/>
        </w:rPr>
      </w:pPr>
      <w:r w:rsidRPr="003023EC">
        <w:rPr>
          <w:rFonts w:ascii="Times New Roman" w:hAnsi="Times New Roman"/>
          <w:sz w:val="24"/>
          <w:szCs w:val="24"/>
        </w:rPr>
        <w:t>We firstly filtered out low quality reads with NGS</w:t>
      </w:r>
      <w:r w:rsidR="00875FA9" w:rsidRPr="003023EC">
        <w:rPr>
          <w:rFonts w:ascii="Times New Roman" w:hAnsi="Times New Roman"/>
          <w:sz w:val="24"/>
          <w:szCs w:val="24"/>
        </w:rPr>
        <w:t xml:space="preserve"> </w:t>
      </w:r>
      <w:r w:rsidRPr="003023EC">
        <w:rPr>
          <w:rFonts w:ascii="Times New Roman" w:hAnsi="Times New Roman"/>
          <w:sz w:val="24"/>
          <w:szCs w:val="24"/>
        </w:rPr>
        <w:t>QC</w:t>
      </w:r>
      <w:r w:rsidR="00875FA9" w:rsidRPr="003023EC">
        <w:rPr>
          <w:rFonts w:ascii="Times New Roman" w:hAnsi="Times New Roman"/>
          <w:sz w:val="24"/>
          <w:szCs w:val="24"/>
        </w:rPr>
        <w:t xml:space="preserve"> </w:t>
      </w:r>
      <w:r w:rsidRPr="003023EC">
        <w:rPr>
          <w:rFonts w:ascii="Times New Roman" w:hAnsi="Times New Roman"/>
          <w:sz w:val="24"/>
          <w:szCs w:val="24"/>
        </w:rPr>
        <w:t>Toolkit</w:t>
      </w:r>
      <w:r w:rsidR="006764E9">
        <w:rPr>
          <w:rFonts w:ascii="Times New Roman" w:hAnsi="Times New Roman"/>
          <w:sz w:val="24"/>
          <w:szCs w:val="24"/>
        </w:rPr>
        <w:t xml:space="preserve"> v2.3.3 </w:t>
      </w:r>
      <w:r w:rsidR="006764E9">
        <w:rPr>
          <w:rFonts w:ascii="Times New Roman" w:hAnsi="Times New Roman"/>
          <w:sz w:val="24"/>
          <w:szCs w:val="24"/>
        </w:rPr>
        <w:fldChar w:fldCharType="begin"/>
      </w:r>
      <w:r w:rsidR="006764E9">
        <w:rPr>
          <w:rFonts w:ascii="Times New Roman" w:hAnsi="Times New Roman"/>
          <w:sz w:val="24"/>
          <w:szCs w:val="24"/>
        </w:rPr>
        <w:instrText xml:space="preserve"> ADDIN EN.CITE &lt;EndNote&gt;&lt;Cite&gt;&lt;Author&gt;Patel&lt;/Author&gt;&lt;Year&gt;2012&lt;/Year&gt;&lt;RecNum&gt;144&lt;/RecNum&gt;&lt;DisplayText&gt;(Patel and Jain 2012)&lt;/DisplayText&gt;&lt;record&gt;&lt;rec-number&gt;144&lt;/rec-number&gt;&lt;foreign-keys&gt;&lt;key app="EN" db-id="5evr9pfaexrzvwevtw3x220jszszx09sxawd" timestamp="1528368372"&gt;144&lt;/key&gt;&lt;/foreign-keys&gt;&lt;ref-type name="Journal Article"&gt;17&lt;/ref-type&gt;&lt;contributors&gt;&lt;authors&gt;&lt;author&gt;Patel, R. K.&lt;/author&gt;&lt;author&gt;Jain, M.&lt;/author&gt;&lt;/authors&gt;&lt;/contributors&gt;&lt;auth-address&gt;Functional Genomics and Bioinformatics Laboratory, National Institute of Plant Genome Research (NIPGR), New Delhi, India.&lt;/auth-address&gt;&lt;titles&gt;&lt;title&gt;NGS QC Toolkit: a toolkit for quality control of next generation sequencing data&lt;/title&gt;&lt;secondary-title&gt;PLoS One&lt;/secondary-title&gt;&lt;/titles&gt;&lt;periodical&gt;&lt;full-title&gt;PLoS One&lt;/full-title&gt;&lt;/periodical&gt;&lt;pages&gt;e30619&lt;/pages&gt;&lt;volume&gt;7&lt;/volume&gt;&lt;number&gt;2&lt;/number&gt;&lt;keywords&gt;&lt;keyword&gt;DNA Primers/genetics&lt;/keyword&gt;&lt;keyword&gt;Data Compression&lt;/keyword&gt;&lt;keyword&gt;High-Throughput Nucleotide Sequencing&lt;/keyword&gt;&lt;keyword&gt;Polymerization&lt;/keyword&gt;&lt;keyword&gt;Quality Control&lt;/keyword&gt;&lt;keyword&gt;Sequence Analysis/*methods/standards&lt;/keyword&gt;&lt;keyword&gt;Statistics as Topic&lt;/keyword&gt;&lt;/keywords&gt;&lt;dates&gt;&lt;year&gt;2012&lt;/year&gt;&lt;/dates&gt;&lt;isbn&gt;1932-6203 (Electronic)&amp;#xD;1932-6203 (Linking)&lt;/isbn&gt;&lt;accession-num&gt;22312429&lt;/accession-num&gt;&lt;urls&gt;&lt;related-urls&gt;&lt;url&gt;https://www.ncbi.nlm.nih.gov/pubmed/22312429&lt;/url&gt;&lt;/related-urls&gt;&lt;/urls&gt;&lt;custom2&gt;PMC3270013&lt;/custom2&gt;&lt;electronic-resource-num&gt;10.1371/journal.pone.0030619&lt;/electronic-resource-num&gt;&lt;/record&gt;&lt;/Cite&gt;&lt;/EndNote&gt;</w:instrText>
      </w:r>
      <w:r w:rsidR="006764E9">
        <w:rPr>
          <w:rFonts w:ascii="Times New Roman" w:hAnsi="Times New Roman"/>
          <w:sz w:val="24"/>
          <w:szCs w:val="24"/>
        </w:rPr>
        <w:fldChar w:fldCharType="separate"/>
      </w:r>
      <w:r w:rsidR="006764E9">
        <w:rPr>
          <w:rFonts w:ascii="Times New Roman" w:hAnsi="Times New Roman"/>
          <w:noProof/>
          <w:sz w:val="24"/>
          <w:szCs w:val="24"/>
        </w:rPr>
        <w:t>(Patel and Jain 2012)</w:t>
      </w:r>
      <w:r w:rsidR="006764E9">
        <w:rPr>
          <w:rFonts w:ascii="Times New Roman" w:hAnsi="Times New Roman"/>
          <w:sz w:val="24"/>
          <w:szCs w:val="24"/>
        </w:rPr>
        <w:fldChar w:fldCharType="end"/>
      </w:r>
      <w:r w:rsidRPr="003023EC">
        <w:rPr>
          <w:rFonts w:ascii="Times New Roman" w:hAnsi="Times New Roman"/>
          <w:sz w:val="24"/>
          <w:szCs w:val="24"/>
        </w:rPr>
        <w:t>. The remaining reads were aligned to human reference genome (hg19) with Bowtie (version 1.0.0)</w:t>
      </w:r>
      <w:r w:rsidR="006764E9">
        <w:rPr>
          <w:rFonts w:ascii="Times New Roman" w:hAnsi="Times New Roman"/>
          <w:sz w:val="24"/>
          <w:szCs w:val="24"/>
        </w:rPr>
        <w:t xml:space="preserve"> </w:t>
      </w:r>
      <w:r w:rsidR="006764E9">
        <w:rPr>
          <w:rFonts w:ascii="Times New Roman" w:hAnsi="Times New Roman"/>
          <w:sz w:val="24"/>
          <w:szCs w:val="24"/>
        </w:rPr>
        <w:fldChar w:fldCharType="begin"/>
      </w:r>
      <w:r w:rsidR="006764E9">
        <w:rPr>
          <w:rFonts w:ascii="Times New Roman" w:hAnsi="Times New Roman"/>
          <w:sz w:val="24"/>
          <w:szCs w:val="24"/>
        </w:rPr>
        <w:instrText xml:space="preserve"> ADDIN EN.CITE &lt;EndNote&gt;&lt;Cite&gt;&lt;Author&gt;Langmead&lt;/Author&gt;&lt;Year&gt;2012&lt;/Year&gt;&lt;RecNum&gt;49&lt;/RecNum&gt;&lt;DisplayText&gt;(Langmead and Salzberg 2012)&lt;/DisplayText&gt;&lt;record&gt;&lt;rec-number&gt;49&lt;/rec-number&gt;&lt;foreign-keys&gt;&lt;key app="EN" db-id="5evr9pfaexrzvwevtw3x220jszszx09sxawd" timestamp="1490603639"&gt;49&lt;/key&gt;&lt;/foreign-keys&gt;&lt;ref-type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Methods&lt;/secondary-title&gt;&lt;/titles&gt;&lt;periodical&gt;&lt;full-title&gt;Nat Methods&lt;/full-title&gt;&lt;/periodical&gt;&lt;pages&gt;357-9&lt;/pages&gt;&lt;volume&gt;9&lt;/volume&gt;&lt;number&gt;4&lt;/number&gt;&lt;keywords&gt;&lt;keyword&gt;*Algorithms&lt;/keyword&gt;&lt;keyword&gt;Computational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DNA/methods&lt;/keyword&gt;&lt;/keywords&gt;&lt;dates&gt;&lt;year&gt;2012&lt;/year&gt;&lt;pub-dates&gt;&lt;date&gt;Mar 04&lt;/date&gt;&lt;/pub-dates&gt;&lt;/dates&gt;&lt;isbn&gt;1548-7105 (Electronic)&amp;#xD;1548-7091 (Linking)&lt;/isbn&gt;&lt;accession-num&gt;22388286&lt;/accession-num&gt;&lt;urls&gt;&lt;related-urls&gt;&lt;url&gt;https://www.ncbi.nlm.nih.gov/pubmed/22388286&lt;/url&gt;&lt;/related-urls&gt;&lt;/urls&gt;&lt;custom2&gt;PMC3322381&lt;/custom2&gt;&lt;electronic-resource-num&gt;10.1038/nmeth.1923&lt;/electronic-resource-num&gt;&lt;/record&gt;&lt;/Cite&gt;&lt;/EndNote&gt;</w:instrText>
      </w:r>
      <w:r w:rsidR="006764E9">
        <w:rPr>
          <w:rFonts w:ascii="Times New Roman" w:hAnsi="Times New Roman"/>
          <w:sz w:val="24"/>
          <w:szCs w:val="24"/>
        </w:rPr>
        <w:fldChar w:fldCharType="separate"/>
      </w:r>
      <w:r w:rsidR="006764E9">
        <w:rPr>
          <w:rFonts w:ascii="Times New Roman" w:hAnsi="Times New Roman"/>
          <w:noProof/>
          <w:sz w:val="24"/>
          <w:szCs w:val="24"/>
        </w:rPr>
        <w:t>(Langmead and Salzberg 2012)</w:t>
      </w:r>
      <w:r w:rsidR="006764E9">
        <w:rPr>
          <w:rFonts w:ascii="Times New Roman" w:hAnsi="Times New Roman"/>
          <w:sz w:val="24"/>
          <w:szCs w:val="24"/>
        </w:rPr>
        <w:fldChar w:fldCharType="end"/>
      </w:r>
      <w:r w:rsidRPr="003023EC">
        <w:rPr>
          <w:rFonts w:ascii="Times New Roman" w:hAnsi="Times New Roman"/>
          <w:sz w:val="24"/>
          <w:szCs w:val="24"/>
        </w:rPr>
        <w:t xml:space="preserve">. The human reference genome (hg19) was downloaded from the UCSC website (http://www.genome.ucsc.edu). The alignment was unique mapping and allowed up to 2 mismatches. Peaks were identified </w:t>
      </w:r>
      <w:r w:rsidR="004264E7">
        <w:rPr>
          <w:rFonts w:ascii="Times New Roman" w:hAnsi="Times New Roman" w:hint="eastAsia"/>
          <w:sz w:val="24"/>
          <w:szCs w:val="24"/>
        </w:rPr>
        <w:t>using</w:t>
      </w:r>
      <w:r w:rsidRPr="003023EC">
        <w:rPr>
          <w:rFonts w:ascii="Times New Roman" w:hAnsi="Times New Roman"/>
          <w:sz w:val="24"/>
          <w:szCs w:val="24"/>
        </w:rPr>
        <w:t xml:space="preserve"> the MACS (version1.4)</w:t>
      </w:r>
      <w:r w:rsidR="006764E9">
        <w:rPr>
          <w:rFonts w:ascii="Times New Roman" w:hAnsi="Times New Roman"/>
          <w:sz w:val="24"/>
          <w:szCs w:val="24"/>
        </w:rPr>
        <w:t xml:space="preserve"> </w:t>
      </w:r>
      <w:r w:rsidR="006764E9">
        <w:rPr>
          <w:rFonts w:ascii="Times New Roman" w:hAnsi="Times New Roman"/>
          <w:sz w:val="24"/>
          <w:szCs w:val="24"/>
        </w:rPr>
        <w:fldChar w:fldCharType="begin"/>
      </w:r>
      <w:r w:rsidR="006764E9">
        <w:rPr>
          <w:rFonts w:ascii="Times New Roman" w:hAnsi="Times New Roman"/>
          <w:sz w:val="24"/>
          <w:szCs w:val="24"/>
        </w:rPr>
        <w:instrText xml:space="preserve"> ADDIN EN.CITE &lt;EndNote&gt;&lt;Cite&gt;&lt;Author&gt;Zhang&lt;/Author&gt;&lt;Year&gt;2008&lt;/Year&gt;&lt;RecNum&gt;146&lt;/RecNum&gt;&lt;DisplayText&gt;(Zhang et al. 2008)&lt;/DisplayText&gt;&lt;record&gt;&lt;rec-number&gt;146&lt;/rec-number&gt;&lt;foreign-keys&gt;&lt;key app="EN" db-id="5evr9pfaexrzvwevtw3x220jszszx09sxawd" timestamp="1528368546"&gt;146&lt;/key&gt;&lt;/foreign-keys&gt;&lt;ref-type name="Journal Article"&gt;17&lt;/ref-type&gt;&lt;contributors&gt;&lt;authors&gt;&lt;author&gt;Zhang, Y.&lt;/author&gt;&lt;author&gt;Liu, T.&lt;/author&gt;&lt;author&gt;Meyer, C. A.&lt;/author&gt;&lt;author&gt;Eeckhoute, J.&lt;/author&gt;&lt;author&gt;Johnson, D. S.&lt;/author&gt;&lt;author&gt;Bernstein, B. E.&lt;/author&gt;&lt;author&gt;Nusbaum, C.&lt;/author&gt;&lt;author&gt;Myers, R. M.&lt;/author&gt;&lt;author&gt;Brown, M.&lt;/author&gt;&lt;author&gt;Li, W.&lt;/author&gt;&lt;author&gt;Liu, X. S.&lt;/author&gt;&lt;/authors&gt;&lt;/contributors&gt;&lt;auth-address&gt;Department of Biostatistics and Computational Biology, Dana-Farber Cancer Institute and Harvard School of Public Health, Boston, MA 02115, USA.&lt;/auth-address&gt;&lt;titles&gt;&lt;title&gt;Model-based analysis of ChIP-Seq (MACS)&lt;/title&gt;&lt;secondary-title&gt;Genome Biol&lt;/secondary-title&gt;&lt;/titles&gt;&lt;periodical&gt;&lt;full-title&gt;Genome Biol&lt;/full-title&gt;&lt;/periodical&gt;&lt;pages&gt;R137&lt;/pages&gt;&lt;volume&gt;9&lt;/volume&gt;&lt;number&gt;9&lt;/number&gt;&lt;keywords&gt;&lt;keyword&gt;*Algorithms&lt;/keyword&gt;&lt;keyword&gt;Cell Line, Tumor&lt;/keyword&gt;&lt;keyword&gt;Chromatin Immunoprecipitation/*methods&lt;/keyword&gt;&lt;keyword&gt;Hepatocyte Nuclear Factor 3-alpha/analysis/*genetics&lt;/keyword&gt;&lt;keyword&gt;Humans&lt;/keyword&gt;&lt;keyword&gt;Models, Genetic&lt;/keyword&gt;&lt;keyword&gt;Oligonucleotide Array Sequence Analysis/*methods&lt;/keyword&gt;&lt;/keywords&gt;&lt;dates&gt;&lt;year&gt;2008&lt;/year&gt;&lt;/dates&gt;&lt;isbn&gt;1474-760X (Electronic)&amp;#xD;1474-7596 (Linking)&lt;/isbn&gt;&lt;accession-num&gt;18798982&lt;/accession-num&gt;&lt;urls&gt;&lt;related-urls&gt;&lt;url&gt;https://www.ncbi.nlm.nih.gov/pubmed/18798982&lt;/url&gt;&lt;/related-urls&gt;&lt;/urls&gt;&lt;custom2&gt;PMC2592715&lt;/custom2&gt;&lt;electronic-resource-num&gt;10.1186/gb-2008-9-9-r137&lt;/electronic-resource-num&gt;&lt;/record&gt;&lt;/Cite&gt;&lt;/EndNote&gt;</w:instrText>
      </w:r>
      <w:r w:rsidR="006764E9">
        <w:rPr>
          <w:rFonts w:ascii="Times New Roman" w:hAnsi="Times New Roman"/>
          <w:sz w:val="24"/>
          <w:szCs w:val="24"/>
        </w:rPr>
        <w:fldChar w:fldCharType="separate"/>
      </w:r>
      <w:r w:rsidR="006764E9">
        <w:rPr>
          <w:rFonts w:ascii="Times New Roman" w:hAnsi="Times New Roman"/>
          <w:noProof/>
          <w:sz w:val="24"/>
          <w:szCs w:val="24"/>
        </w:rPr>
        <w:t>(Zhang et al. 2008)</w:t>
      </w:r>
      <w:r w:rsidR="006764E9">
        <w:rPr>
          <w:rFonts w:ascii="Times New Roman" w:hAnsi="Times New Roman"/>
          <w:sz w:val="24"/>
          <w:szCs w:val="24"/>
        </w:rPr>
        <w:fldChar w:fldCharType="end"/>
      </w:r>
      <w:r w:rsidRPr="003023EC">
        <w:rPr>
          <w:rFonts w:ascii="Times New Roman" w:hAnsi="Times New Roman"/>
          <w:sz w:val="24"/>
          <w:szCs w:val="24"/>
        </w:rPr>
        <w:t xml:space="preserve"> with “-nomodel” and other default parameters. For ChIP-seq comparison across samples, ChIP-seq signal was normalized according to the number of mapped reads of samples. Histone modification density in promoters or genebodies was calculated as ChIP-seq signal summation divided by promoter/genebody length. The promoter was defined as ±1kb around transcript start site. In correlation analysis between ChIP-seq signal and expression level, the curve in the scatter plot was based on a generalized additive model in R and fitted by the method of cubic smoothing.</w:t>
      </w:r>
    </w:p>
    <w:p w14:paraId="51386739" w14:textId="77777777" w:rsidR="00B80F7F" w:rsidRPr="00590384" w:rsidRDefault="00B80F7F" w:rsidP="00B80F7F">
      <w:pPr>
        <w:spacing w:before="120"/>
        <w:rPr>
          <w:rFonts w:ascii="Times New Roman" w:hAnsi="Times New Roman"/>
          <w:b/>
          <w:sz w:val="24"/>
          <w:szCs w:val="24"/>
        </w:rPr>
      </w:pPr>
      <w:r w:rsidRPr="003023EC">
        <w:rPr>
          <w:rFonts w:ascii="Times New Roman" w:hAnsi="Times New Roman"/>
          <w:b/>
          <w:sz w:val="24"/>
          <w:szCs w:val="24"/>
        </w:rPr>
        <w:t xml:space="preserve">RNA-seq </w:t>
      </w:r>
      <w:r w:rsidR="00333D76" w:rsidRPr="00590384">
        <w:rPr>
          <w:rFonts w:ascii="Times New Roman" w:hAnsi="Times New Roman"/>
          <w:b/>
          <w:sz w:val="24"/>
          <w:szCs w:val="24"/>
        </w:rPr>
        <w:t>a</w:t>
      </w:r>
      <w:r w:rsidRPr="00590384">
        <w:rPr>
          <w:rFonts w:ascii="Times New Roman" w:hAnsi="Times New Roman"/>
          <w:b/>
          <w:sz w:val="24"/>
          <w:szCs w:val="24"/>
        </w:rPr>
        <w:t>nalysis</w:t>
      </w:r>
    </w:p>
    <w:p w14:paraId="66922D80" w14:textId="77777777" w:rsidR="00DD06B8" w:rsidRDefault="00B80F7F" w:rsidP="00DD06B8">
      <w:pPr>
        <w:widowControl/>
        <w:spacing w:before="120"/>
        <w:rPr>
          <w:rFonts w:ascii="Times New Roman" w:hAnsi="Times New Roman"/>
          <w:sz w:val="24"/>
          <w:szCs w:val="24"/>
        </w:rPr>
      </w:pPr>
      <w:r w:rsidRPr="00590384">
        <w:rPr>
          <w:rFonts w:ascii="Times New Roman" w:hAnsi="Times New Roman"/>
          <w:sz w:val="24"/>
          <w:szCs w:val="24"/>
        </w:rPr>
        <w:lastRenderedPageBreak/>
        <w:t xml:space="preserve">We firstly filtered out low quality reads with </w:t>
      </w:r>
      <w:r w:rsidR="00223A8A" w:rsidRPr="00590384">
        <w:rPr>
          <w:rFonts w:ascii="Times New Roman" w:hAnsi="Times New Roman"/>
          <w:sz w:val="24"/>
          <w:szCs w:val="24"/>
        </w:rPr>
        <w:t>Trim G</w:t>
      </w:r>
      <w:r w:rsidRPr="00590384">
        <w:rPr>
          <w:rFonts w:ascii="Times New Roman" w:hAnsi="Times New Roman"/>
          <w:sz w:val="24"/>
          <w:szCs w:val="24"/>
        </w:rPr>
        <w:t>alore (v0.4.0</w:t>
      </w:r>
      <w:r w:rsidR="008B0A42" w:rsidRPr="00590384">
        <w:rPr>
          <w:rFonts w:ascii="Times New Roman" w:hAnsi="Times New Roman"/>
          <w:sz w:val="24"/>
          <w:szCs w:val="24"/>
        </w:rPr>
        <w:t>, http://www.bioinformatics.babraham.ac.uk/projects/trim_galore/</w:t>
      </w:r>
      <w:r w:rsidRPr="00590384">
        <w:rPr>
          <w:rFonts w:ascii="Times New Roman" w:hAnsi="Times New Roman"/>
          <w:sz w:val="24"/>
          <w:szCs w:val="24"/>
        </w:rPr>
        <w:t xml:space="preserve">). Then mRNA-seq reads were aligned to hg19 </w:t>
      </w:r>
      <w:r w:rsidR="00221049" w:rsidRPr="00590384">
        <w:rPr>
          <w:rFonts w:ascii="Times New Roman" w:hAnsi="Times New Roman"/>
          <w:sz w:val="24"/>
          <w:szCs w:val="24"/>
        </w:rPr>
        <w:t>using</w:t>
      </w:r>
      <w:r w:rsidRPr="00590384">
        <w:rPr>
          <w:rFonts w:ascii="Times New Roman" w:hAnsi="Times New Roman"/>
          <w:sz w:val="24"/>
          <w:szCs w:val="24"/>
        </w:rPr>
        <w:t xml:space="preserve"> TopHat2 (v2.0.12) </w:t>
      </w:r>
      <w:r w:rsidR="006764E9">
        <w:rPr>
          <w:rFonts w:ascii="Times New Roman" w:hAnsi="Times New Roman"/>
          <w:sz w:val="24"/>
          <w:szCs w:val="24"/>
        </w:rPr>
        <w:fldChar w:fldCharType="begin"/>
      </w:r>
      <w:r w:rsidR="006764E9">
        <w:rPr>
          <w:rFonts w:ascii="Times New Roman" w:hAnsi="Times New Roman"/>
          <w:sz w:val="24"/>
          <w:szCs w:val="24"/>
        </w:rPr>
        <w:instrText xml:space="preserve"> ADDIN EN.CITE &lt;EndNote&gt;&lt;Cite&gt;&lt;Author&gt;Kim&lt;/Author&gt;&lt;Year&gt;2013&lt;/Year&gt;&lt;RecNum&gt;154&lt;/RecNum&gt;&lt;DisplayText&gt;(Kim et al. 2013)&lt;/DisplayText&gt;&lt;record&gt;&lt;rec-number&gt;154&lt;/rec-number&gt;&lt;foreign-keys&gt;&lt;key app="EN" db-id="5evr9pfaexrzvwevtw3x220jszszx09sxawd" timestamp="1528368609"&gt;154&lt;/key&gt;&lt;/foreign-keys&gt;&lt;ref-type name="Journal Article"&gt;17&lt;/ref-type&gt;&lt;contributors&gt;&lt;authors&gt;&lt;author&gt;Kim, D.&lt;/author&gt;&lt;author&gt;Pertea, G.&lt;/author&gt;&lt;author&gt;Trapnell, C.&lt;/author&gt;&lt;author&gt;Pimentel, H.&lt;/author&gt;&lt;author&gt;Kelley, R.&lt;/author&gt;&lt;author&gt;Salzberg, S. L.&lt;/author&gt;&lt;/authors&gt;&lt;/contributors&gt;&lt;titles&gt;&lt;title&gt;TopHat2: accurate alignment of transcriptomes in the presence of insertions, deletions and gene fusions&lt;/title&gt;&lt;secondary-title&gt;Genome Biol&lt;/secondary-title&gt;&lt;/titles&gt;&lt;periodical&gt;&lt;full-title&gt;Genome Biol&lt;/full-title&gt;&lt;/periodical&gt;&lt;pages&gt;R36&lt;/pages&gt;&lt;volume&gt;14&lt;/volume&gt;&lt;number&gt;4&lt;/number&gt;&lt;keywords&gt;&lt;keyword&gt;*Gene Duplication&lt;/keyword&gt;&lt;keyword&gt;*Gene Fusion&lt;/keyword&gt;&lt;keyword&gt;Humans&lt;/keyword&gt;&lt;keyword&gt;*Mutagenesis, Insertional&lt;/keyword&gt;&lt;keyword&gt;Sensitivity and Specificity&lt;/keyword&gt;&lt;keyword&gt;Sequence Alignment/*methods&lt;/keyword&gt;&lt;keyword&gt;Sequence Analysis, RNA/methods&lt;/keyword&gt;&lt;keyword&gt;*Software&lt;/keyword&gt;&lt;keyword&gt;Transcriptome&lt;/keyword&gt;&lt;/keywords&gt;&lt;dates&gt;&lt;year&gt;2013&lt;/year&gt;&lt;pub-dates&gt;&lt;date&gt;Apr 25&lt;/date&gt;&lt;/pub-dates&gt;&lt;/dates&gt;&lt;isbn&gt;1474-760X (Electronic)&amp;#xD;1474-7596 (Linking)&lt;/isbn&gt;&lt;accession-num&gt;23618408&lt;/accession-num&gt;&lt;urls&gt;&lt;related-urls&gt;&lt;url&gt;https://www.ncbi.nlm.nih.gov/pubmed/23618408&lt;/url&gt;&lt;/related-urls&gt;&lt;/urls&gt;&lt;custom2&gt;PMC4053844&lt;/custom2&gt;&lt;electronic-resource-num&gt;10.1186/gb-2013-14-4-r36&lt;/electronic-resource-num&gt;&lt;/record&gt;&lt;/Cite&gt;&lt;/EndNote&gt;</w:instrText>
      </w:r>
      <w:r w:rsidR="006764E9">
        <w:rPr>
          <w:rFonts w:ascii="Times New Roman" w:hAnsi="Times New Roman"/>
          <w:sz w:val="24"/>
          <w:szCs w:val="24"/>
        </w:rPr>
        <w:fldChar w:fldCharType="separate"/>
      </w:r>
      <w:r w:rsidR="006764E9">
        <w:rPr>
          <w:rFonts w:ascii="Times New Roman" w:hAnsi="Times New Roman"/>
          <w:noProof/>
          <w:sz w:val="24"/>
          <w:szCs w:val="24"/>
        </w:rPr>
        <w:t>(Kim et al. 2013)</w:t>
      </w:r>
      <w:r w:rsidR="006764E9">
        <w:rPr>
          <w:rFonts w:ascii="Times New Roman" w:hAnsi="Times New Roman"/>
          <w:sz w:val="24"/>
          <w:szCs w:val="24"/>
        </w:rPr>
        <w:fldChar w:fldCharType="end"/>
      </w:r>
      <w:r w:rsidR="006764E9">
        <w:rPr>
          <w:rFonts w:ascii="Times New Roman" w:hAnsi="Times New Roman"/>
          <w:sz w:val="24"/>
          <w:szCs w:val="24"/>
        </w:rPr>
        <w:t xml:space="preserve"> </w:t>
      </w:r>
      <w:r w:rsidRPr="00590384">
        <w:rPr>
          <w:rFonts w:ascii="Times New Roman" w:hAnsi="Times New Roman"/>
          <w:sz w:val="24"/>
          <w:szCs w:val="24"/>
        </w:rPr>
        <w:t>with default parameters. The mapped reads were further used for identifying gene FPKM</w:t>
      </w:r>
      <w:r w:rsidR="00900D76" w:rsidRPr="00590384">
        <w:rPr>
          <w:rFonts w:ascii="Times New Roman" w:hAnsi="Times New Roman"/>
          <w:sz w:val="24"/>
          <w:szCs w:val="24"/>
        </w:rPr>
        <w:t xml:space="preserve"> (</w:t>
      </w:r>
      <w:r w:rsidR="00F2246E" w:rsidRPr="00590384">
        <w:rPr>
          <w:rFonts w:ascii="Times New Roman" w:hAnsi="Times New Roman"/>
          <w:sz w:val="24"/>
          <w:szCs w:val="24"/>
        </w:rPr>
        <w:t>Fragments Per Kilobase of exon per Million fragments mapped</w:t>
      </w:r>
      <w:r w:rsidR="00900D76" w:rsidRPr="00590384">
        <w:rPr>
          <w:rFonts w:ascii="Times New Roman" w:hAnsi="Times New Roman"/>
          <w:sz w:val="24"/>
          <w:szCs w:val="24"/>
        </w:rPr>
        <w:t>)</w:t>
      </w:r>
      <w:r w:rsidRPr="00590384">
        <w:rPr>
          <w:rFonts w:ascii="Times New Roman" w:hAnsi="Times New Roman"/>
          <w:sz w:val="24"/>
          <w:szCs w:val="24"/>
        </w:rPr>
        <w:t xml:space="preserve"> </w:t>
      </w:r>
      <w:r w:rsidR="00BB32E4" w:rsidRPr="00590384">
        <w:rPr>
          <w:rFonts w:ascii="Times New Roman" w:hAnsi="Times New Roman"/>
          <w:sz w:val="24"/>
          <w:szCs w:val="24"/>
        </w:rPr>
        <w:t>using</w:t>
      </w:r>
      <w:r w:rsidRPr="00590384">
        <w:rPr>
          <w:rFonts w:ascii="Times New Roman" w:hAnsi="Times New Roman"/>
          <w:sz w:val="24"/>
          <w:szCs w:val="24"/>
        </w:rPr>
        <w:t xml:space="preserve"> Cufflinks (v2.2.1) </w:t>
      </w:r>
      <w:r w:rsidR="006764E9">
        <w:rPr>
          <w:rFonts w:ascii="Times New Roman" w:hAnsi="Times New Roman"/>
          <w:sz w:val="24"/>
          <w:szCs w:val="24"/>
        </w:rPr>
        <w:fldChar w:fldCharType="begin"/>
      </w:r>
      <w:r w:rsidR="006764E9">
        <w:rPr>
          <w:rFonts w:ascii="Times New Roman" w:hAnsi="Times New Roman"/>
          <w:sz w:val="24"/>
          <w:szCs w:val="24"/>
        </w:rPr>
        <w:instrText xml:space="preserve"> ADDIN EN.CITE &lt;EndNote&gt;&lt;Cite&gt;&lt;Author&gt;Trapnell&lt;/Author&gt;&lt;Year&gt;2012&lt;/Year&gt;&lt;RecNum&gt;155&lt;/RecNum&gt;&lt;DisplayText&gt;(Trapnell et al. 2012)&lt;/DisplayText&gt;&lt;record&gt;&lt;rec-number&gt;155&lt;/rec-number&gt;&lt;foreign-keys&gt;&lt;key app="EN" db-id="5evr9pfaexrzvwevtw3x220jszszx09sxawd" timestamp="1528368652"&gt;155&lt;/key&gt;&lt;/foreign-keys&gt;&lt;ref-type name="Journal Article"&gt;17&lt;/ref-type&gt;&lt;contributors&gt;&lt;authors&gt;&lt;author&gt;Trapnell, C.&lt;/author&gt;&lt;author&gt;Roberts, A.&lt;/author&gt;&lt;author&gt;Goff, L.&lt;/author&gt;&lt;author&gt;Pertea, G.&lt;/author&gt;&lt;author&gt;Kim, D.&lt;/author&gt;&lt;author&gt;Kelley, D. R.&lt;/author&gt;&lt;author&gt;Pimentel, H.&lt;/author&gt;&lt;author&gt;Salzberg, S. L.&lt;/author&gt;&lt;author&gt;Rinn, J. L.&lt;/author&gt;&lt;author&gt;Pachter, L.&lt;/author&gt;&lt;/authors&gt;&lt;/contributors&gt;&lt;auth-address&gt;Broad Institute of MIT and Harvard, Cambridge, Massachusetts, USA. cole@broadinstitute.org&lt;/auth-address&gt;&lt;titles&gt;&lt;title&gt;Differential gene and transcript expression analysis of RNA-seq experiments with TopHat and Cufflinks&lt;/title&gt;&lt;secondary-title&gt;Nat Protoc&lt;/secondary-title&gt;&lt;/titles&gt;&lt;periodical&gt;&lt;full-title&gt;Nat Protoc&lt;/full-title&gt;&lt;/periodical&gt;&lt;pages&gt;562-78&lt;/pages&gt;&lt;volume&gt;7&lt;/volume&gt;&lt;number&gt;3&lt;/number&gt;&lt;keywords&gt;&lt;keyword&gt;DNA, Complementary/*genetics&lt;/keyword&gt;&lt;keyword&gt;Gene Expression Profiling/*methods&lt;/keyword&gt;&lt;keyword&gt;Genetic Association Studies/*methods&lt;/keyword&gt;&lt;keyword&gt;Genomics/*methods&lt;/keyword&gt;&lt;keyword&gt;Sequence Analysis, DNA/*methods&lt;/keyword&gt;&lt;keyword&gt;*Software&lt;/keyword&gt;&lt;/keywords&gt;&lt;dates&gt;&lt;year&gt;2012&lt;/year&gt;&lt;pub-dates&gt;&lt;date&gt;Mar 1&lt;/date&gt;&lt;/pub-dates&gt;&lt;/dates&gt;&lt;isbn&gt;1750-2799 (Electronic)&amp;#xD;1750-2799 (Linking)&lt;/isbn&gt;&lt;accession-num&gt;22383036&lt;/accession-num&gt;&lt;urls&gt;&lt;related-urls&gt;&lt;url&gt;https://www.ncbi.nlm.nih.gov/pubmed/22383036&lt;/url&gt;&lt;/related-urls&gt;&lt;/urls&gt;&lt;custom2&gt;PMC3334321&lt;/custom2&gt;&lt;electronic-resource-num&gt;10.1038/nprot.2012.016&lt;/electronic-resource-num&gt;&lt;/record&gt;&lt;/Cite&gt;&lt;/EndNote&gt;</w:instrText>
      </w:r>
      <w:r w:rsidR="006764E9">
        <w:rPr>
          <w:rFonts w:ascii="Times New Roman" w:hAnsi="Times New Roman"/>
          <w:sz w:val="24"/>
          <w:szCs w:val="24"/>
        </w:rPr>
        <w:fldChar w:fldCharType="separate"/>
      </w:r>
      <w:r w:rsidR="006764E9">
        <w:rPr>
          <w:rFonts w:ascii="Times New Roman" w:hAnsi="Times New Roman"/>
          <w:noProof/>
          <w:sz w:val="24"/>
          <w:szCs w:val="24"/>
        </w:rPr>
        <w:t>(Trapnell et al. 2012)</w:t>
      </w:r>
      <w:r w:rsidR="006764E9">
        <w:rPr>
          <w:rFonts w:ascii="Times New Roman" w:hAnsi="Times New Roman"/>
          <w:sz w:val="24"/>
          <w:szCs w:val="24"/>
        </w:rPr>
        <w:fldChar w:fldCharType="end"/>
      </w:r>
      <w:r w:rsidR="006764E9">
        <w:rPr>
          <w:rFonts w:ascii="Times New Roman" w:hAnsi="Times New Roman"/>
          <w:sz w:val="24"/>
          <w:szCs w:val="24"/>
        </w:rPr>
        <w:t xml:space="preserve"> </w:t>
      </w:r>
      <w:r w:rsidRPr="00590384">
        <w:rPr>
          <w:rFonts w:ascii="Times New Roman" w:hAnsi="Times New Roman"/>
          <w:sz w:val="24"/>
          <w:szCs w:val="24"/>
        </w:rPr>
        <w:t xml:space="preserve">with default parameters. The RefSeq </w:t>
      </w:r>
      <w:r w:rsidR="00261F1D" w:rsidRPr="00590384">
        <w:rPr>
          <w:rFonts w:ascii="Times New Roman" w:hAnsi="Times New Roman"/>
          <w:sz w:val="24"/>
          <w:szCs w:val="24"/>
        </w:rPr>
        <w:t xml:space="preserve">genes </w:t>
      </w:r>
      <w:r w:rsidRPr="00590384">
        <w:rPr>
          <w:rFonts w:ascii="Times New Roman" w:hAnsi="Times New Roman"/>
          <w:sz w:val="24"/>
          <w:szCs w:val="24"/>
        </w:rPr>
        <w:t>(hg19) w</w:t>
      </w:r>
      <w:r w:rsidR="00261F1D" w:rsidRPr="00590384">
        <w:rPr>
          <w:rFonts w:ascii="Times New Roman" w:hAnsi="Times New Roman"/>
          <w:sz w:val="24"/>
          <w:szCs w:val="24"/>
        </w:rPr>
        <w:t>ere</w:t>
      </w:r>
      <w:r w:rsidRPr="00590384">
        <w:rPr>
          <w:rFonts w:ascii="Times New Roman" w:hAnsi="Times New Roman"/>
          <w:sz w:val="24"/>
          <w:szCs w:val="24"/>
        </w:rPr>
        <w:t xml:space="preserve"> used as gene annotation and obtained from the UCSC website. The gene FPKMs in the four samples, including liver tissue, primary liver cancer, 97L and LM3, were normalized with normalize.quantiles and preprocessCore packages in the Bioconductor website (</w:t>
      </w:r>
      <w:hyperlink r:id="rId6" w:history="1">
        <w:r w:rsidRPr="00590384">
          <w:rPr>
            <w:rFonts w:ascii="Times New Roman" w:hAnsi="Times New Roman"/>
          </w:rPr>
          <w:t>https://www.bioconductor.org/)</w:t>
        </w:r>
      </w:hyperlink>
      <w:r w:rsidRPr="00590384">
        <w:rPr>
          <w:rFonts w:ascii="Times New Roman" w:hAnsi="Times New Roman"/>
          <w:sz w:val="24"/>
          <w:szCs w:val="24"/>
        </w:rPr>
        <w:t>. As for up- or down-regulated genes, a minimal of two-fold change in expression level (FPKM) was required and genes with low expression (FPKM&lt;1) in both samples were removed.</w:t>
      </w:r>
    </w:p>
    <w:p w14:paraId="53C401EF" w14:textId="10E86816" w:rsidR="00B80F7F" w:rsidRPr="00565C70" w:rsidRDefault="00B80F7F" w:rsidP="00DD06B8">
      <w:pPr>
        <w:widowControl/>
        <w:spacing w:before="120"/>
        <w:rPr>
          <w:rFonts w:ascii="Times New Roman" w:eastAsia="Times New Roman" w:hAnsi="Times New Roman"/>
          <w:kern w:val="0"/>
          <w:sz w:val="24"/>
          <w:szCs w:val="24"/>
        </w:rPr>
      </w:pPr>
      <w:r w:rsidRPr="003023EC">
        <w:rPr>
          <w:rFonts w:ascii="Times New Roman" w:hAnsi="Times New Roman"/>
          <w:b/>
          <w:sz w:val="24"/>
          <w:szCs w:val="24"/>
        </w:rPr>
        <w:t>Simulated data generation</w:t>
      </w:r>
    </w:p>
    <w:p w14:paraId="218B215E" w14:textId="1F06B4F3" w:rsidR="00B80F7F" w:rsidRPr="003023EC" w:rsidRDefault="00B80F7F" w:rsidP="00DD06B8">
      <w:pPr>
        <w:spacing w:before="120"/>
        <w:rPr>
          <w:rFonts w:ascii="Times New Roman" w:hAnsi="Times New Roman"/>
          <w:sz w:val="24"/>
          <w:szCs w:val="24"/>
        </w:rPr>
      </w:pPr>
      <w:r w:rsidRPr="003023EC">
        <w:rPr>
          <w:rFonts w:ascii="Times New Roman" w:hAnsi="Times New Roman"/>
          <w:sz w:val="24"/>
          <w:szCs w:val="24"/>
        </w:rPr>
        <w:t xml:space="preserve">Simulated pair-end reads were randomly selected from hg19 genome. Read1 and Read2 were of 100bp length. The length of the interval between a read pair was normally </w:t>
      </w:r>
      <w:r w:rsidR="00F85AD7">
        <w:rPr>
          <w:rFonts w:ascii="Times New Roman" w:hAnsi="Times New Roman" w:hint="eastAsia"/>
          <w:sz w:val="24"/>
          <w:szCs w:val="24"/>
        </w:rPr>
        <w:t>modeled</w:t>
      </w:r>
      <w:r w:rsidRPr="003023EC">
        <w:rPr>
          <w:rFonts w:ascii="Times New Roman" w:hAnsi="Times New Roman"/>
          <w:sz w:val="24"/>
          <w:szCs w:val="24"/>
        </w:rPr>
        <w:t xml:space="preserve"> </w:t>
      </w:r>
      <w:r w:rsidR="00912987">
        <w:rPr>
          <w:rFonts w:ascii="Times New Roman" w:hAnsi="Times New Roman" w:hint="eastAsia"/>
          <w:sz w:val="24"/>
          <w:szCs w:val="24"/>
        </w:rPr>
        <w:t>with</w:t>
      </w:r>
      <w:r w:rsidRPr="003023EC">
        <w:rPr>
          <w:rFonts w:ascii="Times New Roman" w:hAnsi="Times New Roman"/>
          <w:sz w:val="24"/>
          <w:szCs w:val="24"/>
        </w:rPr>
        <w:t xml:space="preserve"> mean </w:t>
      </w:r>
      <w:r w:rsidR="00912987">
        <w:rPr>
          <w:rFonts w:ascii="Times New Roman" w:hAnsi="Times New Roman" w:hint="eastAsia"/>
          <w:sz w:val="24"/>
          <w:szCs w:val="24"/>
        </w:rPr>
        <w:t>of</w:t>
      </w:r>
      <w:r w:rsidRPr="003023EC">
        <w:rPr>
          <w:rFonts w:ascii="Times New Roman" w:hAnsi="Times New Roman"/>
          <w:sz w:val="24"/>
          <w:szCs w:val="24"/>
        </w:rPr>
        <w:t xml:space="preserve"> 400bp and standard deviation </w:t>
      </w:r>
      <w:r w:rsidR="00912987">
        <w:rPr>
          <w:rFonts w:ascii="Times New Roman" w:hAnsi="Times New Roman" w:hint="eastAsia"/>
          <w:sz w:val="24"/>
          <w:szCs w:val="24"/>
        </w:rPr>
        <w:t xml:space="preserve">of </w:t>
      </w:r>
      <w:r w:rsidRPr="003023EC">
        <w:rPr>
          <w:rFonts w:ascii="Times New Roman" w:hAnsi="Times New Roman"/>
          <w:sz w:val="24"/>
          <w:szCs w:val="24"/>
        </w:rPr>
        <w:t>50bp. The probability of methylated C in CpG was set at 70% while the probability of methylated</w:t>
      </w:r>
      <w:r w:rsidR="000911BA">
        <w:rPr>
          <w:rFonts w:ascii="Times New Roman" w:hAnsi="Times New Roman"/>
          <w:sz w:val="24"/>
          <w:szCs w:val="24"/>
        </w:rPr>
        <w:t xml:space="preserve"> </w:t>
      </w:r>
      <w:r w:rsidRPr="003023EC">
        <w:rPr>
          <w:rFonts w:ascii="Times New Roman" w:hAnsi="Times New Roman"/>
          <w:sz w:val="24"/>
          <w:szCs w:val="24"/>
        </w:rPr>
        <w:t>C in CH was 1%. The location information w</w:t>
      </w:r>
      <w:r w:rsidR="00B31382">
        <w:rPr>
          <w:rFonts w:ascii="Times New Roman" w:hAnsi="Times New Roman" w:hint="eastAsia"/>
          <w:sz w:val="24"/>
          <w:szCs w:val="24"/>
        </w:rPr>
        <w:t>as</w:t>
      </w:r>
      <w:r w:rsidRPr="003023EC">
        <w:rPr>
          <w:rFonts w:ascii="Times New Roman" w:hAnsi="Times New Roman"/>
          <w:sz w:val="24"/>
          <w:szCs w:val="24"/>
        </w:rPr>
        <w:t xml:space="preserve"> remained and used for verification of mapping accuracy.</w:t>
      </w:r>
    </w:p>
    <w:p w14:paraId="44AE9E96" w14:textId="77777777" w:rsidR="005005A8" w:rsidRPr="003023EC" w:rsidRDefault="005005A8" w:rsidP="005005A8">
      <w:pPr>
        <w:spacing w:before="120"/>
        <w:rPr>
          <w:rFonts w:ascii="Times New Roman" w:hAnsi="Times New Roman"/>
          <w:sz w:val="24"/>
          <w:szCs w:val="24"/>
        </w:rPr>
      </w:pPr>
      <w:r w:rsidRPr="003023EC">
        <w:rPr>
          <w:rFonts w:ascii="Times New Roman" w:hAnsi="Times New Roman"/>
          <w:b/>
          <w:sz w:val="24"/>
          <w:szCs w:val="24"/>
        </w:rPr>
        <w:t>Comparison of GPS and WGBS</w:t>
      </w:r>
    </w:p>
    <w:p w14:paraId="7A06BB61" w14:textId="77777777" w:rsidR="005005A8" w:rsidRPr="003023EC" w:rsidRDefault="005005A8" w:rsidP="005005A8">
      <w:pPr>
        <w:spacing w:before="120"/>
        <w:rPr>
          <w:rFonts w:ascii="Times New Roman" w:hAnsi="Times New Roman"/>
          <w:sz w:val="24"/>
          <w:szCs w:val="24"/>
        </w:rPr>
      </w:pPr>
      <w:r w:rsidRPr="003023EC">
        <w:rPr>
          <w:rFonts w:ascii="Times New Roman" w:hAnsi="Times New Roman"/>
          <w:sz w:val="24"/>
          <w:szCs w:val="24"/>
        </w:rPr>
        <w:t>Mapped percentage of GPS and WGBS datasets was defined as percentage of paired mapped reads out of total reads.</w:t>
      </w:r>
    </w:p>
    <w:p w14:paraId="6F4F5EBD" w14:textId="77777777" w:rsidR="005005A8" w:rsidRPr="003023EC" w:rsidRDefault="005005A8" w:rsidP="005005A8">
      <w:pPr>
        <w:spacing w:before="120"/>
        <w:rPr>
          <w:rFonts w:ascii="Times New Roman" w:hAnsi="Times New Roman"/>
          <w:sz w:val="24"/>
          <w:szCs w:val="24"/>
        </w:rPr>
      </w:pPr>
      <w:r w:rsidRPr="003023EC">
        <w:rPr>
          <w:rFonts w:ascii="Times New Roman" w:hAnsi="Times New Roman"/>
          <w:sz w:val="24"/>
          <w:szCs w:val="24"/>
        </w:rPr>
        <w:t xml:space="preserve">To compare GPS with WGBS, we normalized the GPS-detected CpG number to 100%, and compared the WGBS with the normalized GPS in the </w:t>
      </w:r>
      <w:r>
        <w:rPr>
          <w:rFonts w:ascii="Times New Roman" w:hAnsi="Times New Roman" w:hint="eastAsia"/>
          <w:sz w:val="24"/>
          <w:szCs w:val="24"/>
        </w:rPr>
        <w:t xml:space="preserve">same </w:t>
      </w:r>
      <w:r w:rsidRPr="003023EC">
        <w:rPr>
          <w:rFonts w:ascii="Times New Roman" w:hAnsi="Times New Roman"/>
          <w:sz w:val="24"/>
          <w:szCs w:val="24"/>
        </w:rPr>
        <w:t>regions. CpG sites were covered by at least 1 read except for repetitive elements whose CpG sites required at least 5x coverage for reliable detection due to high frequency of repetitive elements.</w:t>
      </w:r>
    </w:p>
    <w:p w14:paraId="52F26515" w14:textId="77777777" w:rsidR="005005A8" w:rsidRPr="003023EC" w:rsidRDefault="005005A8" w:rsidP="005005A8">
      <w:pPr>
        <w:spacing w:before="120"/>
        <w:rPr>
          <w:rFonts w:ascii="Times New Roman" w:hAnsi="Times New Roman"/>
          <w:sz w:val="24"/>
          <w:szCs w:val="24"/>
        </w:rPr>
      </w:pPr>
      <w:r w:rsidRPr="003023EC">
        <w:rPr>
          <w:rFonts w:ascii="Times New Roman" w:hAnsi="Times New Roman"/>
          <w:sz w:val="24"/>
          <w:szCs w:val="24"/>
        </w:rPr>
        <w:t xml:space="preserve">Pie graphs were used to show the distributions of CpG sites detected by WGBS or GPS over whole-genome according </w:t>
      </w:r>
      <w:r>
        <w:rPr>
          <w:rFonts w:ascii="Times New Roman" w:hAnsi="Times New Roman" w:hint="eastAsia"/>
          <w:sz w:val="24"/>
          <w:szCs w:val="24"/>
        </w:rPr>
        <w:t xml:space="preserve">to </w:t>
      </w:r>
      <w:r w:rsidRPr="003023EC">
        <w:rPr>
          <w:rFonts w:ascii="Times New Roman" w:hAnsi="Times New Roman"/>
          <w:sz w:val="24"/>
          <w:szCs w:val="24"/>
        </w:rPr>
        <w:t xml:space="preserve">the annotation of RefSeq </w:t>
      </w:r>
      <w:r>
        <w:rPr>
          <w:rFonts w:ascii="Times New Roman" w:hAnsi="Times New Roman" w:hint="eastAsia"/>
          <w:sz w:val="24"/>
          <w:szCs w:val="24"/>
        </w:rPr>
        <w:t xml:space="preserve">genes </w:t>
      </w:r>
      <w:r w:rsidRPr="003023EC">
        <w:rPr>
          <w:rFonts w:ascii="Times New Roman" w:hAnsi="Times New Roman"/>
          <w:sz w:val="24"/>
          <w:szCs w:val="24"/>
        </w:rPr>
        <w:t>(hg19). CpG sites were covered by at least five reads.</w:t>
      </w:r>
    </w:p>
    <w:p w14:paraId="3EB94821" w14:textId="77777777" w:rsidR="005005A8" w:rsidRPr="003023EC" w:rsidRDefault="005005A8" w:rsidP="005005A8">
      <w:pPr>
        <w:spacing w:before="120"/>
        <w:rPr>
          <w:rFonts w:ascii="Times New Roman" w:hAnsi="Times New Roman"/>
          <w:b/>
          <w:sz w:val="24"/>
          <w:szCs w:val="24"/>
        </w:rPr>
      </w:pPr>
      <w:r w:rsidRPr="003023EC">
        <w:rPr>
          <w:rFonts w:ascii="Times New Roman" w:hAnsi="Times New Roman"/>
          <w:b/>
          <w:sz w:val="24"/>
          <w:szCs w:val="24"/>
        </w:rPr>
        <w:t>Bisulfite pyrosequencing verification</w:t>
      </w:r>
    </w:p>
    <w:p w14:paraId="6510F446" w14:textId="77777777" w:rsidR="005005A8" w:rsidRPr="003023EC" w:rsidRDefault="005005A8" w:rsidP="005005A8">
      <w:pPr>
        <w:spacing w:before="120"/>
        <w:rPr>
          <w:rFonts w:ascii="Times New Roman" w:hAnsi="Times New Roman"/>
          <w:sz w:val="24"/>
          <w:szCs w:val="24"/>
        </w:rPr>
      </w:pPr>
      <w:r w:rsidRPr="003023EC">
        <w:rPr>
          <w:rFonts w:ascii="Times New Roman" w:hAnsi="Times New Roman"/>
          <w:sz w:val="24"/>
          <w:szCs w:val="24"/>
        </w:rPr>
        <w:t>Firstly, CpG sites (≥5x coverage) with consistency (methylation difference ≤10%) between two replicates were selected in GPS and WGBS datasets, respectively. Secondly, among these selected CpG sites, we further picked up those detected by both GPS and WGBS commonly, ranked the common CpG sites according to the difference of methylation signal between GPS and WGBS from high to low, and excluded those sites where PCR primers cannot be designed. Finally, the top 10 sites represent those CpGs where methylation was the most different detected by WGBS and GPS. We used bisulfite pyrosequencing to verify methylation levels in these 10 sites with around regions.</w:t>
      </w:r>
    </w:p>
    <w:p w14:paraId="05F6B376" w14:textId="77777777" w:rsidR="00B80F7F" w:rsidRPr="003023EC" w:rsidRDefault="00B80F7F" w:rsidP="00B80F7F">
      <w:pPr>
        <w:spacing w:before="120"/>
        <w:rPr>
          <w:rFonts w:ascii="Times New Roman" w:hAnsi="Times New Roman"/>
          <w:b/>
          <w:sz w:val="24"/>
          <w:szCs w:val="24"/>
        </w:rPr>
      </w:pPr>
      <w:r w:rsidRPr="003023EC">
        <w:rPr>
          <w:rFonts w:ascii="Times New Roman" w:hAnsi="Times New Roman"/>
          <w:b/>
          <w:sz w:val="24"/>
          <w:szCs w:val="24"/>
        </w:rPr>
        <w:t xml:space="preserve">Methylation </w:t>
      </w:r>
      <w:r w:rsidR="00333D76" w:rsidRPr="003023EC">
        <w:rPr>
          <w:rFonts w:ascii="Times New Roman" w:hAnsi="Times New Roman"/>
          <w:b/>
          <w:sz w:val="24"/>
          <w:szCs w:val="24"/>
        </w:rPr>
        <w:t>s</w:t>
      </w:r>
      <w:r w:rsidRPr="003023EC">
        <w:rPr>
          <w:rFonts w:ascii="Times New Roman" w:hAnsi="Times New Roman"/>
          <w:b/>
          <w:sz w:val="24"/>
          <w:szCs w:val="24"/>
        </w:rPr>
        <w:t xml:space="preserve">moothing </w:t>
      </w:r>
    </w:p>
    <w:p w14:paraId="644F6DC3" w14:textId="5E3968C7" w:rsidR="00B80F7F" w:rsidRPr="003023EC" w:rsidRDefault="00B80F7F" w:rsidP="00B80F7F">
      <w:pPr>
        <w:spacing w:before="120"/>
        <w:rPr>
          <w:rFonts w:ascii="Times New Roman" w:hAnsi="Times New Roman"/>
          <w:sz w:val="24"/>
          <w:szCs w:val="24"/>
        </w:rPr>
      </w:pPr>
      <w:r w:rsidRPr="003023EC">
        <w:rPr>
          <w:rFonts w:ascii="Times New Roman" w:hAnsi="Times New Roman"/>
          <w:sz w:val="24"/>
          <w:szCs w:val="24"/>
        </w:rPr>
        <w:lastRenderedPageBreak/>
        <w:t>We carried out CpG methylation smoothing by BSmooth</w:t>
      </w:r>
      <w:r w:rsidR="006764E9">
        <w:rPr>
          <w:rFonts w:ascii="Times New Roman" w:hAnsi="Times New Roman"/>
          <w:sz w:val="24"/>
          <w:szCs w:val="24"/>
        </w:rPr>
        <w:t xml:space="preserve"> </w:t>
      </w:r>
      <w:r w:rsidR="006764E9">
        <w:rPr>
          <w:rFonts w:ascii="Times New Roman" w:hAnsi="Times New Roman"/>
          <w:sz w:val="24"/>
          <w:szCs w:val="24"/>
        </w:rPr>
        <w:fldChar w:fldCharType="begin"/>
      </w:r>
      <w:r w:rsidR="006764E9">
        <w:rPr>
          <w:rFonts w:ascii="Times New Roman" w:hAnsi="Times New Roman"/>
          <w:sz w:val="24"/>
          <w:szCs w:val="24"/>
        </w:rPr>
        <w:instrText xml:space="preserve"> ADDIN EN.CITE &lt;EndNote&gt;&lt;Cite&gt;&lt;Author&gt;Hansen&lt;/Author&gt;&lt;Year&gt;2012&lt;/Year&gt;&lt;RecNum&gt;156&lt;/RecNum&gt;&lt;DisplayText&gt;(Hansen et al. 2012)&lt;/DisplayText&gt;&lt;record&gt;&lt;rec-number&gt;156&lt;/rec-number&gt;&lt;foreign-keys&gt;&lt;key app="EN" db-id="5evr9pfaexrzvwevtw3x220jszszx09sxawd" timestamp="1528368752"&gt;156&lt;/key&gt;&lt;/foreign-keys&gt;&lt;ref-type name="Journal Article"&gt;17&lt;/ref-type&gt;&lt;contributors&gt;&lt;authors&gt;&lt;author&gt;Hansen, K. D.&lt;/author&gt;&lt;author&gt;Langmead, B.&lt;/author&gt;&lt;author&gt;Irizarry, R. A.&lt;/author&gt;&lt;/authors&gt;&lt;/contributors&gt;&lt;titles&gt;&lt;title&gt;BSmooth: from whole genome bisulfite sequencing reads to differentially methylated regions&lt;/title&gt;&lt;secondary-title&gt;Genome Biol&lt;/secondary-title&gt;&lt;/titles&gt;&lt;periodical&gt;&lt;full-title&gt;Genome Biol&lt;/full-title&gt;&lt;/periodical&gt;&lt;pages&gt;R83&lt;/pages&gt;&lt;volume&gt;13&lt;/volume&gt;&lt;number&gt;10&lt;/number&gt;&lt;keywords&gt;&lt;keyword&gt;Cell Line&lt;/keyword&gt;&lt;keyword&gt;CpG Islands&lt;/keyword&gt;&lt;keyword&gt;*DNA Methylation&lt;/keyword&gt;&lt;keyword&gt;Genome, Human&lt;/keyword&gt;&lt;keyword&gt;Genomics/methods&lt;/keyword&gt;&lt;keyword&gt;Humans&lt;/keyword&gt;&lt;keyword&gt;Sequence Alignment/*methods&lt;/keyword&gt;&lt;keyword&gt;Sequence Analysis, DNA/*methods&lt;/keyword&gt;&lt;keyword&gt;Software&lt;/keyword&gt;&lt;/keywords&gt;&lt;dates&gt;&lt;year&gt;2012&lt;/year&gt;&lt;pub-dates&gt;&lt;date&gt;Oct 3&lt;/date&gt;&lt;/pub-dates&gt;&lt;/dates&gt;&lt;isbn&gt;1474-760X (Electronic)&amp;#xD;1474-7596 (Linking)&lt;/isbn&gt;&lt;accession-num&gt;23034175&lt;/accession-num&gt;&lt;urls&gt;&lt;related-urls&gt;&lt;url&gt;https://www.ncbi.nlm.nih.gov/pubmed/23034175&lt;/url&gt;&lt;/related-urls&gt;&lt;/urls&gt;&lt;custom2&gt;PMC3491411&lt;/custom2&gt;&lt;electronic-resource-num&gt;10.1186/gb-2012-13-10-r83&lt;/electronic-resource-num&gt;&lt;/record&gt;&lt;/Cite&gt;&lt;/EndNote&gt;</w:instrText>
      </w:r>
      <w:r w:rsidR="006764E9">
        <w:rPr>
          <w:rFonts w:ascii="Times New Roman" w:hAnsi="Times New Roman"/>
          <w:sz w:val="24"/>
          <w:szCs w:val="24"/>
        </w:rPr>
        <w:fldChar w:fldCharType="separate"/>
      </w:r>
      <w:r w:rsidR="006764E9">
        <w:rPr>
          <w:rFonts w:ascii="Times New Roman" w:hAnsi="Times New Roman"/>
          <w:noProof/>
          <w:sz w:val="24"/>
          <w:szCs w:val="24"/>
        </w:rPr>
        <w:t>(Hansen et al. 2012)</w:t>
      </w:r>
      <w:r w:rsidR="006764E9">
        <w:rPr>
          <w:rFonts w:ascii="Times New Roman" w:hAnsi="Times New Roman"/>
          <w:sz w:val="24"/>
          <w:szCs w:val="24"/>
        </w:rPr>
        <w:fldChar w:fldCharType="end"/>
      </w:r>
      <w:r w:rsidR="006764E9">
        <w:rPr>
          <w:rFonts w:ascii="Times New Roman" w:hAnsi="Times New Roman"/>
          <w:sz w:val="24"/>
          <w:szCs w:val="24"/>
        </w:rPr>
        <w:t xml:space="preserve"> </w:t>
      </w:r>
      <w:r w:rsidR="003F270A" w:rsidRPr="003023EC">
        <w:rPr>
          <w:rFonts w:ascii="Times New Roman" w:hAnsi="Times New Roman"/>
          <w:sz w:val="24"/>
          <w:szCs w:val="24"/>
        </w:rPr>
        <w:t>of R package bsseq (v1.10.0)</w:t>
      </w:r>
      <w:r w:rsidRPr="003023EC">
        <w:rPr>
          <w:rFonts w:ascii="Times New Roman" w:hAnsi="Times New Roman"/>
          <w:sz w:val="24"/>
          <w:szCs w:val="24"/>
        </w:rPr>
        <w:t xml:space="preserve"> from the source of Bioconductor with parameter alpha = 0.95. After smoothing, a sliding window was built with step length 50bp to generate methylation level for every fragment in genome by averaged the methylation level of neighboring CpGs. If the distance between two neighboring CpGs was exceeding 10kb, the region would not be assigned the methylation level. </w:t>
      </w:r>
    </w:p>
    <w:p w14:paraId="0C258649" w14:textId="77777777" w:rsidR="00B80F7F" w:rsidRPr="003023EC" w:rsidRDefault="00B80F7F" w:rsidP="00B80F7F">
      <w:pPr>
        <w:spacing w:before="120"/>
        <w:rPr>
          <w:rFonts w:ascii="Times New Roman" w:hAnsi="Times New Roman"/>
          <w:b/>
          <w:sz w:val="24"/>
          <w:szCs w:val="24"/>
        </w:rPr>
      </w:pPr>
      <w:r w:rsidRPr="003023EC">
        <w:rPr>
          <w:rFonts w:ascii="Times New Roman" w:hAnsi="Times New Roman"/>
          <w:b/>
          <w:sz w:val="24"/>
          <w:szCs w:val="24"/>
        </w:rPr>
        <w:t xml:space="preserve">Variation </w:t>
      </w:r>
      <w:r w:rsidR="00333D76" w:rsidRPr="003023EC">
        <w:rPr>
          <w:rFonts w:ascii="Times New Roman" w:hAnsi="Times New Roman"/>
          <w:b/>
          <w:sz w:val="24"/>
          <w:szCs w:val="24"/>
        </w:rPr>
        <w:t>c</w:t>
      </w:r>
      <w:r w:rsidRPr="003023EC">
        <w:rPr>
          <w:rFonts w:ascii="Times New Roman" w:hAnsi="Times New Roman"/>
          <w:b/>
          <w:sz w:val="24"/>
          <w:szCs w:val="24"/>
        </w:rPr>
        <w:t>alling</w:t>
      </w:r>
    </w:p>
    <w:p w14:paraId="169D5A64" w14:textId="739B5366" w:rsidR="00B80F7F" w:rsidRPr="003023EC" w:rsidRDefault="00B80F7F" w:rsidP="00B80F7F">
      <w:pPr>
        <w:spacing w:before="120"/>
        <w:rPr>
          <w:rFonts w:ascii="Times New Roman" w:hAnsi="Times New Roman"/>
          <w:sz w:val="24"/>
          <w:szCs w:val="24"/>
        </w:rPr>
      </w:pPr>
      <w:r w:rsidRPr="003023EC">
        <w:rPr>
          <w:rFonts w:ascii="Times New Roman" w:hAnsi="Times New Roman"/>
          <w:sz w:val="24"/>
          <w:szCs w:val="24"/>
        </w:rPr>
        <w:t xml:space="preserve">Adjusted Read2 were used for variation calling. We firstly trimmed low quality reads and adapters using the </w:t>
      </w:r>
      <w:r w:rsidR="00D30D97">
        <w:rPr>
          <w:rFonts w:ascii="Times New Roman" w:hAnsi="Times New Roman"/>
          <w:sz w:val="24"/>
          <w:szCs w:val="24"/>
        </w:rPr>
        <w:t>T</w:t>
      </w:r>
      <w:r w:rsidRPr="003023EC">
        <w:rPr>
          <w:rFonts w:ascii="Times New Roman" w:hAnsi="Times New Roman"/>
          <w:sz w:val="24"/>
          <w:szCs w:val="24"/>
        </w:rPr>
        <w:t>rim</w:t>
      </w:r>
      <w:r w:rsidR="00D30D97">
        <w:rPr>
          <w:rFonts w:ascii="Times New Roman" w:hAnsi="Times New Roman"/>
          <w:sz w:val="24"/>
          <w:szCs w:val="24"/>
        </w:rPr>
        <w:t xml:space="preserve"> G</w:t>
      </w:r>
      <w:r w:rsidRPr="003023EC">
        <w:rPr>
          <w:rFonts w:ascii="Times New Roman" w:hAnsi="Times New Roman"/>
          <w:sz w:val="24"/>
          <w:szCs w:val="24"/>
        </w:rPr>
        <w:t>alore (v0.4.0) and aligned onto reference genome (hg19) by Bowtie</w:t>
      </w:r>
      <w:r w:rsidR="00ED4D1F">
        <w:rPr>
          <w:rFonts w:ascii="Times New Roman" w:hAnsi="Times New Roman"/>
          <w:sz w:val="24"/>
          <w:szCs w:val="24"/>
        </w:rPr>
        <w:t xml:space="preserve"> </w:t>
      </w:r>
      <w:r w:rsidRPr="003023EC">
        <w:rPr>
          <w:rFonts w:ascii="Times New Roman" w:hAnsi="Times New Roman"/>
          <w:sz w:val="24"/>
          <w:szCs w:val="24"/>
        </w:rPr>
        <w:t>2 with default parameters. The commands of samtools rmdup and mpileup were used for removing duplicated reads and generating pileupped files. We identified variations from the pileupped file using VarScan (v2.3.9)</w:t>
      </w:r>
      <w:r w:rsidR="006764E9">
        <w:rPr>
          <w:rFonts w:ascii="Times New Roman" w:hAnsi="Times New Roman"/>
          <w:sz w:val="24"/>
          <w:szCs w:val="24"/>
        </w:rPr>
        <w:t xml:space="preserve"> </w:t>
      </w:r>
      <w:r w:rsidR="006764E9">
        <w:rPr>
          <w:rFonts w:ascii="Times New Roman" w:hAnsi="Times New Roman"/>
          <w:sz w:val="24"/>
          <w:szCs w:val="24"/>
        </w:rPr>
        <w:fldChar w:fldCharType="begin"/>
      </w:r>
      <w:r w:rsidR="006764E9">
        <w:rPr>
          <w:rFonts w:ascii="Times New Roman" w:hAnsi="Times New Roman"/>
          <w:sz w:val="24"/>
          <w:szCs w:val="24"/>
        </w:rPr>
        <w:instrText xml:space="preserve"> ADDIN EN.CITE &lt;EndNote&gt;&lt;Cite&gt;&lt;Author&gt;Koboldt&lt;/Author&gt;&lt;Year&gt;2009&lt;/Year&gt;&lt;RecNum&gt;157&lt;/RecNum&gt;&lt;DisplayText&gt;(Koboldt et al. 2009)&lt;/DisplayText&gt;&lt;record&gt;&lt;rec-number&gt;157&lt;/rec-number&gt;&lt;foreign-keys&gt;&lt;key app="EN" db-id="5evr9pfaexrzvwevtw3x220jszszx09sxawd" timestamp="1528368799"&gt;157&lt;/key&gt;&lt;/foreign-keys&gt;&lt;ref-type name="Journal Article"&gt;17&lt;/ref-type&gt;&lt;contributors&gt;&lt;authors&gt;&lt;author&gt;Koboldt, D. C.&lt;/author&gt;&lt;author&gt;Chen, K.&lt;/author&gt;&lt;author&gt;Wylie, T.&lt;/author&gt;&lt;author&gt;Larson, D. E.&lt;/author&gt;&lt;author&gt;McLellan, M. D.&lt;/author&gt;&lt;author&gt;Mardis, E. R.&lt;/author&gt;&lt;author&gt;Weinstock, G. M.&lt;/author&gt;&lt;author&gt;Wilson, R. K.&lt;/author&gt;&lt;author&gt;Ding, L.&lt;/author&gt;&lt;/authors&gt;&lt;/contributors&gt;&lt;auth-address&gt;The Genome Center at Washington University School of Medicine, St Louis, MO 63108, USA. dkoboldt@genome.wustl.edu&lt;/auth-address&gt;&lt;titles&gt;&lt;title&gt;VarScan: variant detection in massively parallel sequencing of individual and pooled samples&lt;/title&gt;&lt;secondary-title&gt;Bioinformatics&lt;/secondary-title&gt;&lt;/titles&gt;&lt;periodical&gt;&lt;full-title&gt;Bioinformatics&lt;/full-title&gt;&lt;/periodical&gt;&lt;pages&gt;2283-5&lt;/pages&gt;&lt;volume&gt;25&lt;/volume&gt;&lt;number&gt;17&lt;/number&gt;&lt;keywords&gt;&lt;keyword&gt;Computational Biology/*methods&lt;/keyword&gt;&lt;keyword&gt;Humans&lt;/keyword&gt;&lt;keyword&gt;Polymorphism, Single Nucleotide/genetics&lt;/keyword&gt;&lt;keyword&gt;Sequence Analysis, DNA/*methods&lt;/keyword&gt;&lt;keyword&gt;*Software&lt;/keyword&gt;&lt;/keywords&gt;&lt;dates&gt;&lt;year&gt;2009&lt;/year&gt;&lt;pub-dates&gt;&lt;date&gt;Sep 1&lt;/date&gt;&lt;/pub-dates&gt;&lt;/dates&gt;&lt;isbn&gt;1367-4811 (Electronic)&amp;#xD;1367-4803 (Linking)&lt;/isbn&gt;&lt;accession-num&gt;19542151&lt;/accession-num&gt;&lt;urls&gt;&lt;related-urls&gt;&lt;url&gt;https://www.ncbi.nlm.nih.gov/pubmed/19542151&lt;/url&gt;&lt;/related-urls&gt;&lt;/urls&gt;&lt;custom2&gt;PMC2734323&lt;/custom2&gt;&lt;electronic-resource-num&gt;10.1093/bioinformatics/btp373&lt;/electronic-resource-num&gt;&lt;/record&gt;&lt;/Cite&gt;&lt;/EndNote&gt;</w:instrText>
      </w:r>
      <w:r w:rsidR="006764E9">
        <w:rPr>
          <w:rFonts w:ascii="Times New Roman" w:hAnsi="Times New Roman"/>
          <w:sz w:val="24"/>
          <w:szCs w:val="24"/>
        </w:rPr>
        <w:fldChar w:fldCharType="separate"/>
      </w:r>
      <w:r w:rsidR="006764E9">
        <w:rPr>
          <w:rFonts w:ascii="Times New Roman" w:hAnsi="Times New Roman"/>
          <w:noProof/>
          <w:sz w:val="24"/>
          <w:szCs w:val="24"/>
        </w:rPr>
        <w:t>(Koboldt et al. 2009)</w:t>
      </w:r>
      <w:r w:rsidR="006764E9">
        <w:rPr>
          <w:rFonts w:ascii="Times New Roman" w:hAnsi="Times New Roman"/>
          <w:sz w:val="24"/>
          <w:szCs w:val="24"/>
        </w:rPr>
        <w:fldChar w:fldCharType="end"/>
      </w:r>
      <w:r w:rsidRPr="003023EC">
        <w:rPr>
          <w:rFonts w:ascii="Times New Roman" w:hAnsi="Times New Roman"/>
          <w:sz w:val="24"/>
          <w:szCs w:val="24"/>
        </w:rPr>
        <w:t xml:space="preserve"> with </w:t>
      </w:r>
      <w:r w:rsidR="000349DE" w:rsidRPr="003023EC">
        <w:rPr>
          <w:rFonts w:ascii="Times New Roman" w:hAnsi="Times New Roman"/>
          <w:sz w:val="24"/>
          <w:szCs w:val="24"/>
        </w:rPr>
        <w:t xml:space="preserve">default </w:t>
      </w:r>
      <w:r w:rsidRPr="003023EC">
        <w:rPr>
          <w:rFonts w:ascii="Times New Roman" w:hAnsi="Times New Roman"/>
          <w:sz w:val="24"/>
          <w:szCs w:val="24"/>
        </w:rPr>
        <w:t>parameters</w:t>
      </w:r>
      <w:r w:rsidR="000349DE" w:rsidRPr="003023EC">
        <w:rPr>
          <w:rFonts w:ascii="Times New Roman" w:hAnsi="Times New Roman"/>
          <w:sz w:val="24"/>
          <w:szCs w:val="24"/>
        </w:rPr>
        <w:t xml:space="preserve"> except</w:t>
      </w:r>
      <w:r w:rsidRPr="003023EC">
        <w:rPr>
          <w:rFonts w:ascii="Times New Roman" w:hAnsi="Times New Roman"/>
          <w:sz w:val="24"/>
          <w:szCs w:val="24"/>
        </w:rPr>
        <w:t xml:space="preserve"> “mpileup2snp --output-vcf 1 --min-coverage 10</w:t>
      </w:r>
      <w:r w:rsidR="006764E9">
        <w:rPr>
          <w:rFonts w:ascii="Times New Roman" w:hAnsi="Times New Roman"/>
          <w:sz w:val="24"/>
          <w:szCs w:val="24"/>
        </w:rPr>
        <w:t xml:space="preserve"> --min-reads 25 --p-value 0.01”</w:t>
      </w:r>
      <w:r w:rsidR="000349DE" w:rsidRPr="003023EC">
        <w:rPr>
          <w:rFonts w:ascii="Times New Roman" w:hAnsi="Times New Roman"/>
          <w:sz w:val="24"/>
          <w:szCs w:val="24"/>
        </w:rPr>
        <w:t>.</w:t>
      </w:r>
    </w:p>
    <w:p w14:paraId="2DA166D3" w14:textId="77777777" w:rsidR="00B80F7F" w:rsidRPr="003023EC" w:rsidRDefault="00333D76" w:rsidP="00B80F7F">
      <w:pPr>
        <w:spacing w:before="120"/>
        <w:rPr>
          <w:rFonts w:ascii="Times New Roman" w:hAnsi="Times New Roman"/>
          <w:b/>
          <w:sz w:val="24"/>
          <w:szCs w:val="24"/>
        </w:rPr>
      </w:pPr>
      <w:r w:rsidRPr="003023EC">
        <w:rPr>
          <w:rFonts w:ascii="Times New Roman" w:hAnsi="Times New Roman"/>
          <w:b/>
          <w:sz w:val="24"/>
          <w:szCs w:val="24"/>
        </w:rPr>
        <w:t>Allele-s</w:t>
      </w:r>
      <w:r w:rsidR="00B80F7F" w:rsidRPr="003023EC">
        <w:rPr>
          <w:rFonts w:ascii="Times New Roman" w:hAnsi="Times New Roman"/>
          <w:b/>
          <w:sz w:val="24"/>
          <w:szCs w:val="24"/>
        </w:rPr>
        <w:t xml:space="preserve">pecific </w:t>
      </w:r>
      <w:r w:rsidRPr="003023EC">
        <w:rPr>
          <w:rFonts w:ascii="Times New Roman" w:hAnsi="Times New Roman"/>
          <w:b/>
          <w:sz w:val="24"/>
          <w:szCs w:val="24"/>
        </w:rPr>
        <w:t>m</w:t>
      </w:r>
      <w:r w:rsidR="00B80F7F" w:rsidRPr="003023EC">
        <w:rPr>
          <w:rFonts w:ascii="Times New Roman" w:hAnsi="Times New Roman"/>
          <w:b/>
          <w:sz w:val="24"/>
          <w:szCs w:val="24"/>
        </w:rPr>
        <w:t>ethylation</w:t>
      </w:r>
    </w:p>
    <w:p w14:paraId="23F284D8" w14:textId="77777777" w:rsidR="00B80F7F" w:rsidRPr="003023EC" w:rsidRDefault="00333D76" w:rsidP="00B80F7F">
      <w:pPr>
        <w:spacing w:before="120"/>
        <w:rPr>
          <w:rFonts w:ascii="Times New Roman" w:hAnsi="Times New Roman"/>
          <w:sz w:val="24"/>
          <w:szCs w:val="24"/>
        </w:rPr>
      </w:pPr>
      <w:r w:rsidRPr="003023EC">
        <w:rPr>
          <w:rFonts w:ascii="Times New Roman" w:hAnsi="Times New Roman"/>
          <w:sz w:val="24"/>
          <w:szCs w:val="24"/>
        </w:rPr>
        <w:t>In order to analyze allele-</w:t>
      </w:r>
      <w:r w:rsidR="00B80F7F" w:rsidRPr="003023EC">
        <w:rPr>
          <w:rFonts w:ascii="Times New Roman" w:hAnsi="Times New Roman"/>
          <w:sz w:val="24"/>
          <w:szCs w:val="24"/>
        </w:rPr>
        <w:t xml:space="preserve">specific methylation, the fragments coming from different allele need to be separated. We firstly selected the heterozygous variations with </w:t>
      </w:r>
      <w:r w:rsidRPr="003023EC">
        <w:rPr>
          <w:rFonts w:ascii="Times New Roman" w:hAnsi="Times New Roman"/>
          <w:sz w:val="24"/>
          <w:szCs w:val="24"/>
        </w:rPr>
        <w:t xml:space="preserve">the </w:t>
      </w:r>
      <w:r w:rsidR="00B80F7F" w:rsidRPr="003023EC">
        <w:rPr>
          <w:rFonts w:ascii="Times New Roman" w:hAnsi="Times New Roman"/>
          <w:sz w:val="24"/>
          <w:szCs w:val="24"/>
        </w:rPr>
        <w:t>cutoff of allele frequency within 40%-60% and ADP (Average per-sample depth of bases with Phred score ≥ 15)</w:t>
      </w:r>
      <w:r w:rsidR="00B80F7F" w:rsidRPr="003023EC">
        <w:rPr>
          <w:rFonts w:ascii="Times New Roman" w:hAnsi="Times New Roman"/>
        </w:rPr>
        <w:t xml:space="preserve"> </w:t>
      </w:r>
      <w:r w:rsidR="00B80F7F" w:rsidRPr="003023EC">
        <w:rPr>
          <w:rFonts w:ascii="Times New Roman" w:hAnsi="Times New Roman"/>
          <w:sz w:val="24"/>
          <w:szCs w:val="24"/>
        </w:rPr>
        <w:t>≥30, and then removed those variations that located in repetitive elements. Secondly, for each heterozygous variation, Read2 and corresponding Read1 were separated into two groups, for example</w:t>
      </w:r>
      <w:r w:rsidRPr="003023EC">
        <w:rPr>
          <w:rFonts w:ascii="Times New Roman" w:hAnsi="Times New Roman"/>
          <w:sz w:val="24"/>
          <w:szCs w:val="24"/>
        </w:rPr>
        <w:t>,</w:t>
      </w:r>
      <w:r w:rsidR="00B80F7F" w:rsidRPr="003023EC">
        <w:rPr>
          <w:rFonts w:ascii="Times New Roman" w:hAnsi="Times New Roman"/>
          <w:sz w:val="24"/>
          <w:szCs w:val="24"/>
        </w:rPr>
        <w:t xml:space="preserve"> allele A and allele B. Finally, the methylation difference between allele A and allele B was figured up by </w:t>
      </w:r>
      <w:r w:rsidRPr="003023EC">
        <w:rPr>
          <w:rFonts w:ascii="Times New Roman" w:hAnsi="Times New Roman"/>
          <w:sz w:val="24"/>
          <w:szCs w:val="24"/>
        </w:rPr>
        <w:t>GPS analysis. We defined allele-</w:t>
      </w:r>
      <w:r w:rsidR="00B80F7F" w:rsidRPr="003023EC">
        <w:rPr>
          <w:rFonts w:ascii="Times New Roman" w:hAnsi="Times New Roman"/>
          <w:sz w:val="24"/>
          <w:szCs w:val="24"/>
        </w:rPr>
        <w:t xml:space="preserve">specific methylation as alleles whose methylation difference exceeded the threshold of 50% in at least three CpG loci. </w:t>
      </w:r>
    </w:p>
    <w:p w14:paraId="29DF244B" w14:textId="77777777" w:rsidR="00B80F7F" w:rsidRPr="003023EC" w:rsidRDefault="00B80F7F" w:rsidP="00B80F7F">
      <w:pPr>
        <w:spacing w:before="120"/>
        <w:rPr>
          <w:rFonts w:ascii="Times New Roman" w:hAnsi="Times New Roman"/>
          <w:b/>
          <w:sz w:val="24"/>
          <w:szCs w:val="24"/>
        </w:rPr>
      </w:pPr>
      <w:r w:rsidRPr="003023EC">
        <w:rPr>
          <w:rFonts w:ascii="Times New Roman" w:hAnsi="Times New Roman"/>
          <w:b/>
          <w:sz w:val="24"/>
          <w:szCs w:val="24"/>
        </w:rPr>
        <w:t>Methylatio</w:t>
      </w:r>
      <w:r w:rsidR="00975B74" w:rsidRPr="003023EC">
        <w:rPr>
          <w:rFonts w:ascii="Times New Roman" w:hAnsi="Times New Roman"/>
          <w:b/>
          <w:sz w:val="24"/>
          <w:szCs w:val="24"/>
        </w:rPr>
        <w:t>n Boundary Shift (MBS) analysis</w:t>
      </w:r>
    </w:p>
    <w:p w14:paraId="70801235" w14:textId="2ABE11A1" w:rsidR="00B80F7F" w:rsidRPr="003023EC" w:rsidRDefault="00B80F7F" w:rsidP="00B80F7F">
      <w:pPr>
        <w:spacing w:before="120"/>
        <w:rPr>
          <w:rFonts w:ascii="Times New Roman" w:hAnsi="Times New Roman"/>
          <w:sz w:val="24"/>
          <w:szCs w:val="24"/>
        </w:rPr>
      </w:pPr>
      <w:r w:rsidRPr="003023EC">
        <w:rPr>
          <w:rFonts w:ascii="Times New Roman" w:hAnsi="Times New Roman"/>
          <w:sz w:val="24"/>
          <w:szCs w:val="24"/>
        </w:rPr>
        <w:t xml:space="preserve">For each </w:t>
      </w:r>
      <w:r w:rsidR="00032AEE" w:rsidRPr="003023EC">
        <w:rPr>
          <w:rFonts w:ascii="Times New Roman" w:hAnsi="Times New Roman"/>
          <w:sz w:val="24"/>
          <w:szCs w:val="24"/>
        </w:rPr>
        <w:t>gene</w:t>
      </w:r>
      <w:r w:rsidR="008151F2">
        <w:rPr>
          <w:rFonts w:ascii="Times New Roman" w:hAnsi="Times New Roman"/>
          <w:sz w:val="24"/>
          <w:szCs w:val="24"/>
        </w:rPr>
        <w:t xml:space="preserve"> with</w:t>
      </w:r>
      <w:r w:rsidRPr="003023EC">
        <w:rPr>
          <w:rFonts w:ascii="Times New Roman" w:hAnsi="Times New Roman"/>
          <w:sz w:val="24"/>
          <w:szCs w:val="24"/>
        </w:rPr>
        <w:t xml:space="preserve"> </w:t>
      </w:r>
      <w:r w:rsidR="008151F2">
        <w:rPr>
          <w:rFonts w:ascii="Times New Roman" w:hAnsi="Times New Roman" w:hint="eastAsia"/>
          <w:sz w:val="24"/>
          <w:szCs w:val="24"/>
        </w:rPr>
        <w:t xml:space="preserve">length </w:t>
      </w:r>
      <w:r w:rsidRPr="003023EC">
        <w:rPr>
          <w:rFonts w:ascii="Times New Roman" w:hAnsi="Times New Roman"/>
          <w:sz w:val="24"/>
          <w:szCs w:val="24"/>
        </w:rPr>
        <w:t xml:space="preserve">more than 5kb, the smoothed methylation value was used for defining the hypomethylated region boundary of every gene within ±5kb around Transcription Start Site (TSS), 10kb totally. TSS and genebody location were obtained from RefSeq </w:t>
      </w:r>
      <w:r w:rsidR="00D92384">
        <w:rPr>
          <w:rFonts w:ascii="Times New Roman" w:hAnsi="Times New Roman" w:hint="eastAsia"/>
          <w:sz w:val="24"/>
          <w:szCs w:val="24"/>
        </w:rPr>
        <w:t xml:space="preserve">gene </w:t>
      </w:r>
      <w:r w:rsidRPr="003023EC">
        <w:rPr>
          <w:rFonts w:ascii="Times New Roman" w:hAnsi="Times New Roman"/>
          <w:sz w:val="24"/>
          <w:szCs w:val="24"/>
        </w:rPr>
        <w:t>(hg19). At first,</w:t>
      </w:r>
      <w:r w:rsidR="00333D76" w:rsidRPr="003023EC">
        <w:rPr>
          <w:rFonts w:ascii="Times New Roman" w:hAnsi="Times New Roman"/>
          <w:sz w:val="24"/>
          <w:szCs w:val="24"/>
        </w:rPr>
        <w:t xml:space="preserve"> the</w:t>
      </w:r>
      <w:r w:rsidRPr="003023EC">
        <w:rPr>
          <w:rFonts w:ascii="Times New Roman" w:hAnsi="Times New Roman"/>
          <w:sz w:val="24"/>
          <w:szCs w:val="24"/>
        </w:rPr>
        <w:t xml:space="preserve"> 10kb fragment was segmented into 100 </w:t>
      </w:r>
      <w:r w:rsidR="000322A5">
        <w:rPr>
          <w:rFonts w:ascii="Times New Roman" w:hAnsi="Times New Roman"/>
          <w:sz w:val="24"/>
          <w:szCs w:val="24"/>
        </w:rPr>
        <w:t>bins</w:t>
      </w:r>
      <w:r w:rsidRPr="003023EC">
        <w:rPr>
          <w:rFonts w:ascii="Times New Roman" w:hAnsi="Times New Roman"/>
          <w:sz w:val="24"/>
          <w:szCs w:val="24"/>
        </w:rPr>
        <w:t xml:space="preserve"> and averaged methylation </w:t>
      </w:r>
      <w:r w:rsidR="00A137E4">
        <w:rPr>
          <w:rFonts w:ascii="Times New Roman" w:hAnsi="Times New Roman" w:hint="eastAsia"/>
          <w:sz w:val="24"/>
          <w:szCs w:val="24"/>
        </w:rPr>
        <w:t>value</w:t>
      </w:r>
      <w:r w:rsidR="000322A5">
        <w:rPr>
          <w:rFonts w:ascii="Times New Roman" w:hAnsi="Times New Roman" w:hint="eastAsia"/>
          <w:sz w:val="24"/>
          <w:szCs w:val="24"/>
        </w:rPr>
        <w:t>s</w:t>
      </w:r>
      <w:r w:rsidRPr="003023EC">
        <w:rPr>
          <w:rFonts w:ascii="Times New Roman" w:hAnsi="Times New Roman"/>
          <w:sz w:val="24"/>
          <w:szCs w:val="24"/>
        </w:rPr>
        <w:t xml:space="preserve"> were calculated </w:t>
      </w:r>
      <w:r w:rsidR="00A137E4">
        <w:rPr>
          <w:rFonts w:ascii="Times New Roman" w:hAnsi="Times New Roman" w:hint="eastAsia"/>
          <w:sz w:val="24"/>
          <w:szCs w:val="24"/>
        </w:rPr>
        <w:t xml:space="preserve">for each bin, </w:t>
      </w:r>
      <w:r w:rsidRPr="003023EC">
        <w:rPr>
          <w:rFonts w:ascii="Times New Roman" w:hAnsi="Times New Roman"/>
          <w:sz w:val="24"/>
          <w:szCs w:val="24"/>
        </w:rPr>
        <w:t>respectively. Then we compared e</w:t>
      </w:r>
      <w:r w:rsidR="00AA758A">
        <w:rPr>
          <w:rFonts w:ascii="Times New Roman" w:hAnsi="Times New Roman" w:hint="eastAsia"/>
          <w:sz w:val="24"/>
          <w:szCs w:val="24"/>
        </w:rPr>
        <w:t>ach bin</w:t>
      </w:r>
      <w:r w:rsidRPr="003023EC">
        <w:rPr>
          <w:rFonts w:ascii="Times New Roman" w:hAnsi="Times New Roman"/>
          <w:sz w:val="24"/>
          <w:szCs w:val="24"/>
        </w:rPr>
        <w:t xml:space="preserve"> value with the averaged methylation level of </w:t>
      </w:r>
      <w:r w:rsidR="00333D76" w:rsidRPr="003023EC">
        <w:rPr>
          <w:rFonts w:ascii="Times New Roman" w:hAnsi="Times New Roman"/>
          <w:sz w:val="24"/>
          <w:szCs w:val="24"/>
        </w:rPr>
        <w:t xml:space="preserve">the </w:t>
      </w:r>
      <w:r w:rsidRPr="003023EC">
        <w:rPr>
          <w:rFonts w:ascii="Times New Roman" w:hAnsi="Times New Roman"/>
          <w:sz w:val="24"/>
          <w:szCs w:val="24"/>
        </w:rPr>
        <w:t xml:space="preserve">whole 10kb, from TSS to upstream direction and to downstream direction respectively. Finally, Methylation Boundary was defined as the distance to TSS where the methylation level of corresponding part exceeded averaged methylation level. </w:t>
      </w:r>
    </w:p>
    <w:p w14:paraId="6E86FF86" w14:textId="4D7AAB91" w:rsidR="00AA3138" w:rsidRPr="003023EC" w:rsidRDefault="00364F82" w:rsidP="00166101">
      <w:pPr>
        <w:spacing w:before="120"/>
        <w:rPr>
          <w:rFonts w:ascii="Times New Roman" w:hAnsi="Times New Roman"/>
          <w:b/>
          <w:sz w:val="24"/>
          <w:szCs w:val="24"/>
        </w:rPr>
      </w:pPr>
      <w:r w:rsidRPr="003023EC">
        <w:rPr>
          <w:rFonts w:ascii="Times New Roman" w:hAnsi="Times New Roman"/>
          <w:b/>
          <w:sz w:val="24"/>
          <w:szCs w:val="24"/>
        </w:rPr>
        <w:t>Bar and box plot</w:t>
      </w:r>
    </w:p>
    <w:p w14:paraId="129E89F6" w14:textId="44E14129" w:rsidR="004F091C" w:rsidRDefault="00166101" w:rsidP="004F091C">
      <w:pPr>
        <w:rPr>
          <w:rFonts w:ascii="Times New Roman" w:hAnsi="Times New Roman"/>
          <w:b/>
          <w:sz w:val="24"/>
          <w:szCs w:val="24"/>
        </w:rPr>
      </w:pPr>
      <w:r w:rsidRPr="003023EC">
        <w:rPr>
          <w:rFonts w:ascii="Times New Roman" w:hAnsi="Times New Roman"/>
          <w:sz w:val="24"/>
          <w:szCs w:val="24"/>
        </w:rPr>
        <w:t xml:space="preserve">Bar plot showed the mean with </w:t>
      </w:r>
      <w:r w:rsidR="00A427E8" w:rsidRPr="00A427E8">
        <w:rPr>
          <w:rFonts w:ascii="Times New Roman" w:hAnsi="Times New Roman"/>
          <w:sz w:val="24"/>
          <w:szCs w:val="24"/>
        </w:rPr>
        <w:t>standard error of the mean (SEM)</w:t>
      </w:r>
      <w:r w:rsidRPr="003023EC">
        <w:rPr>
          <w:rFonts w:ascii="Times New Roman" w:hAnsi="Times New Roman"/>
          <w:sz w:val="24"/>
          <w:szCs w:val="24"/>
        </w:rPr>
        <w:t xml:space="preserve"> as error bars, </w:t>
      </w:r>
      <w:r w:rsidR="006B03AD" w:rsidRPr="003023EC">
        <w:rPr>
          <w:rFonts w:ascii="Times New Roman" w:hAnsi="Times New Roman"/>
          <w:sz w:val="24"/>
          <w:szCs w:val="24"/>
        </w:rPr>
        <w:t>while box plot showed the median, 25th and 75</w:t>
      </w:r>
      <w:bookmarkStart w:id="0" w:name="_GoBack"/>
      <w:bookmarkEnd w:id="0"/>
      <w:r w:rsidR="006B03AD" w:rsidRPr="003023EC">
        <w:rPr>
          <w:rFonts w:ascii="Times New Roman" w:hAnsi="Times New Roman"/>
          <w:sz w:val="24"/>
          <w:szCs w:val="24"/>
        </w:rPr>
        <w:t>th percentiles and whiskers show</w:t>
      </w:r>
      <w:r w:rsidR="00364F82" w:rsidRPr="003023EC">
        <w:rPr>
          <w:rFonts w:ascii="Times New Roman" w:hAnsi="Times New Roman"/>
          <w:sz w:val="24"/>
          <w:szCs w:val="24"/>
        </w:rPr>
        <w:t>ing</w:t>
      </w:r>
      <w:r w:rsidR="006B03AD" w:rsidRPr="003023EC">
        <w:rPr>
          <w:rFonts w:ascii="Times New Roman" w:hAnsi="Times New Roman"/>
          <w:sz w:val="24"/>
          <w:szCs w:val="24"/>
        </w:rPr>
        <w:t xml:space="preserve"> min to max.</w:t>
      </w:r>
    </w:p>
    <w:p w14:paraId="1320A66E" w14:textId="77777777" w:rsidR="004F091C" w:rsidRPr="004F091C" w:rsidRDefault="004F091C" w:rsidP="004F091C">
      <w:pPr>
        <w:rPr>
          <w:rFonts w:ascii="Times New Roman" w:hAnsi="Times New Roman"/>
          <w:b/>
          <w:sz w:val="24"/>
          <w:szCs w:val="24"/>
        </w:rPr>
      </w:pPr>
    </w:p>
    <w:p w14:paraId="2F296927" w14:textId="77777777" w:rsidR="00B80F7F" w:rsidRPr="003023EC" w:rsidRDefault="00B80F7F" w:rsidP="00B80F7F">
      <w:pPr>
        <w:pStyle w:val="Refhead"/>
      </w:pPr>
      <w:r w:rsidRPr="003023EC">
        <w:t>References and Notes:</w:t>
      </w:r>
    </w:p>
    <w:p w14:paraId="2C66E718" w14:textId="77777777" w:rsidR="00C75BEE" w:rsidRPr="00C75BEE" w:rsidRDefault="006764E9" w:rsidP="00C75BEE">
      <w:pPr>
        <w:pStyle w:val="EndNoteBibliography"/>
        <w:ind w:left="720" w:hanging="720"/>
      </w:pPr>
      <w:r>
        <w:rPr>
          <w:rFonts w:ascii="Times New Roman" w:hAnsi="Times New Roman"/>
        </w:rPr>
        <w:fldChar w:fldCharType="begin"/>
      </w:r>
      <w:r>
        <w:rPr>
          <w:rFonts w:ascii="Times New Roman" w:hAnsi="Times New Roman"/>
        </w:rPr>
        <w:instrText xml:space="preserve"> ADDIN EN.REFLIST </w:instrText>
      </w:r>
      <w:r>
        <w:rPr>
          <w:rFonts w:ascii="Times New Roman" w:hAnsi="Times New Roman"/>
        </w:rPr>
        <w:fldChar w:fldCharType="separate"/>
      </w:r>
      <w:r w:rsidR="00C75BEE" w:rsidRPr="00C75BEE">
        <w:t xml:space="preserve">Hansen KD, Langmead B, Irizarry RA. 2012. BSmooth: from whole genome bisulfite sequencing reads to </w:t>
      </w:r>
      <w:r w:rsidR="00C75BEE" w:rsidRPr="00C75BEE">
        <w:lastRenderedPageBreak/>
        <w:t xml:space="preserve">differentially methylated regions. </w:t>
      </w:r>
      <w:r w:rsidR="00C75BEE" w:rsidRPr="00C75BEE">
        <w:rPr>
          <w:i/>
        </w:rPr>
        <w:t>Genome Biol</w:t>
      </w:r>
      <w:r w:rsidR="00C75BEE" w:rsidRPr="00C75BEE">
        <w:t xml:space="preserve"> </w:t>
      </w:r>
      <w:r w:rsidR="00C75BEE" w:rsidRPr="00C75BEE">
        <w:rPr>
          <w:b/>
        </w:rPr>
        <w:t>13</w:t>
      </w:r>
      <w:r w:rsidR="00C75BEE" w:rsidRPr="00C75BEE">
        <w:t>: R83.</w:t>
      </w:r>
    </w:p>
    <w:p w14:paraId="4D1BE0D2" w14:textId="77777777" w:rsidR="00C75BEE" w:rsidRPr="00C75BEE" w:rsidRDefault="00C75BEE" w:rsidP="00C75BEE">
      <w:pPr>
        <w:pStyle w:val="EndNoteBibliography"/>
        <w:ind w:left="720" w:hanging="720"/>
      </w:pPr>
      <w:r w:rsidRPr="00C75BEE">
        <w:t xml:space="preserve">Kim D, Pertea G, Trapnell C, Pimentel H, Kelley R, Salzberg SL. 2013. TopHat2: accurate alignment of transcriptomes in the presence of insertions, deletions and gene fusions. </w:t>
      </w:r>
      <w:r w:rsidRPr="00C75BEE">
        <w:rPr>
          <w:i/>
        </w:rPr>
        <w:t>Genome Biol</w:t>
      </w:r>
      <w:r w:rsidRPr="00C75BEE">
        <w:t xml:space="preserve"> </w:t>
      </w:r>
      <w:r w:rsidRPr="00C75BEE">
        <w:rPr>
          <w:b/>
        </w:rPr>
        <w:t>14</w:t>
      </w:r>
      <w:r w:rsidRPr="00C75BEE">
        <w:t>: R36.</w:t>
      </w:r>
    </w:p>
    <w:p w14:paraId="0527E786" w14:textId="77777777" w:rsidR="00C75BEE" w:rsidRPr="00C75BEE" w:rsidRDefault="00C75BEE" w:rsidP="00C75BEE">
      <w:pPr>
        <w:pStyle w:val="EndNoteBibliography"/>
        <w:ind w:left="720" w:hanging="720"/>
      </w:pPr>
      <w:r w:rsidRPr="00C75BEE">
        <w:t xml:space="preserve">Koboldt DC, Chen K, Wylie T, Larson DE, McLellan MD, Mardis ER, Weinstock GM, Wilson RK, Ding L. 2009. VarScan: variant detection in massively parallel sequencing of individual and pooled samples. </w:t>
      </w:r>
      <w:r w:rsidRPr="00C75BEE">
        <w:rPr>
          <w:i/>
        </w:rPr>
        <w:t>Bioinformatics</w:t>
      </w:r>
      <w:r w:rsidRPr="00C75BEE">
        <w:t xml:space="preserve"> </w:t>
      </w:r>
      <w:r w:rsidRPr="00C75BEE">
        <w:rPr>
          <w:b/>
        </w:rPr>
        <w:t>25</w:t>
      </w:r>
      <w:r w:rsidRPr="00C75BEE">
        <w:t>: 2283-2285.</w:t>
      </w:r>
    </w:p>
    <w:p w14:paraId="2EFDD208" w14:textId="77777777" w:rsidR="00C75BEE" w:rsidRPr="00C75BEE" w:rsidRDefault="00C75BEE" w:rsidP="00C75BEE">
      <w:pPr>
        <w:pStyle w:val="EndNoteBibliography"/>
        <w:ind w:left="720" w:hanging="720"/>
      </w:pPr>
      <w:r w:rsidRPr="00C75BEE">
        <w:t xml:space="preserve">Langmead B, Salzberg SL. 2012. Fast gapped-read alignment with Bowtie 2. </w:t>
      </w:r>
      <w:r w:rsidRPr="00C75BEE">
        <w:rPr>
          <w:i/>
        </w:rPr>
        <w:t>Nat Methods</w:t>
      </w:r>
      <w:r w:rsidRPr="00C75BEE">
        <w:t xml:space="preserve"> </w:t>
      </w:r>
      <w:r w:rsidRPr="00C75BEE">
        <w:rPr>
          <w:b/>
        </w:rPr>
        <w:t>9</w:t>
      </w:r>
      <w:r w:rsidRPr="00C75BEE">
        <w:t>: 357-359.</w:t>
      </w:r>
    </w:p>
    <w:p w14:paraId="6E56511D" w14:textId="77777777" w:rsidR="00C75BEE" w:rsidRPr="00C75BEE" w:rsidRDefault="00C75BEE" w:rsidP="00C75BEE">
      <w:pPr>
        <w:pStyle w:val="EndNoteBibliography"/>
        <w:ind w:left="720" w:hanging="720"/>
      </w:pPr>
      <w:r w:rsidRPr="00C75BEE">
        <w:t xml:space="preserve">Patel RK, Jain M. 2012. NGS QC Toolkit: a toolkit for quality control of next generation sequencing data. </w:t>
      </w:r>
      <w:r w:rsidRPr="00C75BEE">
        <w:rPr>
          <w:i/>
        </w:rPr>
        <w:t>PLoS One</w:t>
      </w:r>
      <w:r w:rsidRPr="00C75BEE">
        <w:t xml:space="preserve"> </w:t>
      </w:r>
      <w:r w:rsidRPr="00C75BEE">
        <w:rPr>
          <w:b/>
        </w:rPr>
        <w:t>7</w:t>
      </w:r>
      <w:r w:rsidRPr="00C75BEE">
        <w:t>: e30619.</w:t>
      </w:r>
    </w:p>
    <w:p w14:paraId="0E218661" w14:textId="77777777" w:rsidR="00C75BEE" w:rsidRPr="00C75BEE" w:rsidRDefault="00C75BEE" w:rsidP="00C75BEE">
      <w:pPr>
        <w:pStyle w:val="EndNoteBibliography"/>
        <w:ind w:left="720" w:hanging="720"/>
      </w:pPr>
      <w:r w:rsidRPr="00C75BEE">
        <w:t xml:space="preserve">Trapnell C, Roberts A, Goff L, Pertea G, Kim D, Kelley DR, Pimentel H, Salzberg SL, Rinn JL, Pachter L. 2012. Differential gene and transcript expression analysis of RNA-seq experiments with TopHat and Cufflinks. </w:t>
      </w:r>
      <w:r w:rsidRPr="00C75BEE">
        <w:rPr>
          <w:i/>
        </w:rPr>
        <w:t>Nat Protoc</w:t>
      </w:r>
      <w:r w:rsidRPr="00C75BEE">
        <w:t xml:space="preserve"> </w:t>
      </w:r>
      <w:r w:rsidRPr="00C75BEE">
        <w:rPr>
          <w:b/>
        </w:rPr>
        <w:t>7</w:t>
      </w:r>
      <w:r w:rsidRPr="00C75BEE">
        <w:t>: 562-578.</w:t>
      </w:r>
    </w:p>
    <w:p w14:paraId="4F4F7602" w14:textId="77777777" w:rsidR="00C75BEE" w:rsidRPr="00C75BEE" w:rsidRDefault="00C75BEE" w:rsidP="00C75BEE">
      <w:pPr>
        <w:pStyle w:val="EndNoteBibliography"/>
        <w:ind w:left="720" w:hanging="720"/>
      </w:pPr>
      <w:r w:rsidRPr="00C75BEE">
        <w:t xml:space="preserve">Zhang Y, Liu T, Meyer CA, Eeckhoute J, Johnson DS, Bernstein BE, Nusbaum C, Myers RM, Brown M, Li W et al. 2008. Model-based analysis of ChIP-Seq (MACS). </w:t>
      </w:r>
      <w:r w:rsidRPr="00C75BEE">
        <w:rPr>
          <w:i/>
        </w:rPr>
        <w:t>Genome Biol</w:t>
      </w:r>
      <w:r w:rsidRPr="00C75BEE">
        <w:t xml:space="preserve"> </w:t>
      </w:r>
      <w:r w:rsidRPr="00C75BEE">
        <w:rPr>
          <w:b/>
        </w:rPr>
        <w:t>9</w:t>
      </w:r>
      <w:r w:rsidRPr="00C75BEE">
        <w:t>: R137.</w:t>
      </w:r>
    </w:p>
    <w:p w14:paraId="3FE9BEDF" w14:textId="372CDE0D" w:rsidR="007F19DA" w:rsidRPr="003023EC" w:rsidRDefault="006764E9">
      <w:pPr>
        <w:rPr>
          <w:rFonts w:ascii="Times New Roman" w:hAnsi="Times New Roman"/>
        </w:rPr>
      </w:pPr>
      <w:r>
        <w:rPr>
          <w:rFonts w:ascii="Times New Roman" w:hAnsi="Times New Roman"/>
        </w:rPr>
        <w:fldChar w:fldCharType="end"/>
      </w:r>
    </w:p>
    <w:sectPr w:rsidR="007F19DA" w:rsidRPr="003023EC" w:rsidSect="007F19DA">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D8C1C" w14:textId="77777777" w:rsidR="00E62F0D" w:rsidRDefault="00E62F0D" w:rsidP="00B80F7F">
      <w:r>
        <w:separator/>
      </w:r>
    </w:p>
  </w:endnote>
  <w:endnote w:type="continuationSeparator" w:id="0">
    <w:p w14:paraId="37200F3C" w14:textId="77777777" w:rsidR="00E62F0D" w:rsidRDefault="00E62F0D" w:rsidP="00B8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7586D" w14:textId="77777777" w:rsidR="00E62F0D" w:rsidRDefault="00E62F0D" w:rsidP="00B80F7F">
      <w:r>
        <w:separator/>
      </w:r>
    </w:p>
  </w:footnote>
  <w:footnote w:type="continuationSeparator" w:id="0">
    <w:p w14:paraId="1C98928E" w14:textId="77777777" w:rsidR="00E62F0D" w:rsidRDefault="00E62F0D" w:rsidP="00B80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vr9pfaexrzvwevtw3x220jszszx09sxawd&quot;&gt;总文献 共142篇 20180428 Copy&lt;record-ids&gt;&lt;item&gt;49&lt;/item&gt;&lt;/record-ids&gt;&lt;/item&gt;&lt;/Libraries&gt;"/>
  </w:docVars>
  <w:rsids>
    <w:rsidRoot w:val="003F09AC"/>
    <w:rsid w:val="00023B13"/>
    <w:rsid w:val="000322A5"/>
    <w:rsid w:val="00032AEE"/>
    <w:rsid w:val="000349DE"/>
    <w:rsid w:val="00036894"/>
    <w:rsid w:val="00037A77"/>
    <w:rsid w:val="00046BA6"/>
    <w:rsid w:val="00063686"/>
    <w:rsid w:val="000779DF"/>
    <w:rsid w:val="000831CA"/>
    <w:rsid w:val="000910C7"/>
    <w:rsid w:val="000911BA"/>
    <w:rsid w:val="00092C1B"/>
    <w:rsid w:val="000C23E5"/>
    <w:rsid w:val="000C28EA"/>
    <w:rsid w:val="000F57CD"/>
    <w:rsid w:val="00141160"/>
    <w:rsid w:val="00166101"/>
    <w:rsid w:val="001671F4"/>
    <w:rsid w:val="001763EB"/>
    <w:rsid w:val="00180941"/>
    <w:rsid w:val="00185C39"/>
    <w:rsid w:val="002032A7"/>
    <w:rsid w:val="00217BE1"/>
    <w:rsid w:val="00221049"/>
    <w:rsid w:val="00223A8A"/>
    <w:rsid w:val="00233CC4"/>
    <w:rsid w:val="002434FA"/>
    <w:rsid w:val="00261F1D"/>
    <w:rsid w:val="0026641C"/>
    <w:rsid w:val="002B73A1"/>
    <w:rsid w:val="002F3808"/>
    <w:rsid w:val="002F7F4E"/>
    <w:rsid w:val="003023EC"/>
    <w:rsid w:val="00310205"/>
    <w:rsid w:val="0032287C"/>
    <w:rsid w:val="00333D76"/>
    <w:rsid w:val="00334931"/>
    <w:rsid w:val="00356615"/>
    <w:rsid w:val="00364F82"/>
    <w:rsid w:val="00390D01"/>
    <w:rsid w:val="003E17F7"/>
    <w:rsid w:val="003F09AC"/>
    <w:rsid w:val="003F270A"/>
    <w:rsid w:val="003F3C37"/>
    <w:rsid w:val="00415509"/>
    <w:rsid w:val="004264E7"/>
    <w:rsid w:val="004311F4"/>
    <w:rsid w:val="0045699F"/>
    <w:rsid w:val="00456D0B"/>
    <w:rsid w:val="00494182"/>
    <w:rsid w:val="004970E4"/>
    <w:rsid w:val="004A3320"/>
    <w:rsid w:val="004C6BA7"/>
    <w:rsid w:val="004D0515"/>
    <w:rsid w:val="004F091C"/>
    <w:rsid w:val="005005A8"/>
    <w:rsid w:val="00505B56"/>
    <w:rsid w:val="005646BE"/>
    <w:rsid w:val="0056550B"/>
    <w:rsid w:val="00565C70"/>
    <w:rsid w:val="00566C01"/>
    <w:rsid w:val="00590384"/>
    <w:rsid w:val="00597120"/>
    <w:rsid w:val="005A0F31"/>
    <w:rsid w:val="005A5790"/>
    <w:rsid w:val="005C28AA"/>
    <w:rsid w:val="005F0B51"/>
    <w:rsid w:val="005F13EC"/>
    <w:rsid w:val="0060682C"/>
    <w:rsid w:val="00625485"/>
    <w:rsid w:val="0064722F"/>
    <w:rsid w:val="006750B7"/>
    <w:rsid w:val="006764E9"/>
    <w:rsid w:val="00683224"/>
    <w:rsid w:val="006957F3"/>
    <w:rsid w:val="0069738E"/>
    <w:rsid w:val="006B03AD"/>
    <w:rsid w:val="006B3186"/>
    <w:rsid w:val="006C163E"/>
    <w:rsid w:val="006C221B"/>
    <w:rsid w:val="006C662C"/>
    <w:rsid w:val="006F0F7C"/>
    <w:rsid w:val="00711CF6"/>
    <w:rsid w:val="007330D8"/>
    <w:rsid w:val="0073517E"/>
    <w:rsid w:val="00735CED"/>
    <w:rsid w:val="00740CFA"/>
    <w:rsid w:val="00741803"/>
    <w:rsid w:val="00770AE0"/>
    <w:rsid w:val="00781368"/>
    <w:rsid w:val="00782937"/>
    <w:rsid w:val="00786D91"/>
    <w:rsid w:val="00795BE1"/>
    <w:rsid w:val="00795F95"/>
    <w:rsid w:val="007A38D8"/>
    <w:rsid w:val="007A4A70"/>
    <w:rsid w:val="007B36A4"/>
    <w:rsid w:val="007E0D13"/>
    <w:rsid w:val="007F19DA"/>
    <w:rsid w:val="008151F2"/>
    <w:rsid w:val="00837595"/>
    <w:rsid w:val="00875FA9"/>
    <w:rsid w:val="00887636"/>
    <w:rsid w:val="0089644B"/>
    <w:rsid w:val="008A5122"/>
    <w:rsid w:val="008B0A42"/>
    <w:rsid w:val="008D2425"/>
    <w:rsid w:val="008F4C7C"/>
    <w:rsid w:val="00900D76"/>
    <w:rsid w:val="009026E2"/>
    <w:rsid w:val="00912987"/>
    <w:rsid w:val="009335DA"/>
    <w:rsid w:val="00960847"/>
    <w:rsid w:val="00975B74"/>
    <w:rsid w:val="009971B0"/>
    <w:rsid w:val="009A1C08"/>
    <w:rsid w:val="009C046E"/>
    <w:rsid w:val="009D0ED5"/>
    <w:rsid w:val="009D165B"/>
    <w:rsid w:val="00A137E4"/>
    <w:rsid w:val="00A1390A"/>
    <w:rsid w:val="00A14382"/>
    <w:rsid w:val="00A1693C"/>
    <w:rsid w:val="00A27B6A"/>
    <w:rsid w:val="00A427E8"/>
    <w:rsid w:val="00A719B0"/>
    <w:rsid w:val="00A74300"/>
    <w:rsid w:val="00A91C73"/>
    <w:rsid w:val="00A94F87"/>
    <w:rsid w:val="00AA3138"/>
    <w:rsid w:val="00AA758A"/>
    <w:rsid w:val="00AB3EAB"/>
    <w:rsid w:val="00AB66B0"/>
    <w:rsid w:val="00AC2A20"/>
    <w:rsid w:val="00B02F37"/>
    <w:rsid w:val="00B15728"/>
    <w:rsid w:val="00B16231"/>
    <w:rsid w:val="00B31382"/>
    <w:rsid w:val="00B508AF"/>
    <w:rsid w:val="00B61577"/>
    <w:rsid w:val="00B74ED3"/>
    <w:rsid w:val="00B7519C"/>
    <w:rsid w:val="00B752DD"/>
    <w:rsid w:val="00B80F7F"/>
    <w:rsid w:val="00B97882"/>
    <w:rsid w:val="00BB32E4"/>
    <w:rsid w:val="00BB582D"/>
    <w:rsid w:val="00BC2E77"/>
    <w:rsid w:val="00BE1293"/>
    <w:rsid w:val="00C0122A"/>
    <w:rsid w:val="00C12AC4"/>
    <w:rsid w:val="00C367C1"/>
    <w:rsid w:val="00C56B45"/>
    <w:rsid w:val="00C66894"/>
    <w:rsid w:val="00C74879"/>
    <w:rsid w:val="00C75BEE"/>
    <w:rsid w:val="00CA2333"/>
    <w:rsid w:val="00CA32C9"/>
    <w:rsid w:val="00CA682F"/>
    <w:rsid w:val="00CC13A8"/>
    <w:rsid w:val="00D00286"/>
    <w:rsid w:val="00D01D5A"/>
    <w:rsid w:val="00D06A09"/>
    <w:rsid w:val="00D30D97"/>
    <w:rsid w:val="00D659C9"/>
    <w:rsid w:val="00D92384"/>
    <w:rsid w:val="00DC25CD"/>
    <w:rsid w:val="00DD04CE"/>
    <w:rsid w:val="00DD06B8"/>
    <w:rsid w:val="00E3645D"/>
    <w:rsid w:val="00E4206A"/>
    <w:rsid w:val="00E555E7"/>
    <w:rsid w:val="00E560D3"/>
    <w:rsid w:val="00E6183D"/>
    <w:rsid w:val="00E62F0D"/>
    <w:rsid w:val="00E822F1"/>
    <w:rsid w:val="00E82747"/>
    <w:rsid w:val="00E83E52"/>
    <w:rsid w:val="00E93337"/>
    <w:rsid w:val="00E93605"/>
    <w:rsid w:val="00EA2949"/>
    <w:rsid w:val="00EA6A7B"/>
    <w:rsid w:val="00EC6EE4"/>
    <w:rsid w:val="00ED4D1F"/>
    <w:rsid w:val="00F12031"/>
    <w:rsid w:val="00F12726"/>
    <w:rsid w:val="00F222E6"/>
    <w:rsid w:val="00F2246E"/>
    <w:rsid w:val="00F30564"/>
    <w:rsid w:val="00F43571"/>
    <w:rsid w:val="00F45CB9"/>
    <w:rsid w:val="00F75D68"/>
    <w:rsid w:val="00F83836"/>
    <w:rsid w:val="00F85AD7"/>
    <w:rsid w:val="00F967EF"/>
    <w:rsid w:val="00FA2350"/>
    <w:rsid w:val="00FB10A3"/>
    <w:rsid w:val="00FB61BE"/>
    <w:rsid w:val="00FC7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056DE"/>
  <w15:chartTrackingRefBased/>
  <w15:docId w15:val="{85CEB49E-8B53-4519-BB19-F8DAD5D0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F7F"/>
    <w:pPr>
      <w:widowControl w:val="0"/>
      <w:jc w:val="both"/>
    </w:pPr>
    <w:rPr>
      <w:rFonts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F7F"/>
    <w:pPr>
      <w:pBdr>
        <w:bottom w:val="single" w:sz="6" w:space="1" w:color="auto"/>
      </w:pBdr>
      <w:tabs>
        <w:tab w:val="center" w:pos="4153"/>
        <w:tab w:val="right" w:pos="8306"/>
      </w:tabs>
      <w:snapToGrid w:val="0"/>
      <w:jc w:val="center"/>
    </w:pPr>
    <w:rPr>
      <w:rFonts w:cstheme="minorBidi"/>
      <w:sz w:val="18"/>
      <w:szCs w:val="18"/>
    </w:rPr>
  </w:style>
  <w:style w:type="character" w:customStyle="1" w:styleId="Char">
    <w:name w:val="页眉 Char"/>
    <w:basedOn w:val="a0"/>
    <w:link w:val="a3"/>
    <w:uiPriority w:val="99"/>
    <w:rsid w:val="00B80F7F"/>
    <w:rPr>
      <w:sz w:val="18"/>
      <w:szCs w:val="18"/>
    </w:rPr>
  </w:style>
  <w:style w:type="paragraph" w:styleId="a4">
    <w:name w:val="footer"/>
    <w:basedOn w:val="a"/>
    <w:link w:val="Char0"/>
    <w:uiPriority w:val="99"/>
    <w:unhideWhenUsed/>
    <w:rsid w:val="00B80F7F"/>
    <w:pPr>
      <w:tabs>
        <w:tab w:val="center" w:pos="4153"/>
        <w:tab w:val="right" w:pos="8306"/>
      </w:tabs>
      <w:snapToGrid w:val="0"/>
      <w:jc w:val="left"/>
    </w:pPr>
    <w:rPr>
      <w:rFonts w:cstheme="minorBidi"/>
      <w:sz w:val="18"/>
      <w:szCs w:val="18"/>
    </w:rPr>
  </w:style>
  <w:style w:type="character" w:customStyle="1" w:styleId="Char0">
    <w:name w:val="页脚 Char"/>
    <w:basedOn w:val="a0"/>
    <w:link w:val="a4"/>
    <w:uiPriority w:val="99"/>
    <w:rsid w:val="00B80F7F"/>
    <w:rPr>
      <w:sz w:val="18"/>
      <w:szCs w:val="18"/>
    </w:rPr>
  </w:style>
  <w:style w:type="paragraph" w:customStyle="1" w:styleId="EndNoteBibliography">
    <w:name w:val="EndNote Bibliography"/>
    <w:basedOn w:val="a"/>
    <w:link w:val="EndNoteBibliographyChar"/>
    <w:rsid w:val="00B80F7F"/>
    <w:rPr>
      <w:rFonts w:ascii="Calibri" w:hAnsi="Calibri"/>
      <w:noProof/>
      <w:sz w:val="20"/>
    </w:rPr>
  </w:style>
  <w:style w:type="character" w:customStyle="1" w:styleId="EndNoteBibliographyChar">
    <w:name w:val="EndNote Bibliography Char"/>
    <w:basedOn w:val="a0"/>
    <w:link w:val="EndNoteBibliography"/>
    <w:locked/>
    <w:rsid w:val="00B80F7F"/>
    <w:rPr>
      <w:rFonts w:ascii="Calibri" w:hAnsi="Calibri" w:cs="Times New Roman"/>
      <w:noProof/>
      <w:sz w:val="20"/>
    </w:rPr>
  </w:style>
  <w:style w:type="paragraph" w:customStyle="1" w:styleId="Refhead">
    <w:name w:val="Ref head"/>
    <w:basedOn w:val="a"/>
    <w:rsid w:val="00B80F7F"/>
    <w:pPr>
      <w:keepNext/>
      <w:widowControl/>
      <w:spacing w:before="120" w:after="120"/>
      <w:jc w:val="left"/>
      <w:outlineLvl w:val="0"/>
    </w:pPr>
    <w:rPr>
      <w:rFonts w:ascii="Times New Roman" w:hAnsi="Times New Roman"/>
      <w:b/>
      <w:bCs/>
      <w:kern w:val="28"/>
      <w:sz w:val="24"/>
      <w:szCs w:val="24"/>
      <w:lang w:eastAsia="en-US"/>
    </w:rPr>
  </w:style>
  <w:style w:type="paragraph" w:customStyle="1" w:styleId="SOMHead">
    <w:name w:val="SOMHead"/>
    <w:basedOn w:val="a"/>
    <w:rsid w:val="00B80F7F"/>
    <w:pPr>
      <w:keepNext/>
      <w:widowControl/>
      <w:spacing w:before="240"/>
      <w:jc w:val="left"/>
      <w:outlineLvl w:val="0"/>
    </w:pPr>
    <w:rPr>
      <w:rFonts w:ascii="Times New Roman" w:eastAsia="Times New Roman" w:hAnsi="Times New Roman"/>
      <w:b/>
      <w:kern w:val="28"/>
      <w:sz w:val="24"/>
      <w:szCs w:val="24"/>
      <w:lang w:eastAsia="en-US"/>
    </w:rPr>
  </w:style>
  <w:style w:type="paragraph" w:customStyle="1" w:styleId="SOMContent">
    <w:name w:val="SOMContent"/>
    <w:basedOn w:val="a"/>
    <w:rsid w:val="00B80F7F"/>
    <w:pPr>
      <w:widowControl/>
      <w:spacing w:before="120"/>
      <w:jc w:val="left"/>
    </w:pPr>
    <w:rPr>
      <w:rFonts w:ascii="Times New Roman" w:eastAsia="Times New Roman" w:hAnsi="Times New Roman"/>
      <w:kern w:val="0"/>
      <w:sz w:val="24"/>
      <w:szCs w:val="24"/>
      <w:lang w:eastAsia="en-US"/>
    </w:rPr>
  </w:style>
  <w:style w:type="character" w:styleId="a5">
    <w:name w:val="line number"/>
    <w:basedOn w:val="a0"/>
    <w:uiPriority w:val="99"/>
    <w:semiHidden/>
    <w:unhideWhenUsed/>
    <w:rsid w:val="00B80F7F"/>
  </w:style>
  <w:style w:type="paragraph" w:styleId="a6">
    <w:name w:val="Balloon Text"/>
    <w:basedOn w:val="a"/>
    <w:link w:val="Char1"/>
    <w:uiPriority w:val="99"/>
    <w:semiHidden/>
    <w:unhideWhenUsed/>
    <w:rsid w:val="00223A8A"/>
    <w:rPr>
      <w:sz w:val="18"/>
      <w:szCs w:val="18"/>
    </w:rPr>
  </w:style>
  <w:style w:type="character" w:customStyle="1" w:styleId="Char1">
    <w:name w:val="批注框文本 Char"/>
    <w:basedOn w:val="a0"/>
    <w:link w:val="a6"/>
    <w:uiPriority w:val="99"/>
    <w:semiHidden/>
    <w:rsid w:val="00223A8A"/>
    <w:rPr>
      <w:rFonts w:cs="Times New Roman"/>
      <w:sz w:val="18"/>
      <w:szCs w:val="18"/>
    </w:rPr>
  </w:style>
  <w:style w:type="character" w:styleId="a7">
    <w:name w:val="annotation reference"/>
    <w:basedOn w:val="a0"/>
    <w:uiPriority w:val="99"/>
    <w:semiHidden/>
    <w:unhideWhenUsed/>
    <w:rsid w:val="00FC7C60"/>
    <w:rPr>
      <w:sz w:val="21"/>
      <w:szCs w:val="21"/>
    </w:rPr>
  </w:style>
  <w:style w:type="paragraph" w:styleId="a8">
    <w:name w:val="annotation text"/>
    <w:basedOn w:val="a"/>
    <w:link w:val="Char2"/>
    <w:uiPriority w:val="99"/>
    <w:semiHidden/>
    <w:unhideWhenUsed/>
    <w:rsid w:val="00FC7C60"/>
    <w:pPr>
      <w:jc w:val="left"/>
    </w:pPr>
  </w:style>
  <w:style w:type="character" w:customStyle="1" w:styleId="Char2">
    <w:name w:val="批注文字 Char"/>
    <w:basedOn w:val="a0"/>
    <w:link w:val="a8"/>
    <w:uiPriority w:val="99"/>
    <w:semiHidden/>
    <w:rsid w:val="00FC7C60"/>
    <w:rPr>
      <w:rFonts w:cs="Times New Roman"/>
    </w:rPr>
  </w:style>
  <w:style w:type="paragraph" w:styleId="a9">
    <w:name w:val="annotation subject"/>
    <w:basedOn w:val="a8"/>
    <w:next w:val="a8"/>
    <w:link w:val="Char3"/>
    <w:uiPriority w:val="99"/>
    <w:semiHidden/>
    <w:unhideWhenUsed/>
    <w:rsid w:val="00FC7C60"/>
    <w:rPr>
      <w:b/>
      <w:bCs/>
    </w:rPr>
  </w:style>
  <w:style w:type="character" w:customStyle="1" w:styleId="Char3">
    <w:name w:val="批注主题 Char"/>
    <w:basedOn w:val="Char2"/>
    <w:link w:val="a9"/>
    <w:uiPriority w:val="99"/>
    <w:semiHidden/>
    <w:rsid w:val="00FC7C60"/>
    <w:rPr>
      <w:rFonts w:cs="Times New Roman"/>
      <w:b/>
      <w:bCs/>
    </w:rPr>
  </w:style>
  <w:style w:type="paragraph" w:customStyle="1" w:styleId="EndNoteBibliographyTitle">
    <w:name w:val="EndNote Bibliography Title"/>
    <w:basedOn w:val="a"/>
    <w:link w:val="EndNoteBibliographyTitleChar"/>
    <w:rsid w:val="006764E9"/>
    <w:pPr>
      <w:jc w:val="center"/>
    </w:pPr>
    <w:rPr>
      <w:rFonts w:ascii="Calibri" w:hAnsi="Calibri"/>
      <w:noProof/>
      <w:sz w:val="20"/>
    </w:rPr>
  </w:style>
  <w:style w:type="character" w:customStyle="1" w:styleId="EndNoteBibliographyTitleChar">
    <w:name w:val="EndNote Bibliography Title Char"/>
    <w:basedOn w:val="a0"/>
    <w:link w:val="EndNoteBibliographyTitle"/>
    <w:rsid w:val="006764E9"/>
    <w:rPr>
      <w:rFonts w:ascii="Calibri" w:hAnsi="Calibri" w:cs="Times New Roman"/>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51615">
      <w:bodyDiv w:val="1"/>
      <w:marLeft w:val="0"/>
      <w:marRight w:val="0"/>
      <w:marTop w:val="0"/>
      <w:marBottom w:val="0"/>
      <w:divBdr>
        <w:top w:val="none" w:sz="0" w:space="0" w:color="auto"/>
        <w:left w:val="none" w:sz="0" w:space="0" w:color="auto"/>
        <w:bottom w:val="none" w:sz="0" w:space="0" w:color="auto"/>
        <w:right w:val="none" w:sz="0" w:space="0" w:color="auto"/>
      </w:divBdr>
    </w:div>
    <w:div w:id="914122769">
      <w:bodyDiv w:val="1"/>
      <w:marLeft w:val="0"/>
      <w:marRight w:val="0"/>
      <w:marTop w:val="0"/>
      <w:marBottom w:val="0"/>
      <w:divBdr>
        <w:top w:val="none" w:sz="0" w:space="0" w:color="auto"/>
        <w:left w:val="none" w:sz="0" w:space="0" w:color="auto"/>
        <w:bottom w:val="none" w:sz="0" w:space="0" w:color="auto"/>
        <w:right w:val="none" w:sz="0" w:space="0" w:color="auto"/>
      </w:divBdr>
      <w:divsChild>
        <w:div w:id="2125609341">
          <w:marLeft w:val="0"/>
          <w:marRight w:val="0"/>
          <w:marTop w:val="0"/>
          <w:marBottom w:val="0"/>
          <w:divBdr>
            <w:top w:val="none" w:sz="0" w:space="0" w:color="auto"/>
            <w:left w:val="none" w:sz="0" w:space="0" w:color="auto"/>
            <w:bottom w:val="none" w:sz="0" w:space="0" w:color="auto"/>
            <w:right w:val="none" w:sz="0" w:space="0" w:color="auto"/>
          </w:divBdr>
        </w:div>
        <w:div w:id="167603578">
          <w:marLeft w:val="0"/>
          <w:marRight w:val="0"/>
          <w:marTop w:val="0"/>
          <w:marBottom w:val="0"/>
          <w:divBdr>
            <w:top w:val="none" w:sz="0" w:space="0" w:color="auto"/>
            <w:left w:val="none" w:sz="0" w:space="0" w:color="auto"/>
            <w:bottom w:val="none" w:sz="0" w:space="0" w:color="auto"/>
            <w:right w:val="none" w:sz="0" w:space="0" w:color="auto"/>
          </w:divBdr>
        </w:div>
        <w:div w:id="2064138740">
          <w:marLeft w:val="0"/>
          <w:marRight w:val="0"/>
          <w:marTop w:val="0"/>
          <w:marBottom w:val="0"/>
          <w:divBdr>
            <w:top w:val="none" w:sz="0" w:space="0" w:color="auto"/>
            <w:left w:val="none" w:sz="0" w:space="0" w:color="auto"/>
            <w:bottom w:val="none" w:sz="0" w:space="0" w:color="auto"/>
            <w:right w:val="none" w:sz="0" w:space="0" w:color="auto"/>
          </w:divBdr>
        </w:div>
      </w:divsChild>
    </w:div>
    <w:div w:id="1933971489">
      <w:bodyDiv w:val="1"/>
      <w:marLeft w:val="0"/>
      <w:marRight w:val="0"/>
      <w:marTop w:val="0"/>
      <w:marBottom w:val="0"/>
      <w:divBdr>
        <w:top w:val="none" w:sz="0" w:space="0" w:color="auto"/>
        <w:left w:val="none" w:sz="0" w:space="0" w:color="auto"/>
        <w:bottom w:val="none" w:sz="0" w:space="0" w:color="auto"/>
        <w:right w:val="none" w:sz="0" w:space="0" w:color="auto"/>
      </w:divBdr>
      <w:divsChild>
        <w:div w:id="145221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oconductor.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3552</Words>
  <Characters>20252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lijin</dc:creator>
  <cp:keywords/>
  <dc:description/>
  <cp:lastModifiedBy>lijin</cp:lastModifiedBy>
  <cp:revision>4</cp:revision>
  <cp:lastPrinted>2018-02-08T12:03:00Z</cp:lastPrinted>
  <dcterms:created xsi:type="dcterms:W3CDTF">2018-12-18T07:57:00Z</dcterms:created>
  <dcterms:modified xsi:type="dcterms:W3CDTF">2018-12-18T07:57:00Z</dcterms:modified>
</cp:coreProperties>
</file>