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B" w:rsidRPr="00131DDD" w:rsidRDefault="0011593B" w:rsidP="0011593B">
      <w:pPr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</w:pPr>
      <w:r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>Ranking n</w:t>
      </w:r>
      <w:r w:rsidRPr="005A167F"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 xml:space="preserve">on-canonical 5’ splice site usage by genome-wide </w:t>
      </w:r>
      <w:r w:rsidRPr="00AF430F"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>RNA-</w:t>
      </w:r>
      <w:proofErr w:type="spellStart"/>
      <w:r w:rsidRPr="00AF430F"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>seq</w:t>
      </w:r>
      <w:proofErr w:type="spellEnd"/>
      <w:r w:rsidRPr="00AF430F"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 xml:space="preserve"> </w:t>
      </w:r>
      <w:r w:rsidRPr="005A167F"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>analys</w:t>
      </w:r>
      <w:r>
        <w:rPr>
          <w:rFonts w:eastAsiaTheme="majorEastAsia" w:cstheme="minorHAnsi"/>
          <w:b/>
          <w:bCs/>
          <w:color w:val="0070C0"/>
          <w:sz w:val="32"/>
          <w:szCs w:val="32"/>
          <w:lang w:val="en-US"/>
        </w:rPr>
        <w:t>is and splicing reporter assays</w:t>
      </w:r>
    </w:p>
    <w:p w:rsidR="0011593B" w:rsidRPr="00F44A07" w:rsidRDefault="0011593B" w:rsidP="0011593B">
      <w:pPr>
        <w:rPr>
          <w:rFonts w:cs="Calibri"/>
          <w:b/>
          <w:szCs w:val="24"/>
          <w:lang w:val="en-US"/>
        </w:rPr>
      </w:pPr>
      <w:r w:rsidRPr="00F44A07">
        <w:rPr>
          <w:rFonts w:cs="Calibri"/>
          <w:b/>
          <w:szCs w:val="24"/>
          <w:lang w:val="en-US"/>
        </w:rPr>
        <w:t>Steffen Erkelenz</w:t>
      </w:r>
      <w:r w:rsidRPr="00F44A07">
        <w:rPr>
          <w:rFonts w:cs="Calibri"/>
          <w:b/>
          <w:szCs w:val="24"/>
          <w:vertAlign w:val="superscript"/>
          <w:lang w:val="en-US"/>
        </w:rPr>
        <w:t>1</w:t>
      </w:r>
      <w:proofErr w:type="gramStart"/>
      <w:r>
        <w:rPr>
          <w:rFonts w:cs="Calibri"/>
          <w:b/>
          <w:szCs w:val="24"/>
          <w:vertAlign w:val="superscript"/>
          <w:lang w:val="en-US"/>
        </w:rPr>
        <w:t>,2</w:t>
      </w:r>
      <w:proofErr w:type="gramEnd"/>
      <w:r w:rsidRPr="009402E5">
        <w:rPr>
          <w:lang w:val="en-US"/>
        </w:rPr>
        <w:t>†</w:t>
      </w:r>
      <w:r w:rsidRPr="00F44A07">
        <w:rPr>
          <w:rFonts w:cs="Calibri"/>
          <w:b/>
          <w:szCs w:val="24"/>
          <w:lang w:val="en-US"/>
        </w:rPr>
        <w:t xml:space="preserve">, </w:t>
      </w:r>
      <w:r w:rsidRPr="00E004FB">
        <w:rPr>
          <w:rFonts w:cs="Calibri"/>
          <w:b/>
          <w:szCs w:val="24"/>
          <w:lang w:val="en-US"/>
        </w:rPr>
        <w:t>Stephan Theiss</w:t>
      </w:r>
      <w:r>
        <w:rPr>
          <w:rFonts w:cs="Calibri"/>
          <w:b/>
          <w:szCs w:val="24"/>
          <w:vertAlign w:val="superscript"/>
          <w:lang w:val="en-US"/>
        </w:rPr>
        <w:t>3</w:t>
      </w:r>
      <w:r w:rsidRPr="009402E5">
        <w:rPr>
          <w:lang w:val="en-US"/>
        </w:rPr>
        <w:t>†</w:t>
      </w:r>
      <w:r w:rsidRPr="00E004FB">
        <w:rPr>
          <w:rFonts w:cs="Calibri"/>
          <w:b/>
          <w:szCs w:val="24"/>
          <w:lang w:val="en-US"/>
        </w:rPr>
        <w:t xml:space="preserve">, </w:t>
      </w:r>
      <w:r w:rsidRPr="00F44A07">
        <w:rPr>
          <w:rFonts w:cs="Calibri"/>
          <w:b/>
          <w:szCs w:val="24"/>
          <w:lang w:val="en-US"/>
        </w:rPr>
        <w:t>Wolfgang Kaisers</w:t>
      </w:r>
      <w:r>
        <w:rPr>
          <w:rFonts w:cs="Calibri"/>
          <w:b/>
          <w:szCs w:val="24"/>
          <w:vertAlign w:val="superscript"/>
          <w:lang w:val="en-US"/>
        </w:rPr>
        <w:t>4</w:t>
      </w:r>
      <w:r w:rsidRPr="00F44A07">
        <w:rPr>
          <w:rFonts w:cs="Calibri"/>
          <w:b/>
          <w:szCs w:val="24"/>
          <w:lang w:val="en-US"/>
        </w:rPr>
        <w:t>, Johannes Ptok</w:t>
      </w:r>
      <w:r w:rsidRPr="00F44A07">
        <w:rPr>
          <w:rFonts w:cs="Calibri"/>
          <w:b/>
          <w:szCs w:val="24"/>
          <w:vertAlign w:val="superscript"/>
          <w:lang w:val="en-US"/>
        </w:rPr>
        <w:t>1</w:t>
      </w:r>
      <w:r>
        <w:rPr>
          <w:rFonts w:cs="Calibri"/>
          <w:b/>
          <w:szCs w:val="24"/>
          <w:lang w:val="en-US"/>
        </w:rPr>
        <w:t>,</w:t>
      </w:r>
      <w:r w:rsidRPr="00F44A07">
        <w:rPr>
          <w:rFonts w:cs="Calibri"/>
          <w:b/>
          <w:szCs w:val="24"/>
          <w:lang w:val="en-US"/>
        </w:rPr>
        <w:t xml:space="preserve"> </w:t>
      </w:r>
      <w:r>
        <w:rPr>
          <w:rFonts w:cs="Calibri"/>
          <w:b/>
          <w:szCs w:val="24"/>
          <w:lang w:val="en-US"/>
        </w:rPr>
        <w:t>Lara Walotka</w:t>
      </w:r>
      <w:r w:rsidRPr="00800F87">
        <w:rPr>
          <w:rFonts w:cs="Calibri"/>
          <w:b/>
          <w:szCs w:val="24"/>
          <w:vertAlign w:val="superscript"/>
          <w:lang w:val="en-US"/>
        </w:rPr>
        <w:t>1</w:t>
      </w:r>
      <w:r>
        <w:rPr>
          <w:rFonts w:cs="Calibri"/>
          <w:b/>
          <w:szCs w:val="24"/>
          <w:lang w:val="en-US"/>
        </w:rPr>
        <w:t>, Lisa Müller</w:t>
      </w:r>
      <w:r w:rsidRPr="00F44A07">
        <w:rPr>
          <w:rFonts w:cs="Calibri"/>
          <w:b/>
          <w:szCs w:val="24"/>
          <w:vertAlign w:val="superscript"/>
          <w:lang w:val="en-US"/>
        </w:rPr>
        <w:t>1</w:t>
      </w:r>
      <w:r>
        <w:rPr>
          <w:rFonts w:cs="Calibri"/>
          <w:b/>
          <w:szCs w:val="24"/>
          <w:lang w:val="en-US"/>
        </w:rPr>
        <w:t>, Frank Hillebrand</w:t>
      </w:r>
      <w:r w:rsidRPr="00F44A07">
        <w:rPr>
          <w:rFonts w:cs="Calibri"/>
          <w:b/>
          <w:szCs w:val="24"/>
          <w:vertAlign w:val="superscript"/>
          <w:lang w:val="en-US"/>
        </w:rPr>
        <w:t>1</w:t>
      </w:r>
      <w:r>
        <w:rPr>
          <w:rFonts w:cs="Calibri"/>
          <w:b/>
          <w:szCs w:val="24"/>
          <w:lang w:val="en-US"/>
        </w:rPr>
        <w:t xml:space="preserve">, </w:t>
      </w:r>
      <w:r w:rsidRPr="009724EA">
        <w:rPr>
          <w:rFonts w:cs="Calibri"/>
          <w:b/>
          <w:szCs w:val="24"/>
          <w:lang w:val="en-US"/>
        </w:rPr>
        <w:t>Anna-Lena Brillen</w:t>
      </w:r>
      <w:r w:rsidRPr="00F44A07">
        <w:rPr>
          <w:rFonts w:cs="Calibri"/>
          <w:b/>
          <w:szCs w:val="24"/>
          <w:vertAlign w:val="superscript"/>
          <w:lang w:val="en-US"/>
        </w:rPr>
        <w:t>1</w:t>
      </w:r>
      <w:r w:rsidRPr="009724EA">
        <w:rPr>
          <w:rFonts w:cs="Calibri"/>
          <w:b/>
          <w:szCs w:val="24"/>
          <w:lang w:val="en-US"/>
        </w:rPr>
        <w:t xml:space="preserve">, </w:t>
      </w:r>
      <w:r w:rsidRPr="001F47DF">
        <w:rPr>
          <w:rFonts w:cs="Calibri"/>
          <w:b/>
          <w:szCs w:val="24"/>
          <w:lang w:val="en-US"/>
        </w:rPr>
        <w:t>Michael Sladek</w:t>
      </w:r>
      <w:r w:rsidRPr="001F47DF">
        <w:rPr>
          <w:rFonts w:cs="Calibri"/>
          <w:b/>
          <w:szCs w:val="24"/>
          <w:vertAlign w:val="superscript"/>
          <w:lang w:val="en-US"/>
        </w:rPr>
        <w:t>1</w:t>
      </w:r>
      <w:r w:rsidRPr="001F47DF">
        <w:rPr>
          <w:rFonts w:cs="Calibri"/>
          <w:b/>
          <w:szCs w:val="24"/>
          <w:lang w:val="en-US"/>
        </w:rPr>
        <w:t xml:space="preserve">, </w:t>
      </w:r>
      <w:r w:rsidRPr="00F44A07">
        <w:rPr>
          <w:rFonts w:cs="Calibri"/>
          <w:b/>
          <w:szCs w:val="24"/>
          <w:lang w:val="en-US"/>
        </w:rPr>
        <w:t>and Heiner Schaal</w:t>
      </w:r>
      <w:r w:rsidRPr="00F44A07">
        <w:rPr>
          <w:rFonts w:cs="Calibri"/>
          <w:b/>
          <w:szCs w:val="24"/>
          <w:vertAlign w:val="superscript"/>
          <w:lang w:val="en-US"/>
        </w:rPr>
        <w:t>1</w:t>
      </w:r>
      <w:r>
        <w:rPr>
          <w:rFonts w:cs="Calibri"/>
          <w:b/>
          <w:szCs w:val="24"/>
          <w:vertAlign w:val="superscript"/>
          <w:lang w:val="en-US"/>
        </w:rPr>
        <w:t>*</w:t>
      </w:r>
    </w:p>
    <w:p w:rsidR="0011593B" w:rsidRDefault="0011593B" w:rsidP="0011593B">
      <w:pPr>
        <w:pStyle w:val="berschrift2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Supplemental material</w:t>
      </w:r>
    </w:p>
    <w:p w:rsidR="00D73C54" w:rsidRDefault="00D73C54" w:rsidP="00D73C54">
      <w:pPr>
        <w:rPr>
          <w:rFonts w:eastAsia="Times New Roman"/>
          <w:lang w:val="en-US"/>
        </w:rPr>
      </w:pP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Supplemental</w:t>
      </w:r>
      <w:r w:rsidR="00586D97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Figure</w:t>
      </w:r>
      <w:r w:rsidR="00586D97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>S1</w:t>
      </w:r>
      <w:r w:rsidRPr="004D51F3">
        <w:rPr>
          <w:rFonts w:ascii="Calibri" w:eastAsia="Times New Roman" w:hAnsi="Calibri" w:cs="Times New Roman"/>
          <w:szCs w:val="24"/>
          <w:lang w:val="en-US"/>
        </w:rPr>
        <w:t>: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 xml:space="preserve"> </w:t>
      </w:r>
      <w:r>
        <w:rPr>
          <w:rFonts w:eastAsia="Times New Roman"/>
          <w:lang w:val="en-US"/>
        </w:rPr>
        <w:t>Sequences of exon-exon junctions for all i</w:t>
      </w:r>
      <w:r w:rsidR="000A6B4D">
        <w:rPr>
          <w:rFonts w:eastAsia="Times New Roman"/>
          <w:lang w:val="en-US"/>
        </w:rPr>
        <w:t>solated bands shown in Fig. 2B.</w:t>
      </w:r>
    </w:p>
    <w:p w:rsidR="00D73C54" w:rsidRPr="000A6B4D" w:rsidRDefault="00D73C54" w:rsidP="00D73C54">
      <w:pPr>
        <w:rPr>
          <w:rFonts w:ascii="Calibri" w:eastAsia="Times New Roman" w:hAnsi="Calibri" w:cs="Times New Roman"/>
          <w:color w:val="0070C0"/>
          <w:szCs w:val="24"/>
          <w:lang w:val="en-US"/>
        </w:rPr>
      </w:pP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Supplemental</w:t>
      </w:r>
      <w:r w:rsidR="00345490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Figure</w:t>
      </w:r>
      <w:r w:rsidR="00345490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>S2</w:t>
      </w:r>
      <w:r w:rsidRPr="004D51F3">
        <w:rPr>
          <w:rFonts w:ascii="Calibri" w:eastAsia="Times New Roman" w:hAnsi="Calibri" w:cs="Times New Roman"/>
          <w:szCs w:val="24"/>
          <w:lang w:val="en-US"/>
        </w:rPr>
        <w:t>:</w:t>
      </w:r>
      <w:r w:rsidRPr="00CC1725">
        <w:rPr>
          <w:lang w:val="en-US"/>
        </w:rPr>
        <w:t xml:space="preserve"> </w:t>
      </w:r>
      <w:r w:rsidRPr="007067CB">
        <w:rPr>
          <w:rFonts w:ascii="Calibri" w:eastAsia="Times New Roman" w:hAnsi="Calibri" w:cs="Times New Roman"/>
          <w:szCs w:val="24"/>
          <w:lang w:val="en-US"/>
        </w:rPr>
        <w:t>Accuracy of non-canonical TT splicing</w:t>
      </w:r>
      <w:r>
        <w:rPr>
          <w:rFonts w:ascii="Calibri" w:eastAsia="Times New Roman" w:hAnsi="Calibri" w:cs="Times New Roman"/>
          <w:szCs w:val="24"/>
          <w:lang w:val="en-US"/>
        </w:rPr>
        <w:t>.</w:t>
      </w:r>
    </w:p>
    <w:p w:rsidR="00E85569" w:rsidRPr="000A6B4D" w:rsidRDefault="00E85569" w:rsidP="00E85569">
      <w:pPr>
        <w:rPr>
          <w:rFonts w:ascii="Calibri" w:eastAsia="Times New Roman" w:hAnsi="Calibri" w:cs="Times New Roman"/>
          <w:szCs w:val="24"/>
          <w:lang w:val="en-US"/>
        </w:rPr>
      </w:pP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Supplemental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Figure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>_S3</w:t>
      </w:r>
      <w:r w:rsidRPr="003550C6">
        <w:rPr>
          <w:rFonts w:ascii="Calibri" w:eastAsia="Times New Roman" w:hAnsi="Calibri" w:cs="Times New Roman"/>
          <w:szCs w:val="24"/>
          <w:lang w:val="en-US"/>
        </w:rPr>
        <w:t>: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 xml:space="preserve"> </w:t>
      </w:r>
      <w:r w:rsidR="000A6B4D" w:rsidRPr="000A6B4D">
        <w:rPr>
          <w:rFonts w:ascii="Calibri" w:eastAsia="Times New Roman" w:hAnsi="Calibri" w:cs="Times New Roman"/>
          <w:szCs w:val="24"/>
          <w:lang w:val="en-US"/>
        </w:rPr>
        <w:t>Upstream SREs and a second GT at positions -8 and -7 affect the accuracy of TT splice site usage.</w:t>
      </w:r>
    </w:p>
    <w:p w:rsidR="00622A3C" w:rsidRDefault="00D73C54" w:rsidP="00A002F6">
      <w:pPr>
        <w:rPr>
          <w:rFonts w:ascii="Calibri" w:eastAsia="Times New Roman" w:hAnsi="Calibri" w:cs="Times New Roman"/>
          <w:szCs w:val="24"/>
          <w:lang w:val="en-US"/>
        </w:rPr>
      </w:pP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Supplemental</w:t>
      </w:r>
      <w:r w:rsidR="004F412A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Figure</w:t>
      </w:r>
      <w:r w:rsidR="004F412A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>S</w:t>
      </w:r>
      <w:r w:rsidR="004F412A">
        <w:rPr>
          <w:rFonts w:ascii="Calibri" w:eastAsia="Times New Roman" w:hAnsi="Calibri" w:cs="Times New Roman"/>
          <w:color w:val="0070C0"/>
          <w:szCs w:val="24"/>
          <w:lang w:val="en-US"/>
        </w:rPr>
        <w:t>4</w:t>
      </w:r>
      <w:r w:rsidRPr="004D51F3">
        <w:rPr>
          <w:rFonts w:ascii="Calibri" w:eastAsia="Times New Roman" w:hAnsi="Calibri" w:cs="Times New Roman"/>
          <w:szCs w:val="24"/>
          <w:lang w:val="en-US"/>
        </w:rPr>
        <w:t>:</w:t>
      </w:r>
      <w:r>
        <w:rPr>
          <w:rFonts w:ascii="Calibri" w:eastAsia="Times New Roman" w:hAnsi="Calibri" w:cs="Times New Roman"/>
          <w:color w:val="0070C0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Cs w:val="24"/>
          <w:lang w:val="en-US"/>
        </w:rPr>
        <w:t>Statistics of high confidence exon junctions with GNR ≥ 2%.</w:t>
      </w:r>
    </w:p>
    <w:p w:rsidR="00A002F6" w:rsidRPr="00A002F6" w:rsidRDefault="00A002F6" w:rsidP="00A002F6">
      <w:pPr>
        <w:rPr>
          <w:rFonts w:ascii="Calibri" w:eastAsia="Times New Roman" w:hAnsi="Calibri" w:cs="Times New Roman"/>
          <w:szCs w:val="24"/>
          <w:lang w:val="en-US"/>
        </w:rPr>
      </w:pPr>
      <w:bookmarkStart w:id="0" w:name="_GoBack"/>
      <w:bookmarkEnd w:id="0"/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Supplemental</w:t>
      </w:r>
      <w:r w:rsidR="004F412A">
        <w:rPr>
          <w:rFonts w:ascii="Calibri" w:eastAsia="Times New Roman" w:hAnsi="Calibri" w:cs="Times New Roman"/>
          <w:color w:val="0070C0"/>
          <w:szCs w:val="24"/>
          <w:lang w:val="en-US"/>
        </w:rPr>
        <w:t>_</w:t>
      </w:r>
      <w:r w:rsidRPr="00042714">
        <w:rPr>
          <w:rFonts w:ascii="Calibri" w:eastAsia="Times New Roman" w:hAnsi="Calibri" w:cs="Times New Roman"/>
          <w:color w:val="0070C0"/>
          <w:szCs w:val="24"/>
          <w:lang w:val="en-US"/>
        </w:rPr>
        <w:t>Figure</w:t>
      </w:r>
      <w:r w:rsidR="004F412A">
        <w:rPr>
          <w:rFonts w:ascii="Calibri" w:eastAsia="Times New Roman" w:hAnsi="Calibri" w:cs="Times New Roman"/>
          <w:color w:val="0070C0"/>
          <w:szCs w:val="24"/>
          <w:lang w:val="en-US"/>
        </w:rPr>
        <w:t>_S5</w:t>
      </w:r>
      <w:r w:rsidRPr="004D51F3">
        <w:rPr>
          <w:rFonts w:ascii="Calibri" w:eastAsia="Times New Roman" w:hAnsi="Calibri" w:cs="Times New Roman"/>
          <w:szCs w:val="24"/>
          <w:lang w:val="en-US"/>
        </w:rPr>
        <w:t>:</w:t>
      </w:r>
      <w:r w:rsidR="00F8530F">
        <w:rPr>
          <w:rFonts w:ascii="Calibri" w:eastAsia="Times New Roman" w:hAnsi="Calibri" w:cs="Times New Roman"/>
          <w:szCs w:val="24"/>
          <w:lang w:val="en-US"/>
        </w:rPr>
        <w:t xml:space="preserve"> Exemplary sequences of 5’ss pairs from four individuals.</w:t>
      </w:r>
    </w:p>
    <w:p w:rsidR="00AE1833" w:rsidRDefault="00AE1833" w:rsidP="00AE1833">
      <w:pPr>
        <w:rPr>
          <w:lang w:val="en-US"/>
        </w:rPr>
      </w:pPr>
      <w:bookmarkStart w:id="1" w:name="_Ref383609120"/>
      <w:r>
        <w:rPr>
          <w:color w:val="0070C0"/>
          <w:lang w:val="en-US"/>
        </w:rPr>
        <w:t>Supplemental</w:t>
      </w:r>
      <w:r w:rsidR="004F412A">
        <w:rPr>
          <w:color w:val="0070C0"/>
          <w:lang w:val="en-US"/>
        </w:rPr>
        <w:t>_</w:t>
      </w:r>
      <w:r w:rsidRPr="00AE1833">
        <w:rPr>
          <w:color w:val="0070C0"/>
          <w:lang w:val="en-US"/>
        </w:rPr>
        <w:t>Table</w:t>
      </w:r>
      <w:bookmarkEnd w:id="1"/>
      <w:r w:rsidR="004F412A">
        <w:rPr>
          <w:color w:val="0070C0"/>
          <w:lang w:val="en-US"/>
        </w:rPr>
        <w:t>_</w:t>
      </w:r>
      <w:r w:rsidR="00454D61">
        <w:rPr>
          <w:color w:val="0070C0"/>
          <w:lang w:val="en-US"/>
        </w:rPr>
        <w:t>S</w:t>
      </w:r>
      <w:r>
        <w:rPr>
          <w:color w:val="0070C0"/>
          <w:lang w:val="en-US"/>
        </w:rPr>
        <w:t>1</w:t>
      </w:r>
      <w:r w:rsidRPr="00AE1833">
        <w:rPr>
          <w:color w:val="0070C0"/>
          <w:lang w:val="en-US"/>
        </w:rPr>
        <w:t>:</w:t>
      </w:r>
      <w:r w:rsidRPr="00C30D3D">
        <w:rPr>
          <w:rFonts w:cstheme="minorHAnsi"/>
          <w:sz w:val="22"/>
          <w:lang w:val="en-US"/>
        </w:rPr>
        <w:t xml:space="preserve"> </w:t>
      </w:r>
      <w:r w:rsidRPr="00AE1833">
        <w:rPr>
          <w:lang w:val="en-US"/>
        </w:rPr>
        <w:t>Primers used for cloning</w:t>
      </w:r>
    </w:p>
    <w:p w:rsidR="00454D61" w:rsidRDefault="00AE1833" w:rsidP="00AE1833">
      <w:pPr>
        <w:rPr>
          <w:lang w:val="en-US"/>
        </w:rPr>
      </w:pPr>
      <w:r>
        <w:rPr>
          <w:color w:val="0070C0"/>
          <w:lang w:val="en-US"/>
        </w:rPr>
        <w:t>Supplemental</w:t>
      </w:r>
      <w:r w:rsidR="004F412A">
        <w:rPr>
          <w:color w:val="0070C0"/>
          <w:lang w:val="en-US"/>
        </w:rPr>
        <w:t>_</w:t>
      </w:r>
      <w:r w:rsidRPr="00AE1833">
        <w:rPr>
          <w:color w:val="0070C0"/>
          <w:lang w:val="en-US"/>
        </w:rPr>
        <w:t>Table</w:t>
      </w:r>
      <w:r w:rsidR="004F412A">
        <w:rPr>
          <w:color w:val="0070C0"/>
          <w:lang w:val="en-US"/>
        </w:rPr>
        <w:t>_</w:t>
      </w:r>
      <w:r w:rsidR="00454D61">
        <w:rPr>
          <w:color w:val="0070C0"/>
          <w:lang w:val="en-US"/>
        </w:rPr>
        <w:t>S</w:t>
      </w:r>
      <w:r>
        <w:rPr>
          <w:color w:val="0070C0"/>
          <w:lang w:val="en-US"/>
        </w:rPr>
        <w:t>2</w:t>
      </w:r>
      <w:r w:rsidRPr="00C30D3D">
        <w:rPr>
          <w:rFonts w:cstheme="minorHAnsi"/>
          <w:sz w:val="22"/>
          <w:lang w:val="en-US"/>
        </w:rPr>
        <w:t xml:space="preserve"> </w:t>
      </w:r>
      <w:r w:rsidRPr="00454D61">
        <w:rPr>
          <w:color w:val="0070C0"/>
          <w:lang w:val="en-US"/>
        </w:rPr>
        <w:t>(A)</w:t>
      </w:r>
      <w:r w:rsidR="00454D61">
        <w:rPr>
          <w:rFonts w:cstheme="minorHAnsi"/>
          <w:sz w:val="22"/>
          <w:lang w:val="en-US"/>
        </w:rPr>
        <w:t>:</w:t>
      </w:r>
      <w:r>
        <w:rPr>
          <w:rFonts w:cstheme="minorHAnsi"/>
          <w:sz w:val="22"/>
          <w:lang w:val="en-US"/>
        </w:rPr>
        <w:t xml:space="preserve"> </w:t>
      </w:r>
      <w:r w:rsidRPr="00AE1833">
        <w:rPr>
          <w:lang w:val="en-US"/>
        </w:rPr>
        <w:t>Primers used for semi-quantitative RT-PCR</w:t>
      </w:r>
    </w:p>
    <w:p w:rsidR="000D6D01" w:rsidRDefault="00454D61">
      <w:pPr>
        <w:rPr>
          <w:lang w:val="en-US"/>
        </w:rPr>
      </w:pPr>
      <w:r>
        <w:rPr>
          <w:color w:val="0070C0"/>
          <w:lang w:val="en-US"/>
        </w:rPr>
        <w:t>Supplemental</w:t>
      </w:r>
      <w:r w:rsidR="004F412A">
        <w:rPr>
          <w:color w:val="0070C0"/>
          <w:lang w:val="en-US"/>
        </w:rPr>
        <w:t>_</w:t>
      </w:r>
      <w:r w:rsidRPr="00AE1833">
        <w:rPr>
          <w:color w:val="0070C0"/>
          <w:lang w:val="en-US"/>
        </w:rPr>
        <w:t>Table</w:t>
      </w:r>
      <w:r w:rsidR="004F412A">
        <w:rPr>
          <w:color w:val="0070C0"/>
          <w:lang w:val="en-US"/>
        </w:rPr>
        <w:t>_</w:t>
      </w:r>
      <w:r>
        <w:rPr>
          <w:color w:val="0070C0"/>
          <w:lang w:val="en-US"/>
        </w:rPr>
        <w:t>S2</w:t>
      </w:r>
      <w:r w:rsidRPr="00C30D3D">
        <w:rPr>
          <w:rFonts w:cstheme="minorHAnsi"/>
          <w:sz w:val="22"/>
          <w:lang w:val="en-US"/>
        </w:rPr>
        <w:t xml:space="preserve"> </w:t>
      </w:r>
      <w:r w:rsidRPr="00454D61">
        <w:rPr>
          <w:color w:val="0070C0"/>
          <w:lang w:val="en-US"/>
        </w:rPr>
        <w:t>(</w:t>
      </w:r>
      <w:r>
        <w:rPr>
          <w:color w:val="0070C0"/>
          <w:lang w:val="en-US"/>
        </w:rPr>
        <w:t>B</w:t>
      </w:r>
      <w:r w:rsidRPr="00454D61">
        <w:rPr>
          <w:color w:val="0070C0"/>
          <w:lang w:val="en-US"/>
        </w:rPr>
        <w:t>)</w:t>
      </w:r>
      <w:r>
        <w:rPr>
          <w:rFonts w:cstheme="minorHAnsi"/>
          <w:sz w:val="22"/>
          <w:lang w:val="en-US"/>
        </w:rPr>
        <w:t>:</w:t>
      </w:r>
      <w:r w:rsidR="00AE1833">
        <w:rPr>
          <w:lang w:val="en-US"/>
        </w:rPr>
        <w:t xml:space="preserve"> </w:t>
      </w:r>
      <w:r w:rsidR="00AE1833" w:rsidRPr="00AE1833">
        <w:rPr>
          <w:lang w:val="en-US"/>
        </w:rPr>
        <w:t>Oligonucleotides used for RNA Affinity Chromatography assay</w:t>
      </w:r>
    </w:p>
    <w:p w:rsidR="00075D76" w:rsidRDefault="00075D76" w:rsidP="00075D76">
      <w:pPr>
        <w:rPr>
          <w:lang w:val="en-US"/>
        </w:rPr>
      </w:pPr>
      <w:proofErr w:type="spellStart"/>
      <w:r>
        <w:rPr>
          <w:color w:val="0070C0"/>
          <w:lang w:val="en-US"/>
        </w:rPr>
        <w:t>Supplemental_Methods</w:t>
      </w:r>
      <w:proofErr w:type="spellEnd"/>
      <w:r w:rsidRPr="00AE1833">
        <w:rPr>
          <w:color w:val="0070C0"/>
          <w:lang w:val="en-US"/>
        </w:rPr>
        <w:t>:</w:t>
      </w:r>
      <w:r w:rsidRPr="00C30D3D">
        <w:rPr>
          <w:rFonts w:cstheme="minorHAnsi"/>
          <w:sz w:val="22"/>
          <w:lang w:val="en-US"/>
        </w:rPr>
        <w:t xml:space="preserve"> </w:t>
      </w:r>
      <w:r>
        <w:rPr>
          <w:lang w:val="en-US"/>
        </w:rPr>
        <w:t>HBond Score</w:t>
      </w:r>
    </w:p>
    <w:p w:rsidR="00075D76" w:rsidRPr="00D73C54" w:rsidRDefault="00075D76">
      <w:pPr>
        <w:rPr>
          <w:lang w:val="en-US"/>
        </w:rPr>
      </w:pPr>
    </w:p>
    <w:sectPr w:rsidR="00075D76" w:rsidRPr="00D73C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54"/>
    <w:rsid w:val="00075D76"/>
    <w:rsid w:val="000A6B4D"/>
    <w:rsid w:val="000D6D01"/>
    <w:rsid w:val="0011593B"/>
    <w:rsid w:val="002123D8"/>
    <w:rsid w:val="002C52A5"/>
    <w:rsid w:val="00345490"/>
    <w:rsid w:val="003550C6"/>
    <w:rsid w:val="00454D61"/>
    <w:rsid w:val="004F412A"/>
    <w:rsid w:val="00586D97"/>
    <w:rsid w:val="00622A3C"/>
    <w:rsid w:val="00646972"/>
    <w:rsid w:val="00A002F6"/>
    <w:rsid w:val="00A81B70"/>
    <w:rsid w:val="00AD14C1"/>
    <w:rsid w:val="00AE1833"/>
    <w:rsid w:val="00B279DE"/>
    <w:rsid w:val="00D143E2"/>
    <w:rsid w:val="00D26B77"/>
    <w:rsid w:val="00D32931"/>
    <w:rsid w:val="00D73C54"/>
    <w:rsid w:val="00E85569"/>
    <w:rsid w:val="00F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C95B"/>
  <w15:chartTrackingRefBased/>
  <w15:docId w15:val="{B7CB6314-7500-4A92-8DFE-38AED808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3C54"/>
    <w:pPr>
      <w:spacing w:before="120" w:after="0" w:line="288" w:lineRule="auto"/>
    </w:pPr>
    <w:rPr>
      <w:rFonts w:eastAsiaTheme="minorEastAsia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14C1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4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59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1833"/>
    <w:pPr>
      <w:spacing w:before="0" w:after="200" w:line="240" w:lineRule="auto"/>
    </w:pPr>
    <w:rPr>
      <w:rFonts w:eastAsia="Times New Roman" w:cs="Times New Roman"/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schaal@uni-duesseldorf.de</dc:creator>
  <cp:keywords/>
  <dc:description/>
  <cp:lastModifiedBy>schaal</cp:lastModifiedBy>
  <cp:revision>17</cp:revision>
  <cp:lastPrinted>2018-02-07T15:52:00Z</cp:lastPrinted>
  <dcterms:created xsi:type="dcterms:W3CDTF">2018-10-09T13:30:00Z</dcterms:created>
  <dcterms:modified xsi:type="dcterms:W3CDTF">2018-10-09T16:48:00Z</dcterms:modified>
</cp:coreProperties>
</file>