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A7E" w:rsidRDefault="00E94920" w:rsidP="00CD6A7E">
      <w:pPr>
        <w:spacing w:after="0"/>
        <w:jc w:val="both"/>
        <w:rPr>
          <w:rFonts w:ascii="Arial" w:hAnsi="Arial" w:cs="Arial"/>
          <w:b/>
          <w:sz w:val="22"/>
          <w:lang w:val="en-GB"/>
        </w:rPr>
      </w:pPr>
      <w:r>
        <w:rPr>
          <w:rFonts w:ascii="Arial" w:hAnsi="Arial" w:cs="Arial"/>
          <w:b/>
          <w:noProof/>
          <w:sz w:val="22"/>
          <w:lang w:val="en-GB"/>
        </w:rPr>
        <w:drawing>
          <wp:inline distT="0" distB="0" distL="0" distR="0">
            <wp:extent cx="5760720" cy="19742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plemental_Fig_S2_v4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7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C26" w:rsidRPr="001C5C26" w:rsidRDefault="00CD6A7E" w:rsidP="00CD6A7E">
      <w:pPr>
        <w:spacing w:after="0"/>
        <w:jc w:val="both"/>
        <w:rPr>
          <w:rFonts w:ascii="Arial" w:hAnsi="Arial" w:cs="Arial"/>
          <w:b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Supplemental F</w:t>
      </w:r>
      <w:r w:rsidR="001C5C26">
        <w:rPr>
          <w:rFonts w:ascii="Arial" w:hAnsi="Arial" w:cs="Arial"/>
          <w:b/>
          <w:sz w:val="22"/>
          <w:lang w:val="en-GB"/>
        </w:rPr>
        <w:t>igure S2</w:t>
      </w:r>
      <w:r>
        <w:rPr>
          <w:rFonts w:ascii="Arial" w:hAnsi="Arial" w:cs="Arial"/>
          <w:b/>
          <w:sz w:val="22"/>
          <w:lang w:val="en-GB"/>
        </w:rPr>
        <w:t>.</w:t>
      </w:r>
      <w:r w:rsidR="001C5C26">
        <w:rPr>
          <w:rFonts w:ascii="Arial" w:hAnsi="Arial" w:cs="Arial"/>
          <w:b/>
          <w:sz w:val="22"/>
          <w:lang w:val="en-GB"/>
        </w:rPr>
        <w:t xml:space="preserve"> Heritability in the parental strains versus the broad sense heritability</w:t>
      </w:r>
    </w:p>
    <w:p w:rsidR="0031339B" w:rsidRPr="001C5C26" w:rsidRDefault="001C5C26" w:rsidP="00CD6A7E">
      <w:pPr>
        <w:spacing w:after="0"/>
        <w:jc w:val="both"/>
        <w:rPr>
          <w:lang w:val="en-GB"/>
        </w:rPr>
      </w:pPr>
      <w:r w:rsidRPr="001C5C26">
        <w:rPr>
          <w:rFonts w:ascii="Arial" w:hAnsi="Arial" w:cs="Arial"/>
          <w:sz w:val="22"/>
          <w:lang w:val="en-GB"/>
        </w:rPr>
        <w:t>Plots of the heritabilit</w:t>
      </w:r>
      <w:bookmarkStart w:id="0" w:name="_GoBack"/>
      <w:bookmarkEnd w:id="0"/>
      <w:r w:rsidRPr="001C5C26">
        <w:rPr>
          <w:rFonts w:ascii="Arial" w:hAnsi="Arial" w:cs="Arial"/>
          <w:sz w:val="22"/>
          <w:lang w:val="en-GB"/>
        </w:rPr>
        <w:t xml:space="preserve">y for both amino acids and fatty acids calculated in the parental strains versus the broad-sense heritability calculated in the RILs. The </w:t>
      </w:r>
      <w:proofErr w:type="spellStart"/>
      <w:r w:rsidRPr="001C5C26">
        <w:rPr>
          <w:rFonts w:ascii="Arial" w:hAnsi="Arial" w:cs="Arial"/>
          <w:sz w:val="22"/>
          <w:lang w:val="en-GB"/>
        </w:rPr>
        <w:t>colors</w:t>
      </w:r>
      <w:proofErr w:type="spellEnd"/>
      <w:r w:rsidRPr="001C5C26">
        <w:rPr>
          <w:rFonts w:ascii="Arial" w:hAnsi="Arial" w:cs="Arial"/>
          <w:sz w:val="22"/>
          <w:lang w:val="en-GB"/>
        </w:rPr>
        <w:t xml:space="preserve"> indicate the significance of the heritability estimated (as determined by permutation, false discovery rate &lt; 0.05). If the broad-sense heritability exceeds the heritability in the parental strains, it indicates a complex trait architecture (multiple regulatory loci)</w:t>
      </w:r>
    </w:p>
    <w:sectPr w:rsidR="0031339B" w:rsidRPr="001C5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46"/>
    <w:rsid w:val="001C5C26"/>
    <w:rsid w:val="0031339B"/>
    <w:rsid w:val="003F395A"/>
    <w:rsid w:val="00CD6A7E"/>
    <w:rsid w:val="00E12246"/>
    <w:rsid w:val="00E9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50B28"/>
  <w15:chartTrackingRefBased/>
  <w15:docId w15:val="{BE459023-3581-47CE-8646-E67D9DFC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17"/>
        <w:szCs w:val="22"/>
        <w:lang w:val="nl-NL" w:eastAsia="en-US" w:bidi="ar-SA"/>
      </w:rPr>
    </w:rPrDefault>
    <w:pPrDefault>
      <w:pPr>
        <w:spacing w:after="200" w:line="30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Wageningen University and Research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Sterken, Mark</dc:creator>
  <cp:keywords/>
  <dc:description/>
  <cp:lastModifiedBy>Arwen Gao</cp:lastModifiedBy>
  <cp:revision>2</cp:revision>
  <dcterms:created xsi:type="dcterms:W3CDTF">2018-04-10T13:23:00Z</dcterms:created>
  <dcterms:modified xsi:type="dcterms:W3CDTF">2018-04-10T13:23:00Z</dcterms:modified>
</cp:coreProperties>
</file>