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5DE" w:rsidRDefault="00883E21" w:rsidP="00B04AC5">
      <w:pPr>
        <w:jc w:val="both"/>
        <w:rPr>
          <w:b/>
          <w:sz w:val="24"/>
          <w:szCs w:val="24"/>
        </w:rPr>
      </w:pPr>
      <w:bookmarkStart w:id="0" w:name="_GoBack"/>
      <w:bookmarkEnd w:id="0"/>
      <w:r>
        <w:rPr>
          <w:b/>
          <w:sz w:val="24"/>
          <w:szCs w:val="24"/>
        </w:rPr>
        <w:t>Supplemental information:</w:t>
      </w:r>
      <w:r>
        <w:rPr>
          <w:sz w:val="24"/>
          <w:szCs w:val="24"/>
        </w:rPr>
        <w:t xml:space="preserve"> </w:t>
      </w:r>
      <w:r>
        <w:rPr>
          <w:b/>
          <w:sz w:val="24"/>
          <w:szCs w:val="24"/>
        </w:rPr>
        <w:t>Genome-scale identification of cellular pathways required for cell surface recognition</w:t>
      </w:r>
    </w:p>
    <w:p w:rsidR="00D735DE" w:rsidRDefault="00D735DE"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b/>
          <w:sz w:val="20"/>
          <w:szCs w:val="20"/>
        </w:rPr>
      </w:pPr>
    </w:p>
    <w:p w:rsidR="00D735DE" w:rsidRDefault="00883E21"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r>
        <w:rPr>
          <w:b/>
          <w:sz w:val="20"/>
          <w:szCs w:val="20"/>
        </w:rPr>
        <w:t xml:space="preserve">Supplemental Figure S1: </w:t>
      </w:r>
      <w:r>
        <w:rPr>
          <w:sz w:val="20"/>
          <w:szCs w:val="20"/>
        </w:rPr>
        <w:t>Selecting clonal cell lines with high Cas9 activity for efficient genome-scale genetic screening.</w:t>
      </w:r>
    </w:p>
    <w:p w:rsidR="00D735DE" w:rsidRDefault="00D735DE"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D735DE" w:rsidRDefault="00883E21"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r>
        <w:rPr>
          <w:b/>
          <w:sz w:val="20"/>
          <w:szCs w:val="20"/>
        </w:rPr>
        <w:t xml:space="preserve">Supplemental Figure S2: </w:t>
      </w:r>
      <w:r>
        <w:rPr>
          <w:sz w:val="20"/>
          <w:szCs w:val="20"/>
        </w:rPr>
        <w:t>Genes required for protein export, N-glycan biosynthesis and general housekeeping functions were enriched in, and shared between, cells selected for the loss of cell surface mAb staining.</w:t>
      </w:r>
    </w:p>
    <w:p w:rsidR="00D735DE" w:rsidRDefault="00D735DE"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D735DE" w:rsidRPr="00A4525D" w:rsidRDefault="00883E21"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r w:rsidRPr="00A4525D">
        <w:rPr>
          <w:b/>
          <w:sz w:val="20"/>
          <w:szCs w:val="20"/>
        </w:rPr>
        <w:t xml:space="preserve">Supplemental Figure S3: </w:t>
      </w:r>
      <w:r w:rsidRPr="00A4525D">
        <w:rPr>
          <w:sz w:val="20"/>
          <w:szCs w:val="20"/>
        </w:rPr>
        <w:t xml:space="preserve">The experimental parameters established to identify cell surface receptor interactions using </w:t>
      </w:r>
      <w:r w:rsidR="00A4525D" w:rsidRPr="00A4525D">
        <w:rPr>
          <w:sz w:val="20"/>
          <w:szCs w:val="20"/>
        </w:rPr>
        <w:t xml:space="preserve">a </w:t>
      </w:r>
      <w:r w:rsidRPr="00A4525D">
        <w:rPr>
          <w:sz w:val="20"/>
          <w:szCs w:val="20"/>
        </w:rPr>
        <w:t>cell-b</w:t>
      </w:r>
      <w:r w:rsidR="00A4525D" w:rsidRPr="00A4525D">
        <w:rPr>
          <w:sz w:val="20"/>
          <w:szCs w:val="20"/>
        </w:rPr>
        <w:t>ased CRISPR screening approach</w:t>
      </w:r>
      <w:r w:rsidRPr="00A4525D">
        <w:rPr>
          <w:sz w:val="20"/>
          <w:szCs w:val="20"/>
        </w:rPr>
        <w:t xml:space="preserve"> are robust and repeatable.</w:t>
      </w:r>
    </w:p>
    <w:p w:rsidR="00D735DE" w:rsidRDefault="00D735DE"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D735DE" w:rsidRDefault="00883E21"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r>
        <w:rPr>
          <w:b/>
          <w:sz w:val="20"/>
          <w:szCs w:val="20"/>
        </w:rPr>
        <w:t xml:space="preserve">Supplemental Figure S4: </w:t>
      </w:r>
      <w:r>
        <w:rPr>
          <w:sz w:val="20"/>
          <w:szCs w:val="20"/>
        </w:rPr>
        <w:t>RH5 binding to HEK293 cells was heat labile and was partially blocked by preincubation with he</w:t>
      </w:r>
      <w:r w:rsidR="00A4525D">
        <w:rPr>
          <w:sz w:val="20"/>
          <w:szCs w:val="20"/>
        </w:rPr>
        <w:t>parin, but not chondroitin sulf</w:t>
      </w:r>
      <w:r>
        <w:rPr>
          <w:sz w:val="20"/>
          <w:szCs w:val="20"/>
        </w:rPr>
        <w:t>ate.</w:t>
      </w:r>
    </w:p>
    <w:p w:rsidR="00D735DE" w:rsidRDefault="00D735DE"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D735DE" w:rsidRPr="00EF5A62" w:rsidRDefault="00883E21"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r w:rsidRPr="00EF5A62">
        <w:rPr>
          <w:b/>
          <w:sz w:val="20"/>
          <w:szCs w:val="20"/>
        </w:rPr>
        <w:t xml:space="preserve">Supplemental Figure S5: </w:t>
      </w:r>
      <w:r w:rsidR="00EF5A62" w:rsidRPr="00EF5A62">
        <w:rPr>
          <w:sz w:val="20"/>
          <w:szCs w:val="20"/>
        </w:rPr>
        <w:t xml:space="preserve">Validation that </w:t>
      </w:r>
      <w:r w:rsidR="00EF5A62" w:rsidRPr="00EF5A62">
        <w:rPr>
          <w:i/>
          <w:sz w:val="20"/>
          <w:szCs w:val="20"/>
        </w:rPr>
        <w:t>TP53</w:t>
      </w:r>
      <w:r w:rsidR="00EF5A62" w:rsidRPr="00EF5A62">
        <w:rPr>
          <w:sz w:val="20"/>
          <w:szCs w:val="20"/>
        </w:rPr>
        <w:t xml:space="preserve"> contributes to binding of TNFRSF9 to NCI-SNU-1 cells and repeated screen with a low-affinity ligand demonstrating the robustness of the screening parameters.</w:t>
      </w:r>
    </w:p>
    <w:p w:rsidR="00D735DE" w:rsidRDefault="00D735DE"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D735DE" w:rsidRPr="00A436D8" w:rsidRDefault="00883E21"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r w:rsidRPr="00A436D8">
        <w:rPr>
          <w:b/>
          <w:sz w:val="20"/>
          <w:szCs w:val="20"/>
        </w:rPr>
        <w:t xml:space="preserve">Supplemental Figure S6: </w:t>
      </w:r>
      <w:r w:rsidR="00A436D8" w:rsidRPr="00A436D8">
        <w:rPr>
          <w:sz w:val="20"/>
          <w:szCs w:val="20"/>
        </w:rPr>
        <w:t>Membrane localiz</w:t>
      </w:r>
      <w:r w:rsidRPr="00A436D8">
        <w:rPr>
          <w:sz w:val="20"/>
          <w:szCs w:val="20"/>
        </w:rPr>
        <w:t>ation of IGF2R and GABA</w:t>
      </w:r>
      <w:r w:rsidRPr="00A436D8">
        <w:rPr>
          <w:sz w:val="20"/>
          <w:szCs w:val="20"/>
          <w:vertAlign w:val="subscript"/>
        </w:rPr>
        <w:t>B</w:t>
      </w:r>
      <w:r w:rsidR="00A436D8" w:rsidRPr="00A436D8">
        <w:rPr>
          <w:sz w:val="20"/>
          <w:szCs w:val="20"/>
        </w:rPr>
        <w:t xml:space="preserve"> receptor complex, </w:t>
      </w:r>
      <w:r w:rsidRPr="00A436D8">
        <w:rPr>
          <w:sz w:val="20"/>
          <w:szCs w:val="20"/>
        </w:rPr>
        <w:t>validation of gRNAs targeting</w:t>
      </w:r>
      <w:r w:rsidRPr="00A436D8">
        <w:rPr>
          <w:i/>
          <w:sz w:val="20"/>
          <w:szCs w:val="20"/>
        </w:rPr>
        <w:t xml:space="preserve"> IGF2R</w:t>
      </w:r>
      <w:r w:rsidRPr="00A436D8">
        <w:rPr>
          <w:sz w:val="20"/>
          <w:szCs w:val="20"/>
        </w:rPr>
        <w:t xml:space="preserve"> and </w:t>
      </w:r>
      <w:r w:rsidRPr="00A436D8">
        <w:rPr>
          <w:i/>
          <w:sz w:val="20"/>
          <w:szCs w:val="20"/>
        </w:rPr>
        <w:t>WDR7</w:t>
      </w:r>
      <w:r w:rsidRPr="00A436D8">
        <w:rPr>
          <w:sz w:val="20"/>
          <w:szCs w:val="20"/>
        </w:rPr>
        <w:t>, and biochemical analysis of the IGF2R-GABBR2 interaction.</w:t>
      </w:r>
    </w:p>
    <w:p w:rsidR="00D735DE" w:rsidRDefault="00D735DE"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highlight w:val="white"/>
        </w:rPr>
      </w:pPr>
    </w:p>
    <w:p w:rsidR="00D735DE" w:rsidRDefault="00883E21"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r w:rsidRPr="007C7921">
        <w:rPr>
          <w:b/>
          <w:sz w:val="20"/>
          <w:szCs w:val="20"/>
        </w:rPr>
        <w:t xml:space="preserve">Supplemental Figure S7: </w:t>
      </w:r>
      <w:r w:rsidRPr="007C7921">
        <w:rPr>
          <w:sz w:val="20"/>
          <w:szCs w:val="20"/>
        </w:rPr>
        <w:t xml:space="preserve">Cell-based functional assay in parental and </w:t>
      </w:r>
      <w:r w:rsidRPr="007C7921">
        <w:rPr>
          <w:i/>
          <w:sz w:val="20"/>
          <w:szCs w:val="20"/>
        </w:rPr>
        <w:t>IGF2R</w:t>
      </w:r>
      <w:r w:rsidRPr="007C7921">
        <w:rPr>
          <w:sz w:val="20"/>
          <w:szCs w:val="20"/>
        </w:rPr>
        <w:t>-KO HEK293 cells d</w:t>
      </w:r>
      <w:r w:rsidR="007C7921" w:rsidRPr="007C7921">
        <w:rPr>
          <w:sz w:val="20"/>
          <w:szCs w:val="20"/>
        </w:rPr>
        <w:t>emonstrate that IGF2R internaliz</w:t>
      </w:r>
      <w:r w:rsidRPr="007C7921">
        <w:rPr>
          <w:sz w:val="20"/>
          <w:szCs w:val="20"/>
        </w:rPr>
        <w:t>es GABA</w:t>
      </w:r>
      <w:r w:rsidRPr="007C7921">
        <w:rPr>
          <w:sz w:val="20"/>
          <w:szCs w:val="20"/>
          <w:vertAlign w:val="subscript"/>
        </w:rPr>
        <w:t>B</w:t>
      </w:r>
      <w:r w:rsidR="007C7921" w:rsidRPr="007C7921">
        <w:rPr>
          <w:sz w:val="20"/>
          <w:szCs w:val="20"/>
        </w:rPr>
        <w:t xml:space="preserve"> receptor complex in a</w:t>
      </w:r>
      <w:r w:rsidRPr="007C7921">
        <w:rPr>
          <w:sz w:val="20"/>
          <w:szCs w:val="20"/>
        </w:rPr>
        <w:t xml:space="preserve"> clathrin dependent manner. </w:t>
      </w:r>
    </w:p>
    <w:p w:rsidR="003C7D7C" w:rsidRDefault="003C7D7C"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3C7D7C" w:rsidRPr="001F141D" w:rsidRDefault="003C7D7C"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highlight w:val="white"/>
        </w:rPr>
      </w:pPr>
      <w:r w:rsidRPr="007C7921">
        <w:rPr>
          <w:b/>
          <w:sz w:val="20"/>
          <w:szCs w:val="20"/>
        </w:rPr>
        <w:t>Supplemental Figure S</w:t>
      </w:r>
      <w:r>
        <w:rPr>
          <w:b/>
          <w:sz w:val="20"/>
          <w:szCs w:val="20"/>
        </w:rPr>
        <w:t>8</w:t>
      </w:r>
      <w:r w:rsidRPr="007C7921">
        <w:rPr>
          <w:b/>
          <w:sz w:val="20"/>
          <w:szCs w:val="20"/>
        </w:rPr>
        <w:t xml:space="preserve">: </w:t>
      </w:r>
      <w:r w:rsidRPr="00C01D62">
        <w:rPr>
          <w:bCs/>
        </w:rPr>
        <w:t>Addition of the agonist, GABA, has no effect on the interaction between IGF2R and the GABA</w:t>
      </w:r>
      <w:r w:rsidRPr="00C01D62">
        <w:rPr>
          <w:bCs/>
          <w:sz w:val="14"/>
          <w:szCs w:val="14"/>
        </w:rPr>
        <w:t xml:space="preserve">B </w:t>
      </w:r>
      <w:r w:rsidRPr="00C01D62">
        <w:rPr>
          <w:bCs/>
        </w:rPr>
        <w:t>receptor complex.</w:t>
      </w:r>
    </w:p>
    <w:p w:rsidR="00D735DE" w:rsidRDefault="00D735DE"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highlight w:val="white"/>
        </w:rPr>
      </w:pPr>
    </w:p>
    <w:p w:rsidR="003C7D7C" w:rsidRPr="001F141D" w:rsidRDefault="00883E21"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r>
        <w:rPr>
          <w:b/>
          <w:sz w:val="20"/>
          <w:szCs w:val="20"/>
        </w:rPr>
        <w:t>Supplemental</w:t>
      </w:r>
      <w:r>
        <w:rPr>
          <w:b/>
          <w:sz w:val="20"/>
          <w:szCs w:val="20"/>
          <w:highlight w:val="white"/>
        </w:rPr>
        <w:t xml:space="preserve"> Figure </w:t>
      </w:r>
      <w:r w:rsidR="003C7D7C">
        <w:rPr>
          <w:b/>
          <w:sz w:val="20"/>
          <w:szCs w:val="20"/>
          <w:highlight w:val="white"/>
        </w:rPr>
        <w:t>S9</w:t>
      </w:r>
      <w:r>
        <w:rPr>
          <w:b/>
          <w:sz w:val="20"/>
          <w:szCs w:val="20"/>
          <w:highlight w:val="white"/>
        </w:rPr>
        <w:t>:</w:t>
      </w:r>
      <w:r>
        <w:rPr>
          <w:sz w:val="20"/>
          <w:szCs w:val="20"/>
          <w:highlight w:val="white"/>
        </w:rPr>
        <w:t xml:space="preserve"> </w:t>
      </w:r>
      <w:r>
        <w:rPr>
          <w:sz w:val="20"/>
          <w:szCs w:val="20"/>
        </w:rPr>
        <w:t>Genome-scale libraries of mutant cells are reproducibly created using CRISPR-Cas9 technology and lentiviral gRNA delivery.</w:t>
      </w:r>
    </w:p>
    <w:p w:rsidR="00D735DE" w:rsidRDefault="00D735DE"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highlight w:val="white"/>
        </w:rPr>
      </w:pPr>
    </w:p>
    <w:p w:rsidR="00D735DE" w:rsidRDefault="00883E21"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r>
        <w:rPr>
          <w:b/>
          <w:sz w:val="20"/>
          <w:szCs w:val="20"/>
        </w:rPr>
        <w:t>Supplemental</w:t>
      </w:r>
      <w:r>
        <w:rPr>
          <w:b/>
          <w:sz w:val="20"/>
          <w:szCs w:val="20"/>
          <w:highlight w:val="white"/>
        </w:rPr>
        <w:t xml:space="preserve"> Figure </w:t>
      </w:r>
      <w:r w:rsidR="003C7D7C">
        <w:rPr>
          <w:b/>
          <w:sz w:val="20"/>
          <w:szCs w:val="20"/>
          <w:highlight w:val="white"/>
        </w:rPr>
        <w:t>S10</w:t>
      </w:r>
      <w:r>
        <w:rPr>
          <w:b/>
          <w:sz w:val="20"/>
          <w:szCs w:val="20"/>
          <w:highlight w:val="white"/>
        </w:rPr>
        <w:t>:</w:t>
      </w:r>
      <w:r>
        <w:rPr>
          <w:sz w:val="20"/>
          <w:szCs w:val="20"/>
          <w:highlight w:val="white"/>
        </w:rPr>
        <w:t xml:space="preserve"> </w:t>
      </w:r>
      <w:r>
        <w:rPr>
          <w:sz w:val="20"/>
          <w:szCs w:val="20"/>
        </w:rPr>
        <w:t>gRNAs targeting genes involved in essential biological processes were depleted during culture of the mutant cell library.</w:t>
      </w:r>
    </w:p>
    <w:p w:rsidR="00D735DE" w:rsidRDefault="00D735DE"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D735DE" w:rsidRDefault="00883E21"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r>
        <w:rPr>
          <w:b/>
          <w:sz w:val="20"/>
          <w:szCs w:val="20"/>
        </w:rPr>
        <w:t>Supplemental</w:t>
      </w:r>
      <w:r>
        <w:rPr>
          <w:b/>
          <w:sz w:val="20"/>
          <w:szCs w:val="20"/>
          <w:highlight w:val="white"/>
        </w:rPr>
        <w:t xml:space="preserve"> Table S1: </w:t>
      </w:r>
      <w:r>
        <w:rPr>
          <w:sz w:val="20"/>
          <w:szCs w:val="20"/>
          <w:highlight w:val="white"/>
        </w:rPr>
        <w:t>False discovery rate (</w:t>
      </w:r>
      <w:r>
        <w:rPr>
          <w:sz w:val="20"/>
          <w:szCs w:val="20"/>
        </w:rPr>
        <w:t>FDR) for identification of the genes encoding the known antibody target in a genome-scale screening approach.</w:t>
      </w:r>
    </w:p>
    <w:p w:rsidR="00D735DE" w:rsidRDefault="00D735DE"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D735DE" w:rsidRDefault="00883E21"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highlight w:val="white"/>
        </w:rPr>
      </w:pPr>
      <w:r>
        <w:rPr>
          <w:b/>
          <w:sz w:val="20"/>
          <w:szCs w:val="20"/>
        </w:rPr>
        <w:t>Supplemental</w:t>
      </w:r>
      <w:r>
        <w:rPr>
          <w:b/>
          <w:sz w:val="20"/>
          <w:szCs w:val="20"/>
          <w:highlight w:val="white"/>
        </w:rPr>
        <w:t xml:space="preserve"> Table S2</w:t>
      </w:r>
      <w:r w:rsidR="000A45DF">
        <w:rPr>
          <w:sz w:val="20"/>
          <w:szCs w:val="20"/>
          <w:highlight w:val="white"/>
        </w:rPr>
        <w:t xml:space="preserve">: </w:t>
      </w:r>
      <w:r>
        <w:rPr>
          <w:sz w:val="20"/>
          <w:szCs w:val="20"/>
          <w:highlight w:val="white"/>
        </w:rPr>
        <w:t>Protein expression plasmids used in this study</w:t>
      </w:r>
    </w:p>
    <w:p w:rsidR="00D735DE" w:rsidRDefault="00D735DE"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highlight w:val="white"/>
        </w:rPr>
      </w:pPr>
    </w:p>
    <w:p w:rsidR="00D735DE" w:rsidRDefault="00883E21"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r>
        <w:rPr>
          <w:b/>
          <w:sz w:val="20"/>
          <w:szCs w:val="20"/>
        </w:rPr>
        <w:t>Supplemental</w:t>
      </w:r>
      <w:r>
        <w:rPr>
          <w:b/>
          <w:sz w:val="20"/>
          <w:szCs w:val="20"/>
          <w:highlight w:val="white"/>
        </w:rPr>
        <w:t xml:space="preserve"> Table S3:</w:t>
      </w:r>
      <w:r>
        <w:rPr>
          <w:sz w:val="20"/>
          <w:szCs w:val="20"/>
          <w:highlight w:val="white"/>
        </w:rPr>
        <w:t xml:space="preserve"> </w:t>
      </w:r>
      <w:r>
        <w:rPr>
          <w:sz w:val="20"/>
          <w:szCs w:val="20"/>
        </w:rPr>
        <w:t xml:space="preserve">Sequences of guide RNAs used in this study </w:t>
      </w:r>
    </w:p>
    <w:p w:rsidR="00D735DE" w:rsidRDefault="00D735DE"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D735DE" w:rsidRDefault="00883E21"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r>
        <w:rPr>
          <w:b/>
          <w:sz w:val="20"/>
          <w:szCs w:val="20"/>
        </w:rPr>
        <w:t>Supplemental</w:t>
      </w:r>
      <w:r>
        <w:rPr>
          <w:b/>
          <w:sz w:val="20"/>
          <w:szCs w:val="20"/>
          <w:highlight w:val="white"/>
        </w:rPr>
        <w:t xml:space="preserve"> Table S4: </w:t>
      </w:r>
      <w:r>
        <w:rPr>
          <w:sz w:val="20"/>
          <w:szCs w:val="20"/>
        </w:rPr>
        <w:t>Summary of screening parameters for all screens carried out in this study</w:t>
      </w:r>
      <w:r>
        <w:rPr>
          <w:b/>
          <w:sz w:val="20"/>
          <w:szCs w:val="20"/>
        </w:rPr>
        <w:t>.</w:t>
      </w:r>
      <w:r>
        <w:rPr>
          <w:sz w:val="20"/>
          <w:szCs w:val="20"/>
        </w:rPr>
        <w:t xml:space="preserve"> </w:t>
      </w:r>
    </w:p>
    <w:p w:rsidR="00D735DE" w:rsidRPr="00EB33F0" w:rsidRDefault="00D735DE"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D735DE" w:rsidRPr="00EB33F0" w:rsidRDefault="00883E21" w:rsidP="00B04AC5">
      <w:pPr>
        <w:jc w:val="both"/>
        <w:rPr>
          <w:sz w:val="20"/>
          <w:szCs w:val="20"/>
        </w:rPr>
      </w:pPr>
      <w:r w:rsidRPr="00EB33F0">
        <w:rPr>
          <w:b/>
          <w:sz w:val="20"/>
          <w:szCs w:val="20"/>
        </w:rPr>
        <w:t xml:space="preserve">Supplemental Table S5. </w:t>
      </w:r>
      <w:r w:rsidRPr="00EB33F0">
        <w:rPr>
          <w:sz w:val="20"/>
          <w:szCs w:val="20"/>
        </w:rPr>
        <w:t>Summary of the relative gRNA abundances targeting the identified receptor in the different screens within this study</w:t>
      </w:r>
    </w:p>
    <w:p w:rsidR="00D735DE" w:rsidRDefault="00D735DE"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D735DE" w:rsidRDefault="00883E21"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r>
        <w:rPr>
          <w:b/>
          <w:sz w:val="20"/>
          <w:szCs w:val="20"/>
        </w:rPr>
        <w:t xml:space="preserve">Supplemental Data S1: </w:t>
      </w:r>
      <w:r>
        <w:rPr>
          <w:sz w:val="20"/>
          <w:szCs w:val="20"/>
        </w:rPr>
        <w:t xml:space="preserve">Summary of gRNA counts and gene level enrichment file from MAGeCK for all mAb screens relating to Supplementary Table 1, Figure 1, and </w:t>
      </w:r>
      <w:r w:rsidR="000A45DF">
        <w:rPr>
          <w:sz w:val="20"/>
          <w:szCs w:val="20"/>
        </w:rPr>
        <w:t>S</w:t>
      </w:r>
      <w:r>
        <w:rPr>
          <w:sz w:val="20"/>
          <w:szCs w:val="20"/>
        </w:rPr>
        <w:t xml:space="preserve">upplemental Figure </w:t>
      </w:r>
      <w:r w:rsidR="000A45DF">
        <w:rPr>
          <w:sz w:val="20"/>
          <w:szCs w:val="20"/>
        </w:rPr>
        <w:t>S</w:t>
      </w:r>
      <w:r>
        <w:rPr>
          <w:sz w:val="20"/>
          <w:szCs w:val="20"/>
        </w:rPr>
        <w:t xml:space="preserve">2. </w:t>
      </w:r>
    </w:p>
    <w:p w:rsidR="00D735DE" w:rsidRDefault="00D735DE"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D735DE" w:rsidRDefault="00883E21"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r>
        <w:rPr>
          <w:b/>
          <w:sz w:val="20"/>
          <w:szCs w:val="20"/>
        </w:rPr>
        <w:t xml:space="preserve">Supplemental Data S2: </w:t>
      </w:r>
      <w:r>
        <w:rPr>
          <w:sz w:val="20"/>
          <w:szCs w:val="20"/>
        </w:rPr>
        <w:t xml:space="preserve">Summary of gRNA counts and gene level enrichment file from MAGeCK for PfRH5 and anti-BSG mAb screen relating to Figure 2. </w:t>
      </w:r>
    </w:p>
    <w:p w:rsidR="00D735DE" w:rsidRDefault="00D735DE"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D735DE" w:rsidRDefault="00883E21"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r>
        <w:rPr>
          <w:b/>
          <w:sz w:val="20"/>
          <w:szCs w:val="20"/>
        </w:rPr>
        <w:t xml:space="preserve">Supplemental Data S3: </w:t>
      </w:r>
      <w:r>
        <w:rPr>
          <w:sz w:val="20"/>
          <w:szCs w:val="20"/>
        </w:rPr>
        <w:t xml:space="preserve">Summary of gRNA counts and gene level enrichment file from MAGeCK for all recombinant protein screens relating to Figures 3 and 4. </w:t>
      </w:r>
    </w:p>
    <w:p w:rsidR="00D735DE" w:rsidRDefault="00D735DE"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D735DE" w:rsidRDefault="00883E21" w:rsidP="00B04AC5">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r>
        <w:rPr>
          <w:b/>
          <w:sz w:val="20"/>
          <w:szCs w:val="20"/>
        </w:rPr>
        <w:lastRenderedPageBreak/>
        <w:t xml:space="preserve">Supplemental Data S4: </w:t>
      </w:r>
      <w:r>
        <w:rPr>
          <w:sz w:val="20"/>
          <w:szCs w:val="20"/>
        </w:rPr>
        <w:t xml:space="preserve">Raw read counts, enrichment analysis and pathway analysis output from MAGeCK using KEGG-annotated pathways for all control samples (2 replicates of NCI-SNU-1 and 1 sample from HEK293 cells and HEL cells each). </w:t>
      </w:r>
    </w:p>
    <w:p w:rsidR="00D735DE" w:rsidRDefault="00883E21" w:rsidP="00B04AC5">
      <w:pPr>
        <w:jc w:val="both"/>
        <w:rPr>
          <w:sz w:val="20"/>
          <w:szCs w:val="20"/>
        </w:rPr>
      </w:pPr>
      <w:r>
        <w:rPr>
          <w:sz w:val="20"/>
          <w:szCs w:val="20"/>
        </w:rPr>
        <w:t xml:space="preserve">In Supplemental Data </w:t>
      </w:r>
      <w:r w:rsidR="000A45DF">
        <w:rPr>
          <w:sz w:val="20"/>
          <w:szCs w:val="20"/>
        </w:rPr>
        <w:t>S</w:t>
      </w:r>
      <w:r>
        <w:rPr>
          <w:sz w:val="20"/>
          <w:szCs w:val="20"/>
        </w:rPr>
        <w:t xml:space="preserve">1, </w:t>
      </w:r>
      <w:r w:rsidR="000A45DF">
        <w:rPr>
          <w:sz w:val="20"/>
          <w:szCs w:val="20"/>
        </w:rPr>
        <w:t>S</w:t>
      </w:r>
      <w:r>
        <w:rPr>
          <w:sz w:val="20"/>
          <w:szCs w:val="20"/>
        </w:rPr>
        <w:t xml:space="preserve">2 and </w:t>
      </w:r>
      <w:r w:rsidR="000A45DF">
        <w:rPr>
          <w:sz w:val="20"/>
          <w:szCs w:val="20"/>
        </w:rPr>
        <w:t>S</w:t>
      </w:r>
      <w:r>
        <w:rPr>
          <w:sz w:val="20"/>
          <w:szCs w:val="20"/>
        </w:rPr>
        <w:t xml:space="preserve">3, raw gRNA counts in control and sorted population is provided in the ‘.raw_counts.txt’ file. Each other file provides gene level enrichment output for positive selection obtained from MAGeCK. Refer to the file title for the identity of the probe used for screening. In Supplementary Data 4, raw counts, gene enrichment analysis from MAGeCK, and pathway enrichment analysis from MAGeCK are separated into each folder. Refer to the file title under each folder for the corresponding </w:t>
      </w:r>
      <w:r w:rsidR="000A45DF">
        <w:rPr>
          <w:sz w:val="20"/>
          <w:szCs w:val="20"/>
        </w:rPr>
        <w:t>d</w:t>
      </w:r>
      <w:r>
        <w:rPr>
          <w:sz w:val="20"/>
          <w:szCs w:val="20"/>
        </w:rPr>
        <w:t>ata.</w:t>
      </w:r>
    </w:p>
    <w:p w:rsidR="00D735DE" w:rsidRDefault="00B04AC5">
      <w:pPr>
        <w:rPr>
          <w:sz w:val="20"/>
          <w:szCs w:val="20"/>
        </w:rPr>
      </w:pPr>
      <w:r>
        <w:rPr>
          <w:sz w:val="20"/>
          <w:szCs w:val="20"/>
        </w:rPr>
        <w:br w:type="page"/>
      </w:r>
    </w:p>
    <w:p w:rsidR="00D735DE" w:rsidRDefault="00883E21">
      <w:pPr>
        <w:jc w:val="center"/>
        <w:rPr>
          <w:b/>
          <w:sz w:val="20"/>
          <w:szCs w:val="20"/>
        </w:rPr>
      </w:pPr>
      <w:r>
        <w:rPr>
          <w:b/>
          <w:noProof/>
          <w:sz w:val="20"/>
          <w:szCs w:val="20"/>
          <w:lang w:val="en-GB"/>
        </w:rPr>
        <w:lastRenderedPageBreak/>
        <w:drawing>
          <wp:inline distT="114300" distB="114300" distL="114300" distR="114300">
            <wp:extent cx="4433888" cy="4349343"/>
            <wp:effectExtent l="0" t="0" r="0" b="0"/>
            <wp:docPr id="3" name="image12.png" descr="Suppl.figure-1.png"/>
            <wp:cNvGraphicFramePr/>
            <a:graphic xmlns:a="http://schemas.openxmlformats.org/drawingml/2006/main">
              <a:graphicData uri="http://schemas.openxmlformats.org/drawingml/2006/picture">
                <pic:pic xmlns:pic="http://schemas.openxmlformats.org/drawingml/2006/picture">
                  <pic:nvPicPr>
                    <pic:cNvPr id="0" name="image12.png" descr="Suppl.figure-1.png"/>
                    <pic:cNvPicPr preferRelativeResize="0"/>
                  </pic:nvPicPr>
                  <pic:blipFill>
                    <a:blip r:embed="rId6"/>
                    <a:srcRect/>
                    <a:stretch>
                      <a:fillRect/>
                    </a:stretch>
                  </pic:blipFill>
                  <pic:spPr>
                    <a:xfrm>
                      <a:off x="0" y="0"/>
                      <a:ext cx="4433888" cy="4349343"/>
                    </a:xfrm>
                    <a:prstGeom prst="rect">
                      <a:avLst/>
                    </a:prstGeom>
                    <a:ln/>
                  </pic:spPr>
                </pic:pic>
              </a:graphicData>
            </a:graphic>
          </wp:inline>
        </w:drawing>
      </w:r>
    </w:p>
    <w:p w:rsidR="00B04AC5" w:rsidRDefault="00B04AC5" w:rsidP="00B04AC5">
      <w:pPr>
        <w:spacing w:line="240" w:lineRule="auto"/>
        <w:rPr>
          <w:b/>
          <w:sz w:val="20"/>
          <w:szCs w:val="20"/>
        </w:rPr>
      </w:pPr>
    </w:p>
    <w:p w:rsidR="00D735DE" w:rsidRPr="00B04AC5" w:rsidRDefault="00883E21" w:rsidP="00B04AC5">
      <w:pPr>
        <w:jc w:val="both"/>
        <w:rPr>
          <w:sz w:val="20"/>
          <w:szCs w:val="20"/>
        </w:rPr>
      </w:pPr>
      <w:r w:rsidRPr="00B04AC5">
        <w:rPr>
          <w:b/>
          <w:sz w:val="20"/>
          <w:szCs w:val="20"/>
        </w:rPr>
        <w:t xml:space="preserve">Supplemental Figure S1: Selecting clonal cell lines with high Cas9 activity for efficient genome-scale genetic screening. </w:t>
      </w:r>
      <w:r w:rsidRPr="00B04AC5">
        <w:rPr>
          <w:sz w:val="20"/>
          <w:szCs w:val="20"/>
        </w:rPr>
        <w:t xml:space="preserve">Initial experiments using uncloned Cas9-expressing cell lines revealed that a variable fraction of the cell population were refractory to genome editing and so we selected clones that exhibited high Cas9 activity. </w:t>
      </w:r>
      <w:r w:rsidRPr="00B04AC5">
        <w:rPr>
          <w:b/>
          <w:sz w:val="20"/>
          <w:szCs w:val="20"/>
        </w:rPr>
        <w:t>a</w:t>
      </w:r>
      <w:r w:rsidRPr="00B04AC5">
        <w:rPr>
          <w:sz w:val="20"/>
          <w:szCs w:val="20"/>
        </w:rPr>
        <w:t xml:space="preserve">. Schematics of lentiviral reporter plasmids used to quantify genome editing efficiency in Cas9-expressing cell populations. </w:t>
      </w:r>
      <w:r w:rsidRPr="00B04AC5">
        <w:rPr>
          <w:i/>
          <w:sz w:val="20"/>
          <w:szCs w:val="20"/>
        </w:rPr>
        <w:t>GFP</w:t>
      </w:r>
      <w:r w:rsidRPr="00B04AC5">
        <w:rPr>
          <w:sz w:val="20"/>
          <w:szCs w:val="20"/>
        </w:rPr>
        <w:t xml:space="preserve">-encoding lentivirus constructs containing either a gRNA targeting </w:t>
      </w:r>
      <w:r w:rsidRPr="00B04AC5">
        <w:rPr>
          <w:i/>
          <w:sz w:val="20"/>
          <w:szCs w:val="20"/>
        </w:rPr>
        <w:t>GFP</w:t>
      </w:r>
      <w:r w:rsidRPr="00B04AC5">
        <w:rPr>
          <w:sz w:val="20"/>
          <w:szCs w:val="20"/>
        </w:rPr>
        <w:t xml:space="preserve"> (gGFP) or not (“empty”) were used to quantify genome editing efficiency in a cloned population of Cas9-expressing cell lines. </w:t>
      </w:r>
      <w:r w:rsidRPr="00B04AC5">
        <w:rPr>
          <w:b/>
          <w:sz w:val="20"/>
          <w:szCs w:val="20"/>
        </w:rPr>
        <w:t>b</w:t>
      </w:r>
      <w:r w:rsidRPr="00B04AC5">
        <w:rPr>
          <w:sz w:val="20"/>
          <w:szCs w:val="20"/>
        </w:rPr>
        <w:t xml:space="preserve">. Cloned Cas9-expressing HEK293, NCI-SNU-1 and HEL cell lines were tested for both BFP and GFP expression by flow cytometry after infection with lentivirus containing a gRNA targeting </w:t>
      </w:r>
      <w:r w:rsidRPr="00B04AC5">
        <w:rPr>
          <w:i/>
          <w:sz w:val="20"/>
          <w:szCs w:val="20"/>
        </w:rPr>
        <w:t>GFP</w:t>
      </w:r>
      <w:r w:rsidRPr="00B04AC5">
        <w:rPr>
          <w:sz w:val="20"/>
          <w:szCs w:val="20"/>
        </w:rPr>
        <w:t xml:space="preserve">, no functional gRNA (“empty”), or left uninfected. BFP expression marks transduced cells (note the infection frequency for HEL cells was lower compared to the other two cell lines) and the loss of GFP expression is used to quantify Cas9 activity; the line exhibiting the greatest loss of GFP expression out of at least five clones tested are shown. </w:t>
      </w:r>
      <w:r w:rsidRPr="00B04AC5">
        <w:rPr>
          <w:b/>
          <w:sz w:val="20"/>
          <w:szCs w:val="20"/>
        </w:rPr>
        <w:t>c</w:t>
      </w:r>
      <w:r w:rsidRPr="00B04AC5">
        <w:rPr>
          <w:sz w:val="20"/>
          <w:szCs w:val="20"/>
        </w:rPr>
        <w:t xml:space="preserve">. The cloned cell lines selected using the GFP-BFP assay were additionally tested for their ability to target an endogenous locus by infecting them with a lentivirus encoding a gRNA targeting </w:t>
      </w:r>
      <w:r w:rsidRPr="00B04AC5">
        <w:rPr>
          <w:i/>
          <w:sz w:val="20"/>
          <w:szCs w:val="20"/>
        </w:rPr>
        <w:t xml:space="preserve">BSG </w:t>
      </w:r>
      <w:r w:rsidRPr="00B04AC5">
        <w:rPr>
          <w:sz w:val="20"/>
          <w:szCs w:val="20"/>
        </w:rPr>
        <w:t xml:space="preserve">and quantifying expression of BSG on the cell surface with an anti-BSG mAb; all cell lines exhibited loss of BSG from &gt;90% of the population. Control: parental cell line stained with secondary anti-mouse-IgG-PE alone; Uninf: parental cell line stained with anti-BSG antibody. </w:t>
      </w:r>
      <w:r w:rsidRPr="00B04AC5">
        <w:rPr>
          <w:b/>
          <w:sz w:val="20"/>
          <w:szCs w:val="20"/>
        </w:rPr>
        <w:t>b</w:t>
      </w:r>
      <w:r w:rsidRPr="00B04AC5">
        <w:rPr>
          <w:sz w:val="20"/>
          <w:szCs w:val="20"/>
        </w:rPr>
        <w:t xml:space="preserve"> and </w:t>
      </w:r>
      <w:r w:rsidRPr="00B04AC5">
        <w:rPr>
          <w:b/>
          <w:sz w:val="20"/>
          <w:szCs w:val="20"/>
        </w:rPr>
        <w:t>c</w:t>
      </w:r>
      <w:r w:rsidRPr="00B04AC5">
        <w:rPr>
          <w:rFonts w:eastAsia="Arial Unicode MS"/>
          <w:sz w:val="20"/>
          <w:szCs w:val="20"/>
        </w:rPr>
        <w:t xml:space="preserve"> are representative experiments of two technical replicates. CMV: Cytomegalovirus promoter, RU5: 5’ long terminal repeat lacking the U3 region, W: Woodchuck Hepatitis Virus posttranscriptional regulatory element, SIN: ∆U3RU5 (self- inactivating 3’ LTR); hU6: human U6 promoter, gGFP: gRNA targeting GFP, gBSG: gRNA targeting BSG, Iscaffold: Improved scaffold, 2A: self-cleaving peptide, PGK: PGK1 promoter, puro: puromycin- resistant gene, BFP: blue fluorescent protein, GFP: green fluorescent protein.</w:t>
      </w:r>
    </w:p>
    <w:p w:rsidR="00D735DE" w:rsidRDefault="00883E21">
      <w:pPr>
        <w:jc w:val="center"/>
        <w:rPr>
          <w:b/>
          <w:sz w:val="20"/>
          <w:szCs w:val="20"/>
        </w:rPr>
      </w:pPr>
      <w:r>
        <w:rPr>
          <w:b/>
          <w:noProof/>
          <w:sz w:val="20"/>
          <w:szCs w:val="20"/>
          <w:lang w:val="en-GB"/>
        </w:rPr>
        <w:lastRenderedPageBreak/>
        <w:drawing>
          <wp:inline distT="114300" distB="114300" distL="114300" distR="114300">
            <wp:extent cx="5572125" cy="3681404"/>
            <wp:effectExtent l="0" t="0" r="0" b="0"/>
            <wp:docPr id="1" name="image4.png" descr="FDR_analysis_common_pathway.png"/>
            <wp:cNvGraphicFramePr/>
            <a:graphic xmlns:a="http://schemas.openxmlformats.org/drawingml/2006/main">
              <a:graphicData uri="http://schemas.openxmlformats.org/drawingml/2006/picture">
                <pic:pic xmlns:pic="http://schemas.openxmlformats.org/drawingml/2006/picture">
                  <pic:nvPicPr>
                    <pic:cNvPr id="0" name="image4.png" descr="FDR_analysis_common_pathway.png"/>
                    <pic:cNvPicPr preferRelativeResize="0"/>
                  </pic:nvPicPr>
                  <pic:blipFill>
                    <a:blip r:embed="rId7"/>
                    <a:srcRect/>
                    <a:stretch>
                      <a:fillRect/>
                    </a:stretch>
                  </pic:blipFill>
                  <pic:spPr>
                    <a:xfrm>
                      <a:off x="0" y="0"/>
                      <a:ext cx="5572125" cy="3681404"/>
                    </a:xfrm>
                    <a:prstGeom prst="rect">
                      <a:avLst/>
                    </a:prstGeom>
                    <a:ln/>
                  </pic:spPr>
                </pic:pic>
              </a:graphicData>
            </a:graphic>
          </wp:inline>
        </w:drawing>
      </w:r>
    </w:p>
    <w:p w:rsidR="0013316C" w:rsidRDefault="00883E21" w:rsidP="0013316C">
      <w:pPr>
        <w:jc w:val="both"/>
        <w:rPr>
          <w:sz w:val="20"/>
          <w:szCs w:val="20"/>
        </w:rPr>
      </w:pPr>
      <w:r>
        <w:rPr>
          <w:b/>
          <w:sz w:val="20"/>
          <w:szCs w:val="20"/>
        </w:rPr>
        <w:t xml:space="preserve">Supplemental Figure S2: Genes required for protein export, N-glycan biosynthesis and general housekeeping functions were enriched in, and shared between, cells selected for the loss of cell surface mAb staining. </w:t>
      </w:r>
      <w:r>
        <w:rPr>
          <w:sz w:val="20"/>
          <w:szCs w:val="20"/>
        </w:rPr>
        <w:t xml:space="preserve">Pathway analysis on genes enriched in cells selected with the indicated mAbs identified some pathways shared between more than one antibody including protein export, N-glycan biosynthesis as well as more general housekeeping functions; genes identified in these pathways were grouped and labeled as “other factors” in subsequent analyses.  </w:t>
      </w:r>
    </w:p>
    <w:p w:rsidR="0013316C" w:rsidRDefault="0013316C">
      <w:pPr>
        <w:rPr>
          <w:sz w:val="20"/>
          <w:szCs w:val="20"/>
        </w:rPr>
      </w:pPr>
      <w:r>
        <w:rPr>
          <w:sz w:val="20"/>
          <w:szCs w:val="20"/>
        </w:rPr>
        <w:br w:type="page"/>
      </w:r>
    </w:p>
    <w:p w:rsidR="00D735DE" w:rsidRDefault="00D735DE" w:rsidP="0013316C">
      <w:pPr>
        <w:jc w:val="both"/>
        <w:rPr>
          <w:sz w:val="20"/>
          <w:szCs w:val="20"/>
        </w:rPr>
      </w:pPr>
    </w:p>
    <w:p w:rsidR="00D735DE" w:rsidRDefault="00883E21">
      <w:pPr>
        <w:jc w:val="center"/>
      </w:pPr>
      <w:r>
        <w:rPr>
          <w:noProof/>
          <w:lang w:val="en-GB"/>
        </w:rPr>
        <w:drawing>
          <wp:inline distT="114300" distB="114300" distL="114300" distR="114300">
            <wp:extent cx="5890813" cy="3357563"/>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t="5226" r="29166"/>
                    <a:stretch>
                      <a:fillRect/>
                    </a:stretch>
                  </pic:blipFill>
                  <pic:spPr>
                    <a:xfrm>
                      <a:off x="0" y="0"/>
                      <a:ext cx="5890813" cy="3357563"/>
                    </a:xfrm>
                    <a:prstGeom prst="rect">
                      <a:avLst/>
                    </a:prstGeom>
                    <a:ln/>
                  </pic:spPr>
                </pic:pic>
              </a:graphicData>
            </a:graphic>
          </wp:inline>
        </w:drawing>
      </w:r>
    </w:p>
    <w:p w:rsidR="00821691" w:rsidRDefault="00821691">
      <w:pPr>
        <w:jc w:val="both"/>
        <w:rPr>
          <w:b/>
          <w:sz w:val="20"/>
          <w:szCs w:val="20"/>
        </w:rPr>
      </w:pPr>
    </w:p>
    <w:p w:rsidR="00D735DE" w:rsidRDefault="00883E21">
      <w:pPr>
        <w:jc w:val="both"/>
        <w:rPr>
          <w:b/>
          <w:sz w:val="20"/>
          <w:szCs w:val="20"/>
        </w:rPr>
      </w:pPr>
      <w:r w:rsidRPr="00821691">
        <w:rPr>
          <w:b/>
          <w:sz w:val="20"/>
          <w:szCs w:val="20"/>
        </w:rPr>
        <w:t xml:space="preserve">Supplemental Figure S3: The experimental parameters established to identify cell surface receptor interactions using </w:t>
      </w:r>
      <w:r w:rsidR="00821691" w:rsidRPr="00821691">
        <w:rPr>
          <w:b/>
          <w:sz w:val="20"/>
          <w:szCs w:val="20"/>
        </w:rPr>
        <w:t xml:space="preserve">a </w:t>
      </w:r>
      <w:r w:rsidRPr="00821691">
        <w:rPr>
          <w:b/>
          <w:sz w:val="20"/>
          <w:szCs w:val="20"/>
        </w:rPr>
        <w:t>cell-b</w:t>
      </w:r>
      <w:r w:rsidR="00821691" w:rsidRPr="00821691">
        <w:rPr>
          <w:b/>
          <w:sz w:val="20"/>
          <w:szCs w:val="20"/>
        </w:rPr>
        <w:t>ased CRISPR screening approach</w:t>
      </w:r>
      <w:r w:rsidRPr="00821691">
        <w:rPr>
          <w:b/>
          <w:sz w:val="20"/>
          <w:szCs w:val="20"/>
        </w:rPr>
        <w:t xml:space="preserve"> are robust and repeatable.</w:t>
      </w:r>
      <w:r w:rsidR="00821691" w:rsidRPr="00821691">
        <w:rPr>
          <w:sz w:val="20"/>
          <w:szCs w:val="20"/>
        </w:rPr>
        <w:t xml:space="preserve"> </w:t>
      </w:r>
      <w:r w:rsidRPr="00821691">
        <w:rPr>
          <w:sz w:val="20"/>
          <w:szCs w:val="20"/>
        </w:rPr>
        <w:t xml:space="preserve">The genome-wide CRISPR screening approach was </w:t>
      </w:r>
      <w:r w:rsidR="00821691" w:rsidRPr="00821691">
        <w:rPr>
          <w:sz w:val="20"/>
          <w:szCs w:val="20"/>
        </w:rPr>
        <w:t>independently repeated to identify</w:t>
      </w:r>
      <w:r w:rsidRPr="00821691">
        <w:rPr>
          <w:sz w:val="20"/>
          <w:szCs w:val="20"/>
        </w:rPr>
        <w:t xml:space="preserve"> genetic pathways </w:t>
      </w:r>
      <w:r w:rsidR="00821691" w:rsidRPr="00821691">
        <w:rPr>
          <w:sz w:val="20"/>
          <w:szCs w:val="20"/>
        </w:rPr>
        <w:t xml:space="preserve">required </w:t>
      </w:r>
      <w:r w:rsidRPr="00821691">
        <w:rPr>
          <w:sz w:val="20"/>
          <w:szCs w:val="20"/>
        </w:rPr>
        <w:t>for the cell surface display of CD59 using a high affinity monoclonal antibody. Th</w:t>
      </w:r>
      <w:r w:rsidR="00821691" w:rsidRPr="00821691">
        <w:rPr>
          <w:sz w:val="20"/>
          <w:szCs w:val="20"/>
        </w:rPr>
        <w:t xml:space="preserve">e cell surface display of CD59 </w:t>
      </w:r>
      <w:r w:rsidRPr="00821691">
        <w:rPr>
          <w:sz w:val="20"/>
          <w:szCs w:val="20"/>
        </w:rPr>
        <w:t>involved many genes with a range of effect sizes in the GPI-anchor biosynthesis, N-linked glycosylation, and general secretory pathways. The majority of GPI-anchor biosynthesis genes detected in the initial screen were again detected with</w:t>
      </w:r>
      <w:r w:rsidR="00821691" w:rsidRPr="00821691">
        <w:rPr>
          <w:sz w:val="20"/>
          <w:szCs w:val="20"/>
        </w:rPr>
        <w:t xml:space="preserve"> FDR &lt; 0.05 in the repeat experiment</w:t>
      </w:r>
      <w:r w:rsidRPr="00821691">
        <w:rPr>
          <w:sz w:val="20"/>
          <w:szCs w:val="20"/>
        </w:rPr>
        <w:t xml:space="preserve"> (genes named in the upper boxed section) with only 6 out of 24 genes previously identified in this pathway (named in the lower boxed section) falling below this threshold. </w:t>
      </w:r>
    </w:p>
    <w:p w:rsidR="00D735DE" w:rsidRDefault="00883E21" w:rsidP="00A4525D">
      <w:pPr>
        <w:jc w:val="both"/>
        <w:rPr>
          <w:sz w:val="20"/>
          <w:szCs w:val="20"/>
          <w:highlight w:val="white"/>
        </w:rPr>
      </w:pPr>
      <w:r>
        <w:rPr>
          <w:b/>
          <w:noProof/>
          <w:sz w:val="20"/>
          <w:szCs w:val="20"/>
          <w:lang w:val="en-GB"/>
        </w:rPr>
        <w:lastRenderedPageBreak/>
        <w:drawing>
          <wp:inline distT="114300" distB="114300" distL="114300" distR="114300">
            <wp:extent cx="5643563" cy="3879949"/>
            <wp:effectExtent l="0" t="0" r="0" b="0"/>
            <wp:docPr id="5" name="image14.png" descr="Suppl.Figure2.png"/>
            <wp:cNvGraphicFramePr/>
            <a:graphic xmlns:a="http://schemas.openxmlformats.org/drawingml/2006/main">
              <a:graphicData uri="http://schemas.openxmlformats.org/drawingml/2006/picture">
                <pic:pic xmlns:pic="http://schemas.openxmlformats.org/drawingml/2006/picture">
                  <pic:nvPicPr>
                    <pic:cNvPr id="0" name="image14.png" descr="Suppl.Figure2.png"/>
                    <pic:cNvPicPr preferRelativeResize="0"/>
                  </pic:nvPicPr>
                  <pic:blipFill>
                    <a:blip r:embed="rId9"/>
                    <a:srcRect/>
                    <a:stretch>
                      <a:fillRect/>
                    </a:stretch>
                  </pic:blipFill>
                  <pic:spPr>
                    <a:xfrm>
                      <a:off x="0" y="0"/>
                      <a:ext cx="5643563" cy="3879949"/>
                    </a:xfrm>
                    <a:prstGeom prst="rect">
                      <a:avLst/>
                    </a:prstGeom>
                    <a:ln/>
                  </pic:spPr>
                </pic:pic>
              </a:graphicData>
            </a:graphic>
          </wp:inline>
        </w:drawing>
      </w:r>
      <w:r>
        <w:rPr>
          <w:b/>
          <w:sz w:val="20"/>
          <w:szCs w:val="20"/>
        </w:rPr>
        <w:t>Supplemental Figure S4: RH5 binding to HEK293 cells was heat labile and was partially blocked by preincubation with he</w:t>
      </w:r>
      <w:r w:rsidR="00A4525D">
        <w:rPr>
          <w:b/>
          <w:sz w:val="20"/>
          <w:szCs w:val="20"/>
        </w:rPr>
        <w:t>parin, but not chondroitin sulf</w:t>
      </w:r>
      <w:r>
        <w:rPr>
          <w:b/>
          <w:sz w:val="20"/>
          <w:szCs w:val="20"/>
        </w:rPr>
        <w:t>ate.</w:t>
      </w:r>
      <w:r>
        <w:rPr>
          <w:sz w:val="20"/>
          <w:szCs w:val="20"/>
        </w:rPr>
        <w:t xml:space="preserve"> </w:t>
      </w:r>
      <w:r>
        <w:rPr>
          <w:b/>
          <w:sz w:val="20"/>
          <w:szCs w:val="20"/>
        </w:rPr>
        <w:t>a</w:t>
      </w:r>
      <w:r>
        <w:rPr>
          <w:sz w:val="20"/>
          <w:szCs w:val="20"/>
        </w:rPr>
        <w:t xml:space="preserve">. Biotinylated RH5 clustered around streptavidin-PE bound HEK293 cells. Heat treatment (80 </w:t>
      </w:r>
      <w:r>
        <w:rPr>
          <w:sz w:val="20"/>
          <w:szCs w:val="20"/>
          <w:vertAlign w:val="superscript"/>
        </w:rPr>
        <w:t>o</w:t>
      </w:r>
      <w:r>
        <w:rPr>
          <w:sz w:val="20"/>
          <w:szCs w:val="20"/>
        </w:rPr>
        <w:t xml:space="preserve">C for 10 minutes) of biotinylated RH5 prior to streptavidin clustering abrogated all binding back to a negative control; a </w:t>
      </w:r>
      <w:r>
        <w:rPr>
          <w:sz w:val="20"/>
          <w:szCs w:val="20"/>
          <w:highlight w:val="white"/>
        </w:rPr>
        <w:t>representative of three independent experiments is shown.</w:t>
      </w:r>
      <w:r>
        <w:rPr>
          <w:sz w:val="20"/>
          <w:szCs w:val="20"/>
        </w:rPr>
        <w:t xml:space="preserve"> </w:t>
      </w:r>
      <w:r>
        <w:rPr>
          <w:b/>
          <w:sz w:val="20"/>
          <w:szCs w:val="20"/>
        </w:rPr>
        <w:t>b</w:t>
      </w:r>
      <w:r>
        <w:rPr>
          <w:sz w:val="20"/>
          <w:szCs w:val="20"/>
        </w:rPr>
        <w:t>.</w:t>
      </w:r>
      <w:r>
        <w:rPr>
          <w:sz w:val="20"/>
          <w:szCs w:val="20"/>
          <w:highlight w:val="white"/>
        </w:rPr>
        <w:t xml:space="preserve"> Genes required for the biosynthesis of heparan sulfate and not chondriotin sulfate are required for RH5 binding. Analysis of gRNAs in sorted mutant cells that had lost binding to a fluorescently labelled RH5 probe (left panel) demonstrated that genes encoding enzymes that are critical for HS biosynthesis (</w:t>
      </w:r>
      <w:r>
        <w:rPr>
          <w:i/>
          <w:sz w:val="20"/>
          <w:szCs w:val="20"/>
          <w:highlight w:val="white"/>
        </w:rPr>
        <w:t>EXTL3</w:t>
      </w:r>
      <w:r>
        <w:rPr>
          <w:sz w:val="20"/>
          <w:szCs w:val="20"/>
          <w:highlight w:val="white"/>
        </w:rPr>
        <w:t xml:space="preserve"> and </w:t>
      </w:r>
      <w:r>
        <w:rPr>
          <w:i/>
          <w:sz w:val="20"/>
          <w:szCs w:val="20"/>
          <w:highlight w:val="white"/>
        </w:rPr>
        <w:t>NDST1</w:t>
      </w:r>
      <w:r>
        <w:rPr>
          <w:sz w:val="20"/>
          <w:szCs w:val="20"/>
          <w:highlight w:val="white"/>
        </w:rPr>
        <w:t>) but not CS biosynthesis (</w:t>
      </w:r>
      <w:r>
        <w:rPr>
          <w:i/>
          <w:sz w:val="20"/>
          <w:szCs w:val="20"/>
          <w:highlight w:val="white"/>
        </w:rPr>
        <w:t>CSGALNACT1</w:t>
      </w:r>
      <w:r>
        <w:rPr>
          <w:sz w:val="20"/>
          <w:szCs w:val="20"/>
          <w:highlight w:val="white"/>
        </w:rPr>
        <w:t xml:space="preserve"> and </w:t>
      </w:r>
      <w:r>
        <w:rPr>
          <w:i/>
          <w:sz w:val="20"/>
          <w:szCs w:val="20"/>
          <w:highlight w:val="white"/>
        </w:rPr>
        <w:t>CSGALNACT2</w:t>
      </w:r>
      <w:r>
        <w:rPr>
          <w:sz w:val="20"/>
          <w:szCs w:val="20"/>
          <w:highlight w:val="white"/>
        </w:rPr>
        <w:t>) were enriched. The general GAG biosynthesis pathway bifurcates into HS and CS biosynthesis pathway after the formation of a l</w:t>
      </w:r>
      <w:r>
        <w:rPr>
          <w:sz w:val="19"/>
          <w:szCs w:val="19"/>
          <w:highlight w:val="white"/>
        </w:rPr>
        <w:t>inkage tetrasaccharide structure</w:t>
      </w:r>
      <w:r>
        <w:rPr>
          <w:sz w:val="20"/>
          <w:szCs w:val="20"/>
          <w:highlight w:val="white"/>
        </w:rPr>
        <w:t xml:space="preserve"> (right panel). Consistent with this, a broader pathway analysis involving all the identified genes using KEGG-annotated pathways identified the HS but not CS biosynthesis pathway as significantly enriched (FDR = 0.001). </w:t>
      </w:r>
      <w:r>
        <w:rPr>
          <w:b/>
          <w:sz w:val="20"/>
          <w:szCs w:val="20"/>
          <w:highlight w:val="white"/>
        </w:rPr>
        <w:t>c</w:t>
      </w:r>
      <w:r>
        <w:rPr>
          <w:sz w:val="20"/>
          <w:szCs w:val="20"/>
          <w:highlight w:val="white"/>
        </w:rPr>
        <w:t xml:space="preserve">. Clustered RH5 binding probe was pre-incubated with the indicated concentrations of either heparin or chondroitin sulfate (CS) prior to presentation to HEK293 cells and binding quantified by flow cytometry. Preincubation of RH5 with heparin showed a dose-dependent inhibition of binding up to a threshold; preincubation with CS showed no inhibition of RH5 binding, even at the maximum concentration of 2.5 mg/mL. A representative of three independent experiments is shown. </w:t>
      </w:r>
      <w:r>
        <w:rPr>
          <w:b/>
          <w:sz w:val="20"/>
          <w:szCs w:val="20"/>
          <w:highlight w:val="white"/>
        </w:rPr>
        <w:t>d</w:t>
      </w:r>
      <w:r>
        <w:rPr>
          <w:sz w:val="20"/>
          <w:szCs w:val="20"/>
          <w:highlight w:val="white"/>
        </w:rPr>
        <w:t>. Cells transduced with lentivirus encoding gRNAs target</w:t>
      </w:r>
      <w:r w:rsidR="00A4525D">
        <w:rPr>
          <w:sz w:val="20"/>
          <w:szCs w:val="20"/>
          <w:highlight w:val="white"/>
        </w:rPr>
        <w:t>ing enzymes in the heparan sulf</w:t>
      </w:r>
      <w:r>
        <w:rPr>
          <w:sz w:val="20"/>
          <w:szCs w:val="20"/>
          <w:highlight w:val="white"/>
        </w:rPr>
        <w:t xml:space="preserve">ate biosynthesis pathway show no alteration in surface BSG expression. Cell surface levels of BSG were quantified by flow cytometry on parental HEK293 cells or those transduced with lentivirus encoding single gRNAs targeting </w:t>
      </w:r>
      <w:r>
        <w:rPr>
          <w:i/>
          <w:sz w:val="20"/>
          <w:szCs w:val="20"/>
          <w:highlight w:val="white"/>
        </w:rPr>
        <w:t xml:space="preserve">SLC35B2 </w:t>
      </w:r>
      <w:r>
        <w:rPr>
          <w:sz w:val="20"/>
          <w:szCs w:val="20"/>
          <w:highlight w:val="white"/>
        </w:rPr>
        <w:t xml:space="preserve">or </w:t>
      </w:r>
      <w:r>
        <w:rPr>
          <w:i/>
          <w:sz w:val="20"/>
          <w:szCs w:val="20"/>
          <w:highlight w:val="white"/>
        </w:rPr>
        <w:t>EXTL3</w:t>
      </w:r>
      <w:r>
        <w:rPr>
          <w:sz w:val="20"/>
          <w:szCs w:val="20"/>
          <w:highlight w:val="white"/>
        </w:rPr>
        <w:t xml:space="preserve"> (genes required for HS biosynthesis), or </w:t>
      </w:r>
      <w:r>
        <w:rPr>
          <w:i/>
          <w:sz w:val="20"/>
          <w:szCs w:val="20"/>
          <w:highlight w:val="white"/>
        </w:rPr>
        <w:t>BSG</w:t>
      </w:r>
      <w:r>
        <w:rPr>
          <w:sz w:val="20"/>
          <w:szCs w:val="20"/>
          <w:highlight w:val="white"/>
        </w:rPr>
        <w:t xml:space="preserve">, as a control. Cells were stained with an anti-BSG mAb; control cells are stained with secondary antibody alone. A representative of two independent experiments is shown. In </w:t>
      </w:r>
      <w:r>
        <w:rPr>
          <w:b/>
          <w:sz w:val="20"/>
          <w:szCs w:val="20"/>
          <w:highlight w:val="white"/>
        </w:rPr>
        <w:t>a</w:t>
      </w:r>
      <w:r>
        <w:rPr>
          <w:sz w:val="20"/>
          <w:szCs w:val="20"/>
          <w:highlight w:val="white"/>
        </w:rPr>
        <w:t xml:space="preserve"> and </w:t>
      </w:r>
      <w:r>
        <w:rPr>
          <w:b/>
          <w:sz w:val="20"/>
          <w:szCs w:val="20"/>
          <w:highlight w:val="white"/>
        </w:rPr>
        <w:t>c</w:t>
      </w:r>
      <w:r>
        <w:rPr>
          <w:sz w:val="20"/>
          <w:szCs w:val="20"/>
          <w:highlight w:val="white"/>
        </w:rPr>
        <w:t xml:space="preserve">, the control represents binding of biotinylated protein tags (Cd4d3+4 alone) clustered around streptavidin-PE to the parental HEK293 cell line. </w:t>
      </w:r>
    </w:p>
    <w:p w:rsidR="00A4525D" w:rsidRDefault="00A4525D">
      <w:pPr>
        <w:rPr>
          <w:b/>
          <w:sz w:val="20"/>
          <w:szCs w:val="20"/>
        </w:rPr>
      </w:pPr>
      <w:r>
        <w:rPr>
          <w:b/>
          <w:sz w:val="20"/>
          <w:szCs w:val="20"/>
        </w:rPr>
        <w:br w:type="page"/>
      </w:r>
    </w:p>
    <w:p w:rsidR="00D735DE" w:rsidRDefault="00D735DE" w:rsidP="00A4525D">
      <w:pPr>
        <w:rPr>
          <w:b/>
          <w:sz w:val="20"/>
          <w:szCs w:val="20"/>
        </w:rPr>
      </w:pPr>
    </w:p>
    <w:p w:rsidR="00D735DE" w:rsidRDefault="00883E21">
      <w:pPr>
        <w:jc w:val="center"/>
        <w:rPr>
          <w:b/>
          <w:sz w:val="20"/>
          <w:szCs w:val="20"/>
        </w:rPr>
      </w:pPr>
      <w:r>
        <w:rPr>
          <w:b/>
          <w:noProof/>
          <w:sz w:val="20"/>
          <w:szCs w:val="20"/>
          <w:lang w:val="en-GB"/>
        </w:rPr>
        <w:drawing>
          <wp:inline distT="114300" distB="114300" distL="114300" distR="114300">
            <wp:extent cx="5810250" cy="3079585"/>
            <wp:effectExtent l="0" t="0" r="0" b="6985"/>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5813959" cy="3081551"/>
                    </a:xfrm>
                    <a:prstGeom prst="rect">
                      <a:avLst/>
                    </a:prstGeom>
                    <a:ln/>
                  </pic:spPr>
                </pic:pic>
              </a:graphicData>
            </a:graphic>
          </wp:inline>
        </w:drawing>
      </w:r>
    </w:p>
    <w:p w:rsidR="00D735DE" w:rsidRPr="00EF5A62" w:rsidRDefault="00883E21" w:rsidP="00EF5A62">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r w:rsidRPr="00EF5A62">
        <w:rPr>
          <w:b/>
          <w:sz w:val="20"/>
          <w:szCs w:val="20"/>
        </w:rPr>
        <w:t>Supplemental Figure S5</w:t>
      </w:r>
      <w:r w:rsidR="00EF5A62" w:rsidRPr="00EF5A62">
        <w:rPr>
          <w:b/>
          <w:sz w:val="20"/>
          <w:szCs w:val="20"/>
        </w:rPr>
        <w:t xml:space="preserve">: Validation that </w:t>
      </w:r>
      <w:r w:rsidRPr="00EF5A62">
        <w:rPr>
          <w:b/>
          <w:i/>
          <w:sz w:val="20"/>
          <w:szCs w:val="20"/>
        </w:rPr>
        <w:t>TP53</w:t>
      </w:r>
      <w:r w:rsidR="00EF5A62" w:rsidRPr="00EF5A62">
        <w:rPr>
          <w:b/>
          <w:sz w:val="20"/>
          <w:szCs w:val="20"/>
        </w:rPr>
        <w:t xml:space="preserve"> contributes to binding of TNFRSF9</w:t>
      </w:r>
      <w:r w:rsidRPr="00EF5A62">
        <w:rPr>
          <w:b/>
          <w:sz w:val="20"/>
          <w:szCs w:val="20"/>
        </w:rPr>
        <w:t xml:space="preserve"> to NCI-SNU-1 cells and repeated screen with a low-affinity ligand demonstrating the robustness of the screening parameters</w:t>
      </w:r>
      <w:r w:rsidRPr="00EF5A62">
        <w:rPr>
          <w:sz w:val="20"/>
          <w:szCs w:val="20"/>
        </w:rPr>
        <w:t xml:space="preserve">. </w:t>
      </w:r>
      <w:r w:rsidRPr="00EF5A62">
        <w:rPr>
          <w:b/>
          <w:sz w:val="20"/>
          <w:szCs w:val="20"/>
        </w:rPr>
        <w:t>a.</w:t>
      </w:r>
      <w:r w:rsidRPr="000A45DF">
        <w:rPr>
          <w:sz w:val="20"/>
          <w:szCs w:val="20"/>
        </w:rPr>
        <w:t xml:space="preserve"> T</w:t>
      </w:r>
      <w:r w:rsidRPr="00EF5A62">
        <w:rPr>
          <w:sz w:val="20"/>
          <w:szCs w:val="20"/>
        </w:rPr>
        <w:t xml:space="preserve">NFRSF9 binding to NCI-SNU-1 cells was reduced in </w:t>
      </w:r>
      <w:r w:rsidRPr="00EF5A62">
        <w:rPr>
          <w:i/>
          <w:sz w:val="20"/>
          <w:szCs w:val="20"/>
        </w:rPr>
        <w:t>TP53</w:t>
      </w:r>
      <w:r w:rsidRPr="00EF5A62">
        <w:rPr>
          <w:sz w:val="20"/>
          <w:szCs w:val="20"/>
        </w:rPr>
        <w:t>-targeted cells relative to a non-targeting control; targeted cells were maintained as polyclonal lines. Data</w:t>
      </w:r>
      <w:r w:rsidR="000A45DF">
        <w:rPr>
          <w:sz w:val="20"/>
          <w:szCs w:val="20"/>
        </w:rPr>
        <w:t xml:space="preserve"> shown</w:t>
      </w:r>
      <w:r w:rsidRPr="00EF5A62">
        <w:rPr>
          <w:sz w:val="20"/>
          <w:szCs w:val="20"/>
        </w:rPr>
        <w:t xml:space="preserve"> is </w:t>
      </w:r>
      <w:r w:rsidR="000A45DF">
        <w:rPr>
          <w:sz w:val="20"/>
          <w:szCs w:val="20"/>
        </w:rPr>
        <w:t xml:space="preserve">a </w:t>
      </w:r>
      <w:r w:rsidRPr="00EF5A62">
        <w:rPr>
          <w:sz w:val="20"/>
          <w:szCs w:val="20"/>
        </w:rPr>
        <w:t xml:space="preserve">representative </w:t>
      </w:r>
      <w:r w:rsidR="000A45DF">
        <w:rPr>
          <w:sz w:val="20"/>
          <w:szCs w:val="20"/>
        </w:rPr>
        <w:t xml:space="preserve">experiment </w:t>
      </w:r>
      <w:r w:rsidRPr="00EF5A62">
        <w:rPr>
          <w:sz w:val="20"/>
          <w:szCs w:val="20"/>
        </w:rPr>
        <w:t>of three technical replicate</w:t>
      </w:r>
      <w:r w:rsidR="000A45DF">
        <w:rPr>
          <w:sz w:val="20"/>
          <w:szCs w:val="20"/>
        </w:rPr>
        <w:t>s</w:t>
      </w:r>
      <w:r w:rsidRPr="00EF5A62">
        <w:rPr>
          <w:sz w:val="20"/>
          <w:szCs w:val="20"/>
        </w:rPr>
        <w:t xml:space="preserve">. </w:t>
      </w:r>
      <w:r w:rsidRPr="00EF5A62">
        <w:rPr>
          <w:b/>
          <w:sz w:val="20"/>
          <w:szCs w:val="20"/>
        </w:rPr>
        <w:t xml:space="preserve">b. </w:t>
      </w:r>
      <w:r w:rsidR="00EF5A62" w:rsidRPr="00EF5A62">
        <w:rPr>
          <w:sz w:val="20"/>
          <w:szCs w:val="20"/>
        </w:rPr>
        <w:t>An independent replicate</w:t>
      </w:r>
      <w:r w:rsidRPr="00EF5A62">
        <w:rPr>
          <w:sz w:val="20"/>
          <w:szCs w:val="20"/>
        </w:rPr>
        <w:t xml:space="preserve"> for </w:t>
      </w:r>
      <w:r w:rsidR="00EF5A62" w:rsidRPr="00EF5A62">
        <w:rPr>
          <w:sz w:val="20"/>
          <w:szCs w:val="20"/>
        </w:rPr>
        <w:t xml:space="preserve">a </w:t>
      </w:r>
      <w:r w:rsidRPr="00EF5A62">
        <w:rPr>
          <w:sz w:val="20"/>
          <w:szCs w:val="20"/>
        </w:rPr>
        <w:t>low affinity cell surfa</w:t>
      </w:r>
      <w:r w:rsidR="00EF5A62" w:rsidRPr="00EF5A62">
        <w:rPr>
          <w:sz w:val="20"/>
          <w:szCs w:val="20"/>
        </w:rPr>
        <w:t xml:space="preserve">ce receptor-ligand interaction </w:t>
      </w:r>
      <w:r w:rsidRPr="00EF5A62">
        <w:rPr>
          <w:sz w:val="20"/>
          <w:szCs w:val="20"/>
        </w:rPr>
        <w:t>using the TIGIT prob</w:t>
      </w:r>
      <w:r w:rsidR="00EF5A62" w:rsidRPr="00EF5A62">
        <w:rPr>
          <w:sz w:val="20"/>
          <w:szCs w:val="20"/>
        </w:rPr>
        <w:t>e again unambiguously identified</w:t>
      </w:r>
      <w:r w:rsidRPr="00EF5A62">
        <w:rPr>
          <w:sz w:val="20"/>
          <w:szCs w:val="20"/>
        </w:rPr>
        <w:t xml:space="preserve"> its receptor</w:t>
      </w:r>
      <w:r w:rsidR="00EF5A62" w:rsidRPr="00EF5A62">
        <w:rPr>
          <w:sz w:val="20"/>
          <w:szCs w:val="20"/>
        </w:rPr>
        <w:t>,</w:t>
      </w:r>
      <w:r w:rsidRPr="00EF5A62">
        <w:rPr>
          <w:sz w:val="20"/>
          <w:szCs w:val="20"/>
        </w:rPr>
        <w:t xml:space="preserve"> PVR</w:t>
      </w:r>
      <w:r w:rsidR="00EF5A62" w:rsidRPr="00EF5A62">
        <w:rPr>
          <w:sz w:val="20"/>
          <w:szCs w:val="20"/>
        </w:rPr>
        <w:t>,</w:t>
      </w:r>
      <w:r w:rsidRPr="00EF5A62">
        <w:rPr>
          <w:sz w:val="20"/>
          <w:szCs w:val="20"/>
        </w:rPr>
        <w:t xml:space="preserve"> with very high statistical confidence. </w:t>
      </w:r>
    </w:p>
    <w:p w:rsidR="00D735DE" w:rsidRPr="00EB33F0" w:rsidRDefault="00CE6D05" w:rsidP="00CE6D05">
      <w:pPr>
        <w:rPr>
          <w:b/>
          <w:sz w:val="20"/>
          <w:szCs w:val="20"/>
          <w:highlight w:val="white"/>
        </w:rPr>
      </w:pPr>
      <w:r>
        <w:rPr>
          <w:b/>
          <w:sz w:val="20"/>
          <w:szCs w:val="20"/>
          <w:highlight w:val="white"/>
        </w:rPr>
        <w:br w:type="page"/>
      </w:r>
    </w:p>
    <w:p w:rsidR="00D735DE" w:rsidRPr="00EB33F0" w:rsidRDefault="00883E21" w:rsidP="00EB33F0">
      <w:pPr>
        <w:jc w:val="center"/>
        <w:rPr>
          <w:b/>
          <w:sz w:val="20"/>
          <w:szCs w:val="20"/>
        </w:rPr>
      </w:pPr>
      <w:r>
        <w:rPr>
          <w:b/>
          <w:noProof/>
          <w:sz w:val="20"/>
          <w:szCs w:val="20"/>
          <w:lang w:val="en-GB"/>
        </w:rPr>
        <w:lastRenderedPageBreak/>
        <w:drawing>
          <wp:inline distT="114300" distB="114300" distL="114300" distR="114300" wp14:anchorId="51A834BC" wp14:editId="3CFBF48D">
            <wp:extent cx="4069322" cy="2975212"/>
            <wp:effectExtent l="0" t="0" r="762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4068750" cy="2974794"/>
                    </a:xfrm>
                    <a:prstGeom prst="rect">
                      <a:avLst/>
                    </a:prstGeom>
                    <a:ln/>
                  </pic:spPr>
                </pic:pic>
              </a:graphicData>
            </a:graphic>
          </wp:inline>
        </w:drawing>
      </w:r>
    </w:p>
    <w:p w:rsidR="00A436D8" w:rsidRDefault="00883E21" w:rsidP="00EB33F0">
      <w:pPr>
        <w:jc w:val="both"/>
        <w:rPr>
          <w:sz w:val="20"/>
          <w:szCs w:val="20"/>
          <w:highlight w:val="white"/>
        </w:rPr>
      </w:pPr>
      <w:r>
        <w:rPr>
          <w:b/>
          <w:sz w:val="20"/>
          <w:szCs w:val="20"/>
        </w:rPr>
        <w:t xml:space="preserve">Supplemental </w:t>
      </w:r>
      <w:r w:rsidRPr="00A436D8">
        <w:rPr>
          <w:b/>
          <w:sz w:val="20"/>
          <w:szCs w:val="20"/>
        </w:rPr>
        <w:t xml:space="preserve">Figure S6: </w:t>
      </w:r>
      <w:r w:rsidR="00A436D8">
        <w:rPr>
          <w:b/>
          <w:sz w:val="20"/>
          <w:szCs w:val="20"/>
        </w:rPr>
        <w:t>Membrane localiz</w:t>
      </w:r>
      <w:r w:rsidRPr="00A436D8">
        <w:rPr>
          <w:b/>
          <w:sz w:val="20"/>
          <w:szCs w:val="20"/>
        </w:rPr>
        <w:t>ation of IGF2R and GABA</w:t>
      </w:r>
      <w:r w:rsidRPr="00A436D8">
        <w:rPr>
          <w:b/>
          <w:sz w:val="20"/>
          <w:szCs w:val="20"/>
          <w:vertAlign w:val="subscript"/>
        </w:rPr>
        <w:t>B</w:t>
      </w:r>
      <w:r w:rsidR="00A436D8">
        <w:rPr>
          <w:b/>
          <w:sz w:val="20"/>
          <w:szCs w:val="20"/>
        </w:rPr>
        <w:t xml:space="preserve"> receptor complex</w:t>
      </w:r>
      <w:r w:rsidRPr="00A436D8">
        <w:rPr>
          <w:b/>
          <w:sz w:val="20"/>
          <w:szCs w:val="20"/>
        </w:rPr>
        <w:t>, validation of gRNAs targeting</w:t>
      </w:r>
      <w:r w:rsidRPr="00A436D8">
        <w:rPr>
          <w:b/>
          <w:i/>
          <w:sz w:val="20"/>
          <w:szCs w:val="20"/>
        </w:rPr>
        <w:t xml:space="preserve"> IGF2R</w:t>
      </w:r>
      <w:r w:rsidRPr="00A436D8">
        <w:rPr>
          <w:b/>
          <w:sz w:val="20"/>
          <w:szCs w:val="20"/>
        </w:rPr>
        <w:t xml:space="preserve"> and </w:t>
      </w:r>
      <w:r w:rsidRPr="00A436D8">
        <w:rPr>
          <w:b/>
          <w:i/>
          <w:sz w:val="20"/>
          <w:szCs w:val="20"/>
        </w:rPr>
        <w:t>WDR7</w:t>
      </w:r>
      <w:r w:rsidRPr="00A436D8">
        <w:rPr>
          <w:b/>
          <w:sz w:val="20"/>
          <w:szCs w:val="20"/>
        </w:rPr>
        <w:t xml:space="preserve">, and biochemical analysis of the IGF2R-GABBR2 interaction. a. </w:t>
      </w:r>
      <w:r w:rsidRPr="00A436D8">
        <w:rPr>
          <w:sz w:val="20"/>
          <w:szCs w:val="20"/>
        </w:rPr>
        <w:t>The GABA</w:t>
      </w:r>
      <w:r w:rsidRPr="00A436D8">
        <w:rPr>
          <w:sz w:val="20"/>
          <w:szCs w:val="20"/>
          <w:vertAlign w:val="subscript"/>
        </w:rPr>
        <w:t>B</w:t>
      </w:r>
      <w:r w:rsidRPr="00A436D8">
        <w:rPr>
          <w:sz w:val="20"/>
          <w:szCs w:val="20"/>
        </w:rPr>
        <w:t xml:space="preserve"> receptor complex is localized both in the plasma membrane and also in the intracellular membranous</w:t>
      </w:r>
      <w:r w:rsidRPr="00542934">
        <w:rPr>
          <w:sz w:val="20"/>
          <w:szCs w:val="20"/>
        </w:rPr>
        <w:t xml:space="preserve"> compartments</w:t>
      </w:r>
      <w:r w:rsidR="00A436D8">
        <w:rPr>
          <w:sz w:val="20"/>
          <w:szCs w:val="20"/>
        </w:rPr>
        <w:t xml:space="preserve"> of the SK-N-SH neuronal cell line. IGF2R is mainly localiz</w:t>
      </w:r>
      <w:r w:rsidRPr="00542934">
        <w:rPr>
          <w:sz w:val="20"/>
          <w:szCs w:val="20"/>
        </w:rPr>
        <w:t>ed in the perinuclear vesicular compartments, but distinct punctate staining is also observed on the plasma membrane. The GABA</w:t>
      </w:r>
      <w:r w:rsidRPr="00542934">
        <w:rPr>
          <w:sz w:val="20"/>
          <w:szCs w:val="20"/>
          <w:vertAlign w:val="subscript"/>
        </w:rPr>
        <w:t>B</w:t>
      </w:r>
      <w:r w:rsidR="00A436D8">
        <w:rPr>
          <w:sz w:val="20"/>
          <w:szCs w:val="20"/>
        </w:rPr>
        <w:t xml:space="preserve"> receptor complex was localiz</w:t>
      </w:r>
      <w:r w:rsidRPr="00542934">
        <w:rPr>
          <w:sz w:val="20"/>
          <w:szCs w:val="20"/>
        </w:rPr>
        <w:t>ed with mouse anti-GABBR1 (secon</w:t>
      </w:r>
      <w:r w:rsidR="00542934" w:rsidRPr="00542934">
        <w:rPr>
          <w:sz w:val="20"/>
          <w:szCs w:val="20"/>
        </w:rPr>
        <w:t>dary antibody: goat-anti mouse A</w:t>
      </w:r>
      <w:r w:rsidRPr="00542934">
        <w:rPr>
          <w:sz w:val="20"/>
          <w:szCs w:val="20"/>
        </w:rPr>
        <w:t>lexa 488, in green) and IGF2R with rabbit anti-IGF2R (secondar</w:t>
      </w:r>
      <w:r w:rsidR="00542934" w:rsidRPr="00542934">
        <w:rPr>
          <w:sz w:val="20"/>
          <w:szCs w:val="20"/>
        </w:rPr>
        <w:t>y antibody: donkey anti-rabbit A</w:t>
      </w:r>
      <w:r w:rsidRPr="00542934">
        <w:rPr>
          <w:sz w:val="20"/>
          <w:szCs w:val="20"/>
        </w:rPr>
        <w:t>lexa 647, in red). Nuclei are counterstained with DAPI (cyan). Scale bars represent 10 µm. Shown is a representative confocal microscopy image from three independent experiments.</w:t>
      </w:r>
      <w:r w:rsidRPr="00542934">
        <w:rPr>
          <w:b/>
          <w:sz w:val="20"/>
          <w:szCs w:val="20"/>
        </w:rPr>
        <w:t xml:space="preserve"> b.</w:t>
      </w:r>
      <w:r w:rsidRPr="00542934">
        <w:rPr>
          <w:sz w:val="20"/>
          <w:szCs w:val="20"/>
        </w:rPr>
        <w:t xml:space="preserve"> </w:t>
      </w:r>
      <w:r>
        <w:rPr>
          <w:sz w:val="20"/>
          <w:szCs w:val="20"/>
          <w:highlight w:val="white"/>
        </w:rPr>
        <w:t xml:space="preserve">HEK293-Cas9 cells transduced with lentiviruses encoding individual gRNAs targeting </w:t>
      </w:r>
      <w:r>
        <w:rPr>
          <w:i/>
          <w:sz w:val="20"/>
          <w:szCs w:val="20"/>
          <w:highlight w:val="white"/>
        </w:rPr>
        <w:t>IGF2R</w:t>
      </w:r>
      <w:r>
        <w:rPr>
          <w:sz w:val="20"/>
          <w:szCs w:val="20"/>
          <w:highlight w:val="white"/>
        </w:rPr>
        <w:t xml:space="preserve"> (two different gRNAs labeled (4) and (5) ) and </w:t>
      </w:r>
      <w:r>
        <w:rPr>
          <w:i/>
          <w:sz w:val="20"/>
          <w:szCs w:val="20"/>
          <w:highlight w:val="white"/>
        </w:rPr>
        <w:t>WDR7</w:t>
      </w:r>
      <w:r>
        <w:rPr>
          <w:sz w:val="20"/>
          <w:szCs w:val="20"/>
          <w:highlight w:val="white"/>
        </w:rPr>
        <w:t xml:space="preserve"> show reductions in cell surface IGF2R levels. HEK293-Cas9 cells were transduced with lentiviruses encoding the indicated gRNAs and stained </w:t>
      </w:r>
      <w:r>
        <w:rPr>
          <w:sz w:val="20"/>
          <w:szCs w:val="20"/>
        </w:rPr>
        <w:t>12</w:t>
      </w:r>
      <w:r>
        <w:rPr>
          <w:sz w:val="20"/>
          <w:szCs w:val="20"/>
          <w:highlight w:val="white"/>
        </w:rPr>
        <w:t xml:space="preserve"> days later with a mouse anti-human IGF2R mAb. Cells stained with secondary antibody alone were the negative control and WT indicates untransduced cells as a positive control. A representative of three technical replicates is shown. </w:t>
      </w:r>
      <w:r>
        <w:rPr>
          <w:b/>
          <w:sz w:val="20"/>
          <w:szCs w:val="20"/>
          <w:highlight w:val="white"/>
        </w:rPr>
        <w:t>c.</w:t>
      </w:r>
      <w:r>
        <w:rPr>
          <w:sz w:val="20"/>
          <w:szCs w:val="20"/>
          <w:highlight w:val="white"/>
        </w:rPr>
        <w:t xml:space="preserve"> Gain of GABBR2 binding in cells transfected with a cDNA encoding IGF2R. NCI-SNU-1 cells (which do not display IGF2R on their surface) were transfected with either a cDNA construct encoding the entire ectodomain of IGF2R fused to transmembrane region and an intracellular eGFP or a control TM-GFP tagged receptor and tested for their ability to bind a fluorescently labelled GABBR2 binding probe; only the IGF2R-GFP positive cells and not the GFP negative or control-TM-GFP bound GABBR2. </w:t>
      </w:r>
      <w:r>
        <w:rPr>
          <w:b/>
          <w:sz w:val="20"/>
          <w:szCs w:val="20"/>
          <w:highlight w:val="white"/>
        </w:rPr>
        <w:t>d</w:t>
      </w:r>
      <w:r>
        <w:rPr>
          <w:sz w:val="20"/>
          <w:szCs w:val="20"/>
          <w:highlight w:val="white"/>
        </w:rPr>
        <w:t xml:space="preserve">. Treating GABBR2 with PNGaseF ablates the interaction with IGF2R. Left panel: The purified ectodomain of GABBR2-Cd4d3+4-bio was treated with PNGaseF for the indicated times at 37 ºC before aliquots were taken, resolved by SDS-PAGE </w:t>
      </w:r>
      <w:r>
        <w:rPr>
          <w:sz w:val="20"/>
          <w:szCs w:val="20"/>
        </w:rPr>
        <w:t xml:space="preserve">under reducing conditions </w:t>
      </w:r>
      <w:r>
        <w:rPr>
          <w:sz w:val="20"/>
          <w:szCs w:val="20"/>
          <w:highlight w:val="white"/>
        </w:rPr>
        <w:t xml:space="preserve">and stained with Coomassie Blue. No further reductions in molecular mass due to PNGaseF treatment occurred after eight hours incubation suggesting the vast majority of glycans had been removed from the protein. Right panel: The indicated biotinylated bait proteins were immobilised on a streptavidin-coated microtitre plate and probed for interactions with the beta-lactamase-tagged prey proteins. Prey binding was quantified by measuring the absorbance of the hydrolysis products of nitrocefin - a beta-lactamase substrate - at 485 nm. The known interaction between Cd200-Cd200R was used as the positive control in the assay. Negative control (-) was prey capture by a biotinylated Cd4d3+4 tag only control and positive control (+) was total capture of all preys with an anti-prey antibody. </w:t>
      </w:r>
      <w:r>
        <w:rPr>
          <w:sz w:val="20"/>
          <w:szCs w:val="20"/>
        </w:rPr>
        <w:t>Bars represent means ± s</w:t>
      </w:r>
      <w:r w:rsidR="00BE6E67">
        <w:rPr>
          <w:sz w:val="20"/>
          <w:szCs w:val="20"/>
        </w:rPr>
        <w:t>.</w:t>
      </w:r>
      <w:r>
        <w:rPr>
          <w:sz w:val="20"/>
          <w:szCs w:val="20"/>
        </w:rPr>
        <w:t>e</w:t>
      </w:r>
      <w:r w:rsidR="00BE6E67">
        <w:rPr>
          <w:sz w:val="20"/>
          <w:szCs w:val="20"/>
        </w:rPr>
        <w:t>.</w:t>
      </w:r>
      <w:r>
        <w:rPr>
          <w:sz w:val="20"/>
          <w:szCs w:val="20"/>
        </w:rPr>
        <w:t>m</w:t>
      </w:r>
      <w:r w:rsidR="00BE6E67">
        <w:rPr>
          <w:sz w:val="20"/>
          <w:szCs w:val="20"/>
        </w:rPr>
        <w:t>.</w:t>
      </w:r>
      <w:r>
        <w:rPr>
          <w:sz w:val="20"/>
          <w:szCs w:val="20"/>
        </w:rPr>
        <w:t xml:space="preserve">, </w:t>
      </w:r>
      <w:r w:rsidRPr="00BE6E67">
        <w:rPr>
          <w:i/>
          <w:sz w:val="20"/>
          <w:szCs w:val="20"/>
        </w:rPr>
        <w:t>n</w:t>
      </w:r>
      <w:r w:rsidR="00BE6E67">
        <w:rPr>
          <w:sz w:val="20"/>
          <w:szCs w:val="20"/>
        </w:rPr>
        <w:t xml:space="preserve"> </w:t>
      </w:r>
      <w:r>
        <w:rPr>
          <w:sz w:val="20"/>
          <w:szCs w:val="20"/>
        </w:rPr>
        <w:t>=</w:t>
      </w:r>
      <w:r w:rsidR="00BE6E67">
        <w:rPr>
          <w:sz w:val="20"/>
          <w:szCs w:val="20"/>
        </w:rPr>
        <w:t xml:space="preserve"> </w:t>
      </w:r>
      <w:r>
        <w:rPr>
          <w:sz w:val="20"/>
          <w:szCs w:val="20"/>
        </w:rPr>
        <w:t xml:space="preserve">3. In </w:t>
      </w:r>
      <w:r>
        <w:rPr>
          <w:b/>
          <w:sz w:val="20"/>
          <w:szCs w:val="20"/>
        </w:rPr>
        <w:t>a</w:t>
      </w:r>
      <w:r>
        <w:rPr>
          <w:sz w:val="20"/>
          <w:szCs w:val="20"/>
        </w:rPr>
        <w:t xml:space="preserve"> and </w:t>
      </w:r>
      <w:r>
        <w:rPr>
          <w:b/>
          <w:sz w:val="20"/>
          <w:szCs w:val="20"/>
        </w:rPr>
        <w:t>b</w:t>
      </w:r>
      <w:r>
        <w:rPr>
          <w:sz w:val="20"/>
          <w:szCs w:val="20"/>
        </w:rPr>
        <w:t xml:space="preserve"> </w:t>
      </w:r>
      <w:r>
        <w:rPr>
          <w:sz w:val="20"/>
          <w:szCs w:val="20"/>
          <w:highlight w:val="white"/>
        </w:rPr>
        <w:t>data is representative of three technical replicates.</w:t>
      </w:r>
      <w:r w:rsidR="00A436D8">
        <w:rPr>
          <w:sz w:val="20"/>
          <w:szCs w:val="20"/>
          <w:highlight w:val="white"/>
        </w:rPr>
        <w:br w:type="page"/>
      </w:r>
    </w:p>
    <w:p w:rsidR="00A436D8" w:rsidRDefault="00A436D8">
      <w:pPr>
        <w:rPr>
          <w:sz w:val="20"/>
          <w:szCs w:val="20"/>
          <w:highlight w:val="white"/>
        </w:rPr>
      </w:pPr>
    </w:p>
    <w:p w:rsidR="00D735DE" w:rsidRDefault="00883E21">
      <w:pPr>
        <w:rPr>
          <w:sz w:val="20"/>
          <w:szCs w:val="20"/>
          <w:highlight w:val="white"/>
        </w:rPr>
      </w:pPr>
      <w:r>
        <w:rPr>
          <w:noProof/>
          <w:sz w:val="20"/>
          <w:szCs w:val="20"/>
          <w:highlight w:val="white"/>
          <w:lang w:val="en-GB"/>
        </w:rPr>
        <w:drawing>
          <wp:inline distT="114300" distB="114300" distL="114300" distR="114300">
            <wp:extent cx="5943600" cy="41529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943600" cy="4152900"/>
                    </a:xfrm>
                    <a:prstGeom prst="rect">
                      <a:avLst/>
                    </a:prstGeom>
                    <a:ln/>
                  </pic:spPr>
                </pic:pic>
              </a:graphicData>
            </a:graphic>
          </wp:inline>
        </w:drawing>
      </w:r>
    </w:p>
    <w:p w:rsidR="007C7921" w:rsidRDefault="007C7921">
      <w:pPr>
        <w:pBdr>
          <w:top w:val="none" w:sz="0" w:space="0" w:color="auto"/>
          <w:left w:val="none" w:sz="0" w:space="0" w:color="auto"/>
          <w:bottom w:val="none" w:sz="0" w:space="0" w:color="auto"/>
          <w:right w:val="none" w:sz="0" w:space="0" w:color="auto"/>
          <w:between w:val="none" w:sz="0" w:space="0" w:color="auto"/>
        </w:pBdr>
        <w:spacing w:line="240" w:lineRule="auto"/>
        <w:rPr>
          <w:b/>
          <w:sz w:val="20"/>
          <w:szCs w:val="20"/>
          <w:highlight w:val="yellow"/>
        </w:rPr>
      </w:pPr>
    </w:p>
    <w:p w:rsidR="00D735DE" w:rsidRDefault="00883E21" w:rsidP="00EB33F0">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r w:rsidRPr="007C7921">
        <w:rPr>
          <w:b/>
          <w:sz w:val="20"/>
          <w:szCs w:val="20"/>
        </w:rPr>
        <w:t xml:space="preserve">Supplemental Figure S7: Cell-based functional assay in parental and </w:t>
      </w:r>
      <w:r w:rsidRPr="007C7921">
        <w:rPr>
          <w:b/>
          <w:i/>
          <w:sz w:val="20"/>
          <w:szCs w:val="20"/>
        </w:rPr>
        <w:t>IGF2R</w:t>
      </w:r>
      <w:r w:rsidRPr="007C7921">
        <w:rPr>
          <w:b/>
          <w:sz w:val="20"/>
          <w:szCs w:val="20"/>
        </w:rPr>
        <w:t>-KO HEK293 cells d</w:t>
      </w:r>
      <w:r w:rsidR="007C7921" w:rsidRPr="007C7921">
        <w:rPr>
          <w:b/>
          <w:sz w:val="20"/>
          <w:szCs w:val="20"/>
        </w:rPr>
        <w:t>emonstrate that IGF2R internaliz</w:t>
      </w:r>
      <w:r w:rsidRPr="007C7921">
        <w:rPr>
          <w:b/>
          <w:sz w:val="20"/>
          <w:szCs w:val="20"/>
        </w:rPr>
        <w:t>es GABA</w:t>
      </w:r>
      <w:r w:rsidRPr="007C7921">
        <w:rPr>
          <w:b/>
          <w:sz w:val="20"/>
          <w:szCs w:val="20"/>
          <w:vertAlign w:val="subscript"/>
        </w:rPr>
        <w:t>B</w:t>
      </w:r>
      <w:r w:rsidR="007C7921" w:rsidRPr="007C7921">
        <w:rPr>
          <w:b/>
          <w:sz w:val="20"/>
          <w:szCs w:val="20"/>
        </w:rPr>
        <w:t xml:space="preserve"> receptor complex in a</w:t>
      </w:r>
      <w:r w:rsidRPr="007C7921">
        <w:rPr>
          <w:b/>
          <w:sz w:val="20"/>
          <w:szCs w:val="20"/>
        </w:rPr>
        <w:t xml:space="preserve"> clathrin dependent manner. a. </w:t>
      </w:r>
      <w:r w:rsidRPr="007C7921">
        <w:rPr>
          <w:sz w:val="20"/>
          <w:szCs w:val="20"/>
        </w:rPr>
        <w:t xml:space="preserve">Clonal line generated by targeting </w:t>
      </w:r>
      <w:r w:rsidRPr="007C7921">
        <w:rPr>
          <w:i/>
          <w:sz w:val="20"/>
          <w:szCs w:val="20"/>
        </w:rPr>
        <w:t>IGF2R</w:t>
      </w:r>
      <w:r w:rsidRPr="007C7921">
        <w:rPr>
          <w:sz w:val="20"/>
          <w:szCs w:val="20"/>
        </w:rPr>
        <w:t xml:space="preserve"> showed a complete absence of IGF2R from the surface of HEK293 cells. The cell surface expression level of an unrelated protein, CD59, was not significantly changed by knocking out IGF2R.</w:t>
      </w:r>
      <w:r w:rsidRPr="000A45DF">
        <w:rPr>
          <w:sz w:val="20"/>
          <w:szCs w:val="20"/>
        </w:rPr>
        <w:t xml:space="preserve"> </w:t>
      </w:r>
      <w:r w:rsidRPr="007C7921">
        <w:rPr>
          <w:b/>
          <w:sz w:val="20"/>
          <w:szCs w:val="20"/>
        </w:rPr>
        <w:t xml:space="preserve">b. </w:t>
      </w:r>
      <w:r w:rsidRPr="007C7921">
        <w:rPr>
          <w:sz w:val="20"/>
          <w:szCs w:val="20"/>
        </w:rPr>
        <w:t xml:space="preserve">Examples of </w:t>
      </w:r>
      <w:r w:rsidR="007C7921" w:rsidRPr="007C7921">
        <w:rPr>
          <w:sz w:val="20"/>
          <w:szCs w:val="20"/>
        </w:rPr>
        <w:t xml:space="preserve">the </w:t>
      </w:r>
      <w:r w:rsidRPr="007C7921">
        <w:rPr>
          <w:sz w:val="20"/>
          <w:szCs w:val="20"/>
        </w:rPr>
        <w:t xml:space="preserve">raw </w:t>
      </w:r>
      <w:r w:rsidR="007C7921" w:rsidRPr="007C7921">
        <w:rPr>
          <w:sz w:val="20"/>
          <w:szCs w:val="20"/>
        </w:rPr>
        <w:t>FACS data used to assess the functional interaction of the GABA</w:t>
      </w:r>
      <w:r w:rsidR="007C7921" w:rsidRPr="000A45DF">
        <w:rPr>
          <w:sz w:val="20"/>
          <w:szCs w:val="20"/>
          <w:vertAlign w:val="subscript"/>
        </w:rPr>
        <w:t>B</w:t>
      </w:r>
      <w:r w:rsidR="007C7921" w:rsidRPr="007C7921">
        <w:rPr>
          <w:sz w:val="20"/>
          <w:szCs w:val="20"/>
        </w:rPr>
        <w:t xml:space="preserve"> receptor complex with IGF2R. </w:t>
      </w:r>
      <w:r w:rsidRPr="007C7921">
        <w:rPr>
          <w:sz w:val="20"/>
          <w:szCs w:val="20"/>
        </w:rPr>
        <w:t>Flow cytometry plots quantifying the level of GABA</w:t>
      </w:r>
      <w:r w:rsidRPr="007C7921">
        <w:rPr>
          <w:sz w:val="20"/>
          <w:szCs w:val="20"/>
          <w:vertAlign w:val="subscript"/>
        </w:rPr>
        <w:t>B</w:t>
      </w:r>
      <w:r w:rsidR="000A45DF">
        <w:rPr>
          <w:sz w:val="20"/>
          <w:szCs w:val="20"/>
        </w:rPr>
        <w:t xml:space="preserve"> receptor complex </w:t>
      </w:r>
      <w:r w:rsidRPr="007C7921">
        <w:rPr>
          <w:sz w:val="20"/>
          <w:szCs w:val="20"/>
        </w:rPr>
        <w:t xml:space="preserve">on the surface </w:t>
      </w:r>
      <w:r w:rsidR="000A45DF">
        <w:rPr>
          <w:sz w:val="20"/>
          <w:szCs w:val="20"/>
        </w:rPr>
        <w:t xml:space="preserve">of </w:t>
      </w:r>
      <w:r w:rsidRPr="007C7921">
        <w:rPr>
          <w:sz w:val="20"/>
          <w:szCs w:val="20"/>
        </w:rPr>
        <w:t>parental HEK293-Cas9 cells (top left) compared to the IGF2R-deficient cells (top right); the gated regions are shown and were selected using a negative staining control. Transfection of parental HEK293-Cas9 cells (bottom left) and IGF2R-deficient cells (bottom right) with a control receptor fused to GFP shows that both cell lines were transfected with equal efficiency.</w:t>
      </w:r>
      <w:r w:rsidR="000A45DF" w:rsidRPr="000A45DF">
        <w:rPr>
          <w:sz w:val="20"/>
          <w:szCs w:val="20"/>
        </w:rPr>
        <w:t xml:space="preserve"> </w:t>
      </w:r>
      <w:r w:rsidR="000A45DF">
        <w:rPr>
          <w:b/>
          <w:sz w:val="20"/>
          <w:szCs w:val="20"/>
        </w:rPr>
        <w:t>c.</w:t>
      </w:r>
      <w:r w:rsidRPr="007C7921">
        <w:rPr>
          <w:sz w:val="20"/>
          <w:szCs w:val="20"/>
        </w:rPr>
        <w:t xml:space="preserve"> Example</w:t>
      </w:r>
      <w:r w:rsidR="000A45DF">
        <w:rPr>
          <w:sz w:val="20"/>
          <w:szCs w:val="20"/>
        </w:rPr>
        <w:t>s of raw FACS data analysed in F</w:t>
      </w:r>
      <w:r w:rsidRPr="007C7921">
        <w:rPr>
          <w:sz w:val="20"/>
          <w:szCs w:val="20"/>
        </w:rPr>
        <w:t>igure 5c. Flow cytometry plots quantifying the level of GABA</w:t>
      </w:r>
      <w:r w:rsidRPr="007C7921">
        <w:rPr>
          <w:sz w:val="20"/>
          <w:szCs w:val="20"/>
          <w:vertAlign w:val="subscript"/>
        </w:rPr>
        <w:t>B</w:t>
      </w:r>
      <w:r w:rsidRPr="007C7921">
        <w:rPr>
          <w:sz w:val="20"/>
          <w:szCs w:val="20"/>
        </w:rPr>
        <w:t xml:space="preserve"> receptor complex on the surface parental HEK293-Cas9 cells (top left) compared to the IGF2R-deficient cells (top right); the gated regions are shown and were selected using a negative staining control. Bottom panel depicts the surface level expression of GABA</w:t>
      </w:r>
      <w:r w:rsidRPr="007C7921">
        <w:rPr>
          <w:sz w:val="20"/>
          <w:szCs w:val="20"/>
          <w:vertAlign w:val="subscript"/>
        </w:rPr>
        <w:t>B</w:t>
      </w:r>
      <w:r w:rsidRPr="007C7921">
        <w:rPr>
          <w:sz w:val="20"/>
          <w:szCs w:val="20"/>
        </w:rPr>
        <w:t xml:space="preserve"> receptor complex in parental (left) and</w:t>
      </w:r>
      <w:r w:rsidRPr="007C7921">
        <w:rPr>
          <w:i/>
          <w:sz w:val="20"/>
          <w:szCs w:val="20"/>
        </w:rPr>
        <w:t xml:space="preserve"> IGF2R</w:t>
      </w:r>
      <w:r w:rsidRPr="007C7921">
        <w:rPr>
          <w:sz w:val="20"/>
          <w:szCs w:val="20"/>
        </w:rPr>
        <w:t xml:space="preserve">-KO (right) cells upon treatment with sucrose. </w:t>
      </w:r>
    </w:p>
    <w:p w:rsidR="00E36244" w:rsidRDefault="00E36244" w:rsidP="00EB33F0">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E36244" w:rsidRDefault="00E36244" w:rsidP="00EB33F0">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E36244" w:rsidRDefault="00E36244" w:rsidP="00EB33F0">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E36244" w:rsidRDefault="00E36244" w:rsidP="00EB33F0">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E36244" w:rsidRDefault="00E36244" w:rsidP="00EB33F0">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E36244" w:rsidRDefault="00E36244" w:rsidP="00EB33F0">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E36244" w:rsidRDefault="00E36244" w:rsidP="00EB33F0">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E36244" w:rsidRDefault="00E36244" w:rsidP="00EB33F0">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E36244" w:rsidRDefault="00E36244" w:rsidP="00EB33F0">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E36244" w:rsidRDefault="00E36244" w:rsidP="00EB33F0">
      <w:pPr>
        <w:pBdr>
          <w:top w:val="none" w:sz="0" w:space="0" w:color="auto"/>
          <w:left w:val="none" w:sz="0" w:space="0" w:color="auto"/>
          <w:bottom w:val="none" w:sz="0" w:space="0" w:color="auto"/>
          <w:right w:val="none" w:sz="0" w:space="0" w:color="auto"/>
          <w:between w:val="none" w:sz="0" w:space="0" w:color="auto"/>
        </w:pBdr>
        <w:spacing w:line="240" w:lineRule="auto"/>
        <w:jc w:val="both"/>
        <w:rPr>
          <w:sz w:val="20"/>
          <w:szCs w:val="20"/>
        </w:rPr>
      </w:pPr>
    </w:p>
    <w:p w:rsidR="00E36244" w:rsidRDefault="003C7D7C" w:rsidP="004E6855">
      <w:pPr>
        <w:jc w:val="center"/>
        <w:rPr>
          <w:b/>
          <w:sz w:val="20"/>
          <w:szCs w:val="20"/>
        </w:rPr>
      </w:pPr>
      <w:r>
        <w:rPr>
          <w:b/>
          <w:noProof/>
          <w:sz w:val="20"/>
          <w:szCs w:val="20"/>
          <w:lang w:val="en-GB"/>
        </w:rPr>
        <w:lastRenderedPageBreak/>
        <w:drawing>
          <wp:inline distT="0" distB="0" distL="0" distR="0" wp14:anchorId="6A9C87D1" wp14:editId="1213527E">
            <wp:extent cx="3708400" cy="3479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BA.ps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8400" cy="3479800"/>
                    </a:xfrm>
                    <a:prstGeom prst="rect">
                      <a:avLst/>
                    </a:prstGeom>
                  </pic:spPr>
                </pic:pic>
              </a:graphicData>
            </a:graphic>
          </wp:inline>
        </w:drawing>
      </w:r>
    </w:p>
    <w:p w:rsidR="00E36244" w:rsidRDefault="00E36244" w:rsidP="00E36244">
      <w:pPr>
        <w:rPr>
          <w:b/>
          <w:sz w:val="20"/>
          <w:szCs w:val="20"/>
        </w:rPr>
      </w:pPr>
    </w:p>
    <w:p w:rsidR="00E36244" w:rsidRDefault="00E36244" w:rsidP="00E36244">
      <w:pPr>
        <w:rPr>
          <w:b/>
          <w:sz w:val="20"/>
          <w:szCs w:val="20"/>
        </w:rPr>
      </w:pPr>
    </w:p>
    <w:p w:rsidR="00E36244" w:rsidRPr="004E6855" w:rsidRDefault="00E36244" w:rsidP="004E6855">
      <w:pPr>
        <w:spacing w:line="240" w:lineRule="auto"/>
        <w:jc w:val="both"/>
        <w:rPr>
          <w:sz w:val="20"/>
          <w:szCs w:val="20"/>
        </w:rPr>
      </w:pPr>
      <w:r w:rsidRPr="004E6855">
        <w:rPr>
          <w:b/>
          <w:sz w:val="20"/>
          <w:szCs w:val="20"/>
        </w:rPr>
        <w:t xml:space="preserve">Supplemental Figure S8: </w:t>
      </w:r>
      <w:r w:rsidR="004E6855" w:rsidRPr="004E6855">
        <w:rPr>
          <w:b/>
          <w:sz w:val="20"/>
          <w:szCs w:val="20"/>
        </w:rPr>
        <w:t xml:space="preserve"> </w:t>
      </w:r>
      <w:r w:rsidRPr="004E6855">
        <w:rPr>
          <w:b/>
          <w:bCs/>
          <w:sz w:val="20"/>
          <w:szCs w:val="20"/>
        </w:rPr>
        <w:t xml:space="preserve">Addition of the agonist, GABA, has no effect on the interaction between IGF2R and the GABAB receptor complex. </w:t>
      </w:r>
      <w:r w:rsidRPr="004E6855">
        <w:rPr>
          <w:sz w:val="20"/>
          <w:szCs w:val="20"/>
        </w:rPr>
        <w:t xml:space="preserve">Parental and </w:t>
      </w:r>
      <w:r w:rsidRPr="004E6855">
        <w:rPr>
          <w:i/>
          <w:iCs/>
          <w:sz w:val="20"/>
          <w:szCs w:val="20"/>
        </w:rPr>
        <w:t>IGF2R</w:t>
      </w:r>
      <w:r w:rsidRPr="004E6855">
        <w:rPr>
          <w:sz w:val="20"/>
          <w:szCs w:val="20"/>
        </w:rPr>
        <w:t xml:space="preserve">-deficient HEK293 cells expressing the GABAB receptor complex were stimulated for an hour with GABA (100μM) before measuring the cell surface receptor levels using an anti-GABBR1 monoclonal antibody and flow cytometry. The effect of GABA on the IGF2R-GABAB-receptor complex interaction was determined by calculating the ratio of positively stained cells on the parental cell line relative to the IGF2R-deficient cells, relative to a buffer only control. Control represents transfection control. Bars represent mean ± s.d.; </w:t>
      </w:r>
      <w:r w:rsidRPr="004E6855">
        <w:rPr>
          <w:i/>
          <w:iCs/>
          <w:sz w:val="20"/>
          <w:szCs w:val="20"/>
        </w:rPr>
        <w:t xml:space="preserve">n </w:t>
      </w:r>
      <w:r w:rsidRPr="004E6855">
        <w:rPr>
          <w:sz w:val="20"/>
          <w:szCs w:val="20"/>
        </w:rPr>
        <w:t>= 3.</w:t>
      </w:r>
    </w:p>
    <w:p w:rsidR="004E6855" w:rsidRDefault="004E6855" w:rsidP="004E6855">
      <w:pPr>
        <w:rPr>
          <w:sz w:val="20"/>
          <w:szCs w:val="20"/>
        </w:rPr>
      </w:pPr>
    </w:p>
    <w:p w:rsidR="007C7921" w:rsidRDefault="007C7921">
      <w:pPr>
        <w:rPr>
          <w:sz w:val="20"/>
          <w:szCs w:val="20"/>
        </w:rPr>
      </w:pPr>
      <w:r>
        <w:rPr>
          <w:sz w:val="20"/>
          <w:szCs w:val="20"/>
        </w:rPr>
        <w:br w:type="page"/>
      </w:r>
    </w:p>
    <w:p w:rsidR="007C7921" w:rsidRDefault="007C7921" w:rsidP="007C7921">
      <w:pPr>
        <w:pBdr>
          <w:top w:val="none" w:sz="0" w:space="0" w:color="auto"/>
          <w:left w:val="none" w:sz="0" w:space="0" w:color="auto"/>
          <w:bottom w:val="none" w:sz="0" w:space="0" w:color="auto"/>
          <w:right w:val="none" w:sz="0" w:space="0" w:color="auto"/>
          <w:between w:val="none" w:sz="0" w:space="0" w:color="auto"/>
        </w:pBdr>
        <w:spacing w:line="240" w:lineRule="auto"/>
        <w:rPr>
          <w:sz w:val="20"/>
          <w:szCs w:val="20"/>
        </w:rPr>
      </w:pPr>
    </w:p>
    <w:p w:rsidR="00D735DE" w:rsidRDefault="00883E21">
      <w:pPr>
        <w:rPr>
          <w:b/>
          <w:sz w:val="20"/>
          <w:szCs w:val="20"/>
        </w:rPr>
      </w:pPr>
      <w:r>
        <w:rPr>
          <w:b/>
          <w:noProof/>
          <w:sz w:val="20"/>
          <w:szCs w:val="20"/>
          <w:lang w:val="en-GB"/>
        </w:rPr>
        <w:drawing>
          <wp:inline distT="114300" distB="114300" distL="114300" distR="114300">
            <wp:extent cx="5943600" cy="3378200"/>
            <wp:effectExtent l="0" t="0" r="0" b="0"/>
            <wp:docPr id="9" name="image18.png" descr="Thesis_library-complexity.png"/>
            <wp:cNvGraphicFramePr/>
            <a:graphic xmlns:a="http://schemas.openxmlformats.org/drawingml/2006/main">
              <a:graphicData uri="http://schemas.openxmlformats.org/drawingml/2006/picture">
                <pic:pic xmlns:pic="http://schemas.openxmlformats.org/drawingml/2006/picture">
                  <pic:nvPicPr>
                    <pic:cNvPr id="0" name="image18.png" descr="Thesis_library-complexity.png"/>
                    <pic:cNvPicPr preferRelativeResize="0"/>
                  </pic:nvPicPr>
                  <pic:blipFill>
                    <a:blip r:embed="rId14"/>
                    <a:srcRect/>
                    <a:stretch>
                      <a:fillRect/>
                    </a:stretch>
                  </pic:blipFill>
                  <pic:spPr>
                    <a:xfrm>
                      <a:off x="0" y="0"/>
                      <a:ext cx="5943600" cy="3378200"/>
                    </a:xfrm>
                    <a:prstGeom prst="rect">
                      <a:avLst/>
                    </a:prstGeom>
                    <a:ln/>
                  </pic:spPr>
                </pic:pic>
              </a:graphicData>
            </a:graphic>
          </wp:inline>
        </w:drawing>
      </w:r>
    </w:p>
    <w:p w:rsidR="00D735DE" w:rsidRDefault="00D735DE">
      <w:pPr>
        <w:rPr>
          <w:b/>
          <w:sz w:val="20"/>
          <w:szCs w:val="20"/>
        </w:rPr>
      </w:pPr>
    </w:p>
    <w:p w:rsidR="00EB33F0" w:rsidRDefault="00883E21" w:rsidP="00EB33F0">
      <w:pPr>
        <w:jc w:val="both"/>
        <w:rPr>
          <w:b/>
          <w:sz w:val="20"/>
          <w:szCs w:val="20"/>
        </w:rPr>
      </w:pPr>
      <w:r>
        <w:rPr>
          <w:b/>
          <w:sz w:val="20"/>
          <w:szCs w:val="20"/>
        </w:rPr>
        <w:t xml:space="preserve">Supplemental Figure </w:t>
      </w:r>
      <w:r w:rsidR="003C7D7C">
        <w:rPr>
          <w:b/>
          <w:sz w:val="20"/>
          <w:szCs w:val="20"/>
        </w:rPr>
        <w:t>S9</w:t>
      </w:r>
      <w:r>
        <w:rPr>
          <w:b/>
          <w:sz w:val="20"/>
          <w:szCs w:val="20"/>
        </w:rPr>
        <w:t>: Genome-scale libraries of mutant cells are reproducibly created using CRISPR-Cas9 technology and lentiviral gRNA delivery</w:t>
      </w:r>
      <w:r>
        <w:rPr>
          <w:sz w:val="20"/>
          <w:szCs w:val="20"/>
        </w:rPr>
        <w:t xml:space="preserve">. </w:t>
      </w:r>
      <w:r>
        <w:rPr>
          <w:b/>
          <w:sz w:val="20"/>
          <w:szCs w:val="20"/>
        </w:rPr>
        <w:t>a</w:t>
      </w:r>
      <w:r>
        <w:rPr>
          <w:sz w:val="20"/>
          <w:szCs w:val="20"/>
        </w:rPr>
        <w:t xml:space="preserve">. Matrix plot depicting the correlation between normalized read counts of all gRNAs in the original plasmid library and those amplified from gene knockout libraries from different cell lines and days. The correlation between the two biological replicates of NCI-SNU-1, and between any cell line on any day was higher than when compared to the original plasmid pool. </w:t>
      </w:r>
      <w:r>
        <w:rPr>
          <w:b/>
          <w:sz w:val="20"/>
          <w:szCs w:val="20"/>
        </w:rPr>
        <w:t>b</w:t>
      </w:r>
      <w:r>
        <w:rPr>
          <w:sz w:val="20"/>
          <w:szCs w:val="20"/>
        </w:rPr>
        <w:t>. Cumulative distribution function plots comparing the gRNA abundance between the plasmid library to the mutant libraries of HEK293 and NCI-SNU-1 cells on days 9, 14 and 16 days, and HEL cells on day 14 post transduction. The differences in the curves from the mutant cell populations represent the depletion in a subset of gRNAs compared to the plasmid library.</w:t>
      </w:r>
    </w:p>
    <w:p w:rsidR="00D735DE" w:rsidRDefault="00EB33F0" w:rsidP="00EB33F0">
      <w:pPr>
        <w:rPr>
          <w:b/>
          <w:sz w:val="20"/>
          <w:szCs w:val="20"/>
        </w:rPr>
      </w:pPr>
      <w:r>
        <w:rPr>
          <w:b/>
          <w:sz w:val="20"/>
          <w:szCs w:val="20"/>
        </w:rPr>
        <w:br w:type="page"/>
      </w:r>
    </w:p>
    <w:p w:rsidR="00D735DE" w:rsidRDefault="00883E21" w:rsidP="002E2182">
      <w:pPr>
        <w:pBdr>
          <w:top w:val="none" w:sz="0" w:space="0" w:color="auto"/>
          <w:left w:val="none" w:sz="0" w:space="0" w:color="auto"/>
          <w:bottom w:val="none" w:sz="0" w:space="0" w:color="auto"/>
          <w:right w:val="none" w:sz="0" w:space="0" w:color="auto"/>
          <w:between w:val="none" w:sz="0" w:space="0" w:color="auto"/>
        </w:pBdr>
        <w:spacing w:after="300"/>
        <w:ind w:left="720" w:hanging="720"/>
        <w:jc w:val="center"/>
        <w:rPr>
          <w:b/>
          <w:sz w:val="20"/>
          <w:szCs w:val="20"/>
        </w:rPr>
      </w:pPr>
      <w:r>
        <w:rPr>
          <w:b/>
          <w:noProof/>
          <w:sz w:val="20"/>
          <w:szCs w:val="20"/>
          <w:lang w:val="en-GB"/>
        </w:rPr>
        <w:lastRenderedPageBreak/>
        <w:drawing>
          <wp:inline distT="114300" distB="114300" distL="114300" distR="114300">
            <wp:extent cx="5620693" cy="3903260"/>
            <wp:effectExtent l="0" t="0" r="0" b="2540"/>
            <wp:docPr id="4" name="image13.png" descr="Essential-gene-screen.png"/>
            <wp:cNvGraphicFramePr/>
            <a:graphic xmlns:a="http://schemas.openxmlformats.org/drawingml/2006/main">
              <a:graphicData uri="http://schemas.openxmlformats.org/drawingml/2006/picture">
                <pic:pic xmlns:pic="http://schemas.openxmlformats.org/drawingml/2006/picture">
                  <pic:nvPicPr>
                    <pic:cNvPr id="0" name="image13.png" descr="Essential-gene-screen.png"/>
                    <pic:cNvPicPr preferRelativeResize="0"/>
                  </pic:nvPicPr>
                  <pic:blipFill>
                    <a:blip r:embed="rId15"/>
                    <a:srcRect/>
                    <a:stretch>
                      <a:fillRect/>
                    </a:stretch>
                  </pic:blipFill>
                  <pic:spPr>
                    <a:xfrm>
                      <a:off x="0" y="0"/>
                      <a:ext cx="5621323" cy="3903698"/>
                    </a:xfrm>
                    <a:prstGeom prst="rect">
                      <a:avLst/>
                    </a:prstGeom>
                    <a:ln/>
                  </pic:spPr>
                </pic:pic>
              </a:graphicData>
            </a:graphic>
          </wp:inline>
        </w:drawing>
      </w:r>
    </w:p>
    <w:p w:rsidR="00D735DE" w:rsidRDefault="00883E21" w:rsidP="00EB33F0">
      <w:pPr>
        <w:pBdr>
          <w:top w:val="none" w:sz="0" w:space="0" w:color="auto"/>
          <w:left w:val="none" w:sz="0" w:space="0" w:color="auto"/>
          <w:bottom w:val="none" w:sz="0" w:space="0" w:color="auto"/>
          <w:right w:val="none" w:sz="0" w:space="0" w:color="auto"/>
          <w:between w:val="none" w:sz="0" w:space="0" w:color="auto"/>
        </w:pBdr>
        <w:spacing w:after="300"/>
        <w:jc w:val="both"/>
        <w:rPr>
          <w:b/>
          <w:sz w:val="20"/>
          <w:szCs w:val="20"/>
          <w:highlight w:val="white"/>
        </w:rPr>
      </w:pPr>
      <w:r>
        <w:rPr>
          <w:b/>
          <w:sz w:val="20"/>
          <w:szCs w:val="20"/>
        </w:rPr>
        <w:t>Supplemental Figure S</w:t>
      </w:r>
      <w:r w:rsidR="003C7D7C">
        <w:rPr>
          <w:b/>
          <w:sz w:val="20"/>
          <w:szCs w:val="20"/>
        </w:rPr>
        <w:t>10</w:t>
      </w:r>
      <w:r>
        <w:rPr>
          <w:b/>
          <w:sz w:val="20"/>
          <w:szCs w:val="20"/>
        </w:rPr>
        <w:t xml:space="preserve">: gRNAs targeting genes involved in essential biological processes were depleted during culture of the mutant cell library. </w:t>
      </w:r>
      <w:r>
        <w:rPr>
          <w:sz w:val="20"/>
          <w:szCs w:val="20"/>
        </w:rPr>
        <w:t>Gene-level enrichment analysis revealed genes involved in ribosomal biosynthesis among the most significantly depleted genes in NCI-SNU-1, HEL and HEK293 cell lines on all three time-points, days 9,14 and 16. For NCI-SNU-1, representative analysis from one of the two experiments is shown.</w:t>
      </w:r>
    </w:p>
    <w:p w:rsidR="00B04AC5" w:rsidRDefault="00B04AC5">
      <w:pPr>
        <w:rPr>
          <w:b/>
          <w:sz w:val="20"/>
          <w:szCs w:val="20"/>
          <w:highlight w:val="white"/>
        </w:rPr>
      </w:pPr>
      <w:r>
        <w:rPr>
          <w:b/>
          <w:sz w:val="20"/>
          <w:szCs w:val="20"/>
          <w:highlight w:val="white"/>
        </w:rPr>
        <w:br w:type="page"/>
      </w:r>
    </w:p>
    <w:p w:rsidR="00D735DE" w:rsidRDefault="00883E21" w:rsidP="00B04AC5">
      <w:pPr>
        <w:pBdr>
          <w:top w:val="none" w:sz="0" w:space="0" w:color="auto"/>
          <w:left w:val="none" w:sz="0" w:space="0" w:color="auto"/>
          <w:bottom w:val="none" w:sz="0" w:space="0" w:color="auto"/>
          <w:right w:val="none" w:sz="0" w:space="0" w:color="auto"/>
          <w:between w:val="none" w:sz="0" w:space="0" w:color="auto"/>
        </w:pBdr>
        <w:spacing w:after="300"/>
        <w:jc w:val="both"/>
        <w:rPr>
          <w:sz w:val="20"/>
          <w:szCs w:val="20"/>
          <w:highlight w:val="yellow"/>
        </w:rPr>
      </w:pPr>
      <w:r>
        <w:rPr>
          <w:b/>
          <w:sz w:val="20"/>
          <w:szCs w:val="20"/>
          <w:highlight w:val="white"/>
        </w:rPr>
        <w:lastRenderedPageBreak/>
        <w:t>Supplemental Table S</w:t>
      </w:r>
      <w:r>
        <w:rPr>
          <w:b/>
          <w:sz w:val="20"/>
          <w:szCs w:val="20"/>
        </w:rPr>
        <w:t xml:space="preserve">1: False discovery rate (FDR) for identification of the genes encoding the known antibody target in a genome-scale screening approach. </w:t>
      </w:r>
      <w:r w:rsidR="00B04AC5">
        <w:rPr>
          <w:sz w:val="20"/>
          <w:szCs w:val="20"/>
        </w:rPr>
        <w:t>Seven</w:t>
      </w:r>
      <w:r>
        <w:rPr>
          <w:sz w:val="20"/>
          <w:szCs w:val="20"/>
        </w:rPr>
        <w:t xml:space="preserve"> screens were carried out in this study using mAbs targeting five structurally diverse cell surface receptors. These included type I (GYPA, CD58), GPI anchored (CD59), a heterodimeric (integrin ɑ2β1) and multipass membrane (CD47) receptors. In all cases, the FDR of identification of direct receptor was lower than 0.05. </w:t>
      </w:r>
    </w:p>
    <w:tbl>
      <w:tblPr>
        <w:tblStyle w:val="a"/>
        <w:tblW w:w="935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3"/>
        <w:gridCol w:w="992"/>
        <w:gridCol w:w="2127"/>
        <w:gridCol w:w="2733"/>
        <w:gridCol w:w="1661"/>
      </w:tblGrid>
      <w:tr w:rsidR="00D735DE" w:rsidTr="00B04AC5">
        <w:tc>
          <w:tcPr>
            <w:tcW w:w="1843" w:type="dxa"/>
            <w:tcBorders>
              <w:top w:val="nil"/>
              <w:left w:val="nil"/>
              <w:bottom w:val="nil"/>
              <w:right w:val="nil"/>
            </w:tcBorders>
            <w:shd w:val="clear" w:color="auto" w:fill="B7B7B7"/>
          </w:tcPr>
          <w:p w:rsidR="00D735DE" w:rsidRDefault="00883E21" w:rsidP="00B04AC5">
            <w:pPr>
              <w:pBdr>
                <w:top w:val="none" w:sz="0" w:space="0" w:color="auto"/>
                <w:left w:val="none" w:sz="0" w:space="0" w:color="auto"/>
                <w:bottom w:val="none" w:sz="0" w:space="0" w:color="auto"/>
                <w:right w:val="none" w:sz="0" w:space="0" w:color="auto"/>
                <w:between w:val="none" w:sz="0" w:space="0" w:color="auto"/>
              </w:pBdr>
              <w:spacing w:after="300" w:line="240" w:lineRule="auto"/>
              <w:jc w:val="center"/>
              <w:rPr>
                <w:b/>
                <w:sz w:val="20"/>
                <w:szCs w:val="20"/>
              </w:rPr>
            </w:pPr>
            <w:r>
              <w:rPr>
                <w:b/>
                <w:sz w:val="20"/>
                <w:szCs w:val="20"/>
              </w:rPr>
              <w:t>mAb clone name</w:t>
            </w:r>
          </w:p>
        </w:tc>
        <w:tc>
          <w:tcPr>
            <w:tcW w:w="992" w:type="dxa"/>
            <w:tcBorders>
              <w:top w:val="nil"/>
              <w:left w:val="nil"/>
              <w:bottom w:val="nil"/>
              <w:right w:val="nil"/>
            </w:tcBorders>
            <w:shd w:val="clear" w:color="auto" w:fill="B7B7B7"/>
          </w:tcPr>
          <w:p w:rsidR="00D735DE" w:rsidRDefault="00883E21" w:rsidP="00B04AC5">
            <w:pPr>
              <w:pBdr>
                <w:top w:val="none" w:sz="0" w:space="0" w:color="auto"/>
                <w:left w:val="none" w:sz="0" w:space="0" w:color="auto"/>
                <w:bottom w:val="none" w:sz="0" w:space="0" w:color="auto"/>
                <w:right w:val="none" w:sz="0" w:space="0" w:color="auto"/>
                <w:between w:val="none" w:sz="0" w:space="0" w:color="auto"/>
              </w:pBdr>
              <w:spacing w:after="300" w:line="240" w:lineRule="auto"/>
              <w:jc w:val="center"/>
              <w:rPr>
                <w:b/>
                <w:sz w:val="20"/>
                <w:szCs w:val="20"/>
              </w:rPr>
            </w:pPr>
            <w:r>
              <w:rPr>
                <w:b/>
                <w:sz w:val="20"/>
                <w:szCs w:val="20"/>
              </w:rPr>
              <w:t>Target</w:t>
            </w:r>
          </w:p>
        </w:tc>
        <w:tc>
          <w:tcPr>
            <w:tcW w:w="2127" w:type="dxa"/>
            <w:tcBorders>
              <w:top w:val="nil"/>
              <w:left w:val="nil"/>
              <w:bottom w:val="nil"/>
              <w:right w:val="nil"/>
            </w:tcBorders>
            <w:shd w:val="clear" w:color="auto" w:fill="B7B7B7"/>
          </w:tcPr>
          <w:p w:rsidR="00D735DE" w:rsidRDefault="00883E21" w:rsidP="00B04AC5">
            <w:pPr>
              <w:widowControl w:val="0"/>
              <w:spacing w:line="240" w:lineRule="auto"/>
              <w:jc w:val="center"/>
              <w:rPr>
                <w:b/>
                <w:sz w:val="20"/>
                <w:szCs w:val="20"/>
              </w:rPr>
            </w:pPr>
            <w:r>
              <w:rPr>
                <w:b/>
                <w:sz w:val="20"/>
                <w:szCs w:val="20"/>
              </w:rPr>
              <w:t>Identified receptor gene (FDR)</w:t>
            </w:r>
          </w:p>
        </w:tc>
        <w:tc>
          <w:tcPr>
            <w:tcW w:w="2733" w:type="dxa"/>
            <w:tcBorders>
              <w:top w:val="nil"/>
              <w:left w:val="nil"/>
              <w:bottom w:val="nil"/>
              <w:right w:val="nil"/>
            </w:tcBorders>
            <w:shd w:val="clear" w:color="auto" w:fill="B7B7B7"/>
          </w:tcPr>
          <w:p w:rsidR="00D735DE" w:rsidRDefault="00883E21" w:rsidP="00B04AC5">
            <w:pPr>
              <w:spacing w:line="240" w:lineRule="auto"/>
              <w:jc w:val="center"/>
              <w:rPr>
                <w:b/>
                <w:sz w:val="20"/>
                <w:szCs w:val="20"/>
              </w:rPr>
            </w:pPr>
            <w:r>
              <w:rPr>
                <w:b/>
                <w:sz w:val="20"/>
                <w:szCs w:val="20"/>
              </w:rPr>
              <w:t>Receptor structural architecture</w:t>
            </w:r>
          </w:p>
        </w:tc>
        <w:tc>
          <w:tcPr>
            <w:tcW w:w="1661" w:type="dxa"/>
            <w:tcBorders>
              <w:top w:val="nil"/>
              <w:left w:val="nil"/>
              <w:bottom w:val="nil"/>
              <w:right w:val="nil"/>
            </w:tcBorders>
            <w:shd w:val="clear" w:color="auto" w:fill="B7B7B7"/>
          </w:tcPr>
          <w:p w:rsidR="00D735DE" w:rsidRDefault="00883E21" w:rsidP="00B04AC5">
            <w:pPr>
              <w:spacing w:line="240" w:lineRule="auto"/>
              <w:jc w:val="center"/>
              <w:rPr>
                <w:b/>
                <w:sz w:val="20"/>
                <w:szCs w:val="20"/>
              </w:rPr>
            </w:pPr>
            <w:r>
              <w:rPr>
                <w:b/>
                <w:sz w:val="20"/>
                <w:szCs w:val="20"/>
              </w:rPr>
              <w:t>Antibody</w:t>
            </w:r>
          </w:p>
          <w:p w:rsidR="00D735DE" w:rsidRDefault="00883E21" w:rsidP="00B04AC5">
            <w:pPr>
              <w:spacing w:line="240" w:lineRule="auto"/>
              <w:jc w:val="center"/>
              <w:rPr>
                <w:b/>
                <w:sz w:val="20"/>
                <w:szCs w:val="20"/>
              </w:rPr>
            </w:pPr>
            <w:r>
              <w:rPr>
                <w:b/>
                <w:sz w:val="20"/>
                <w:szCs w:val="20"/>
              </w:rPr>
              <w:t>Isotype</w:t>
            </w:r>
          </w:p>
        </w:tc>
      </w:tr>
      <w:tr w:rsidR="00D735DE" w:rsidTr="00B04AC5">
        <w:trPr>
          <w:trHeight w:val="400"/>
        </w:trPr>
        <w:tc>
          <w:tcPr>
            <w:tcW w:w="1843" w:type="dxa"/>
            <w:tcBorders>
              <w:top w:val="nil"/>
              <w:left w:val="nil"/>
              <w:bottom w:val="nil"/>
              <w:right w:val="nil"/>
            </w:tcBorders>
            <w:shd w:val="clear" w:color="auto" w:fill="FFFFF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jc w:val="center"/>
              <w:rPr>
                <w:sz w:val="18"/>
                <w:szCs w:val="18"/>
              </w:rPr>
            </w:pPr>
            <w:r>
              <w:rPr>
                <w:sz w:val="18"/>
                <w:szCs w:val="18"/>
              </w:rPr>
              <w:t>BRIC229</w:t>
            </w:r>
          </w:p>
        </w:tc>
        <w:tc>
          <w:tcPr>
            <w:tcW w:w="992" w:type="dxa"/>
            <w:tcBorders>
              <w:top w:val="nil"/>
              <w:left w:val="nil"/>
              <w:bottom w:val="nil"/>
              <w:right w:val="nil"/>
            </w:tcBorders>
            <w:shd w:val="clear" w:color="auto" w:fill="FFFFF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rPr>
                <w:sz w:val="18"/>
                <w:szCs w:val="18"/>
              </w:rPr>
            </w:pPr>
            <w:r>
              <w:rPr>
                <w:sz w:val="18"/>
                <w:szCs w:val="18"/>
              </w:rPr>
              <w:t>CD59</w:t>
            </w:r>
          </w:p>
        </w:tc>
        <w:tc>
          <w:tcPr>
            <w:tcW w:w="2127" w:type="dxa"/>
            <w:tcBorders>
              <w:top w:val="nil"/>
              <w:left w:val="nil"/>
              <w:bottom w:val="nil"/>
              <w:right w:val="nil"/>
            </w:tcBorders>
            <w:shd w:val="clear" w:color="auto" w:fill="FFFFF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rPr>
                <w:sz w:val="18"/>
                <w:szCs w:val="18"/>
              </w:rPr>
            </w:pPr>
            <w:r>
              <w:rPr>
                <w:i/>
                <w:sz w:val="18"/>
                <w:szCs w:val="18"/>
              </w:rPr>
              <w:t>CD59</w:t>
            </w:r>
            <w:r>
              <w:rPr>
                <w:sz w:val="18"/>
                <w:szCs w:val="18"/>
              </w:rPr>
              <w:t xml:space="preserve"> (0.0002)</w:t>
            </w:r>
          </w:p>
        </w:tc>
        <w:tc>
          <w:tcPr>
            <w:tcW w:w="2733" w:type="dxa"/>
            <w:tcBorders>
              <w:top w:val="nil"/>
              <w:left w:val="nil"/>
              <w:bottom w:val="nil"/>
              <w:right w:val="nil"/>
            </w:tcBorders>
            <w:shd w:val="clear" w:color="auto" w:fill="FFFFF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rPr>
                <w:sz w:val="18"/>
                <w:szCs w:val="18"/>
              </w:rPr>
            </w:pPr>
            <w:r>
              <w:rPr>
                <w:sz w:val="18"/>
                <w:szCs w:val="18"/>
              </w:rPr>
              <w:t>GPI anchor</w:t>
            </w:r>
          </w:p>
        </w:tc>
        <w:tc>
          <w:tcPr>
            <w:tcW w:w="1661" w:type="dxa"/>
            <w:tcBorders>
              <w:top w:val="nil"/>
              <w:left w:val="nil"/>
              <w:bottom w:val="nil"/>
              <w:right w:val="nil"/>
            </w:tcBorders>
            <w:shd w:val="clear" w:color="auto" w:fill="FFFFF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rPr>
                <w:sz w:val="18"/>
                <w:szCs w:val="18"/>
              </w:rPr>
            </w:pPr>
            <w:r>
              <w:rPr>
                <w:sz w:val="18"/>
                <w:szCs w:val="18"/>
              </w:rPr>
              <w:t>Mouse IgG2b</w:t>
            </w:r>
          </w:p>
        </w:tc>
      </w:tr>
      <w:tr w:rsidR="00D735DE" w:rsidTr="00B04AC5">
        <w:trPr>
          <w:trHeight w:val="400"/>
        </w:trPr>
        <w:tc>
          <w:tcPr>
            <w:tcW w:w="1843" w:type="dxa"/>
            <w:tcBorders>
              <w:top w:val="nil"/>
              <w:left w:val="nil"/>
              <w:bottom w:val="nil"/>
              <w:right w:val="nil"/>
            </w:tcBorders>
            <w:shd w:val="clear" w:color="auto" w:fill="FFFFFF"/>
          </w:tcPr>
          <w:p w:rsidR="00D735DE" w:rsidRDefault="00B04AC5">
            <w:pPr>
              <w:pBdr>
                <w:top w:val="none" w:sz="0" w:space="0" w:color="auto"/>
                <w:left w:val="none" w:sz="0" w:space="0" w:color="auto"/>
                <w:bottom w:val="none" w:sz="0" w:space="0" w:color="auto"/>
                <w:right w:val="none" w:sz="0" w:space="0" w:color="auto"/>
                <w:between w:val="none" w:sz="0" w:space="0" w:color="auto"/>
              </w:pBdr>
              <w:spacing w:after="300" w:line="240" w:lineRule="auto"/>
              <w:jc w:val="center"/>
              <w:rPr>
                <w:sz w:val="18"/>
                <w:szCs w:val="18"/>
              </w:rPr>
            </w:pPr>
            <w:r>
              <w:rPr>
                <w:sz w:val="18"/>
                <w:szCs w:val="18"/>
              </w:rPr>
              <w:t>BRIC229 (repeat</w:t>
            </w:r>
            <w:r w:rsidR="00883E21">
              <w:rPr>
                <w:sz w:val="18"/>
                <w:szCs w:val="18"/>
              </w:rPr>
              <w:t>)</w:t>
            </w:r>
          </w:p>
        </w:tc>
        <w:tc>
          <w:tcPr>
            <w:tcW w:w="992" w:type="dxa"/>
            <w:tcBorders>
              <w:top w:val="nil"/>
              <w:left w:val="nil"/>
              <w:bottom w:val="nil"/>
              <w:right w:val="nil"/>
            </w:tcBorders>
            <w:shd w:val="clear" w:color="auto" w:fill="FFFFF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rPr>
                <w:sz w:val="18"/>
                <w:szCs w:val="18"/>
              </w:rPr>
            </w:pPr>
            <w:r>
              <w:rPr>
                <w:sz w:val="18"/>
                <w:szCs w:val="18"/>
              </w:rPr>
              <w:t>CD59</w:t>
            </w:r>
          </w:p>
        </w:tc>
        <w:tc>
          <w:tcPr>
            <w:tcW w:w="2127" w:type="dxa"/>
            <w:tcBorders>
              <w:top w:val="nil"/>
              <w:left w:val="nil"/>
              <w:bottom w:val="nil"/>
              <w:right w:val="nil"/>
            </w:tcBorders>
            <w:shd w:val="clear" w:color="auto" w:fill="FFFFF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rPr>
                <w:i/>
                <w:sz w:val="18"/>
                <w:szCs w:val="18"/>
              </w:rPr>
            </w:pPr>
            <w:r>
              <w:rPr>
                <w:i/>
                <w:sz w:val="18"/>
                <w:szCs w:val="18"/>
              </w:rPr>
              <w:t>CD59 (</w:t>
            </w:r>
            <w:r>
              <w:rPr>
                <w:sz w:val="18"/>
                <w:szCs w:val="18"/>
              </w:rPr>
              <w:t>0.00035)</w:t>
            </w:r>
          </w:p>
        </w:tc>
        <w:tc>
          <w:tcPr>
            <w:tcW w:w="2733" w:type="dxa"/>
            <w:tcBorders>
              <w:top w:val="nil"/>
              <w:left w:val="nil"/>
              <w:bottom w:val="nil"/>
              <w:right w:val="nil"/>
            </w:tcBorders>
            <w:shd w:val="clear" w:color="auto" w:fill="FFFFF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rPr>
                <w:sz w:val="18"/>
                <w:szCs w:val="18"/>
              </w:rPr>
            </w:pPr>
            <w:r>
              <w:rPr>
                <w:sz w:val="18"/>
                <w:szCs w:val="18"/>
              </w:rPr>
              <w:t>GPI anchor</w:t>
            </w:r>
          </w:p>
        </w:tc>
        <w:tc>
          <w:tcPr>
            <w:tcW w:w="1661" w:type="dxa"/>
            <w:tcBorders>
              <w:top w:val="nil"/>
              <w:left w:val="nil"/>
              <w:bottom w:val="nil"/>
              <w:right w:val="nil"/>
            </w:tcBorders>
            <w:shd w:val="clear" w:color="auto" w:fill="FFFFF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rPr>
                <w:sz w:val="18"/>
                <w:szCs w:val="18"/>
              </w:rPr>
            </w:pPr>
            <w:r>
              <w:rPr>
                <w:sz w:val="18"/>
                <w:szCs w:val="18"/>
              </w:rPr>
              <w:t>Mouse IgG2b</w:t>
            </w:r>
          </w:p>
        </w:tc>
      </w:tr>
      <w:tr w:rsidR="00D735DE" w:rsidTr="00B04AC5">
        <w:trPr>
          <w:trHeight w:val="440"/>
        </w:trPr>
        <w:tc>
          <w:tcPr>
            <w:tcW w:w="1843" w:type="dxa"/>
            <w:tcBorders>
              <w:top w:val="nil"/>
              <w:left w:val="nil"/>
              <w:bottom w:val="nil"/>
              <w:right w:val="nil"/>
            </w:tcBorders>
            <w:shd w:val="clear" w:color="auto" w:fill="EFEFE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jc w:val="center"/>
              <w:rPr>
                <w:sz w:val="18"/>
                <w:szCs w:val="18"/>
              </w:rPr>
            </w:pPr>
            <w:r>
              <w:rPr>
                <w:sz w:val="18"/>
                <w:szCs w:val="18"/>
              </w:rPr>
              <w:t>BRIC126</w:t>
            </w:r>
          </w:p>
        </w:tc>
        <w:tc>
          <w:tcPr>
            <w:tcW w:w="992" w:type="dxa"/>
            <w:vMerge w:val="restart"/>
            <w:tcBorders>
              <w:top w:val="nil"/>
              <w:left w:val="nil"/>
              <w:bottom w:val="nil"/>
              <w:right w:val="nil"/>
            </w:tcBorders>
            <w:shd w:val="clear" w:color="auto" w:fill="EFEFEF"/>
          </w:tcPr>
          <w:p w:rsidR="00D735DE" w:rsidRDefault="00D735DE">
            <w:pPr>
              <w:pBdr>
                <w:top w:val="none" w:sz="0" w:space="0" w:color="auto"/>
                <w:left w:val="none" w:sz="0" w:space="0" w:color="auto"/>
                <w:bottom w:val="none" w:sz="0" w:space="0" w:color="auto"/>
                <w:right w:val="none" w:sz="0" w:space="0" w:color="auto"/>
                <w:between w:val="none" w:sz="0" w:space="0" w:color="auto"/>
              </w:pBdr>
              <w:spacing w:after="300" w:line="240" w:lineRule="auto"/>
              <w:rPr>
                <w:sz w:val="18"/>
                <w:szCs w:val="18"/>
              </w:rPr>
            </w:pPr>
          </w:p>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rPr>
                <w:sz w:val="18"/>
                <w:szCs w:val="18"/>
              </w:rPr>
            </w:pPr>
            <w:r>
              <w:rPr>
                <w:sz w:val="18"/>
                <w:szCs w:val="18"/>
              </w:rPr>
              <w:t>CD47</w:t>
            </w:r>
          </w:p>
        </w:tc>
        <w:tc>
          <w:tcPr>
            <w:tcW w:w="2127" w:type="dxa"/>
            <w:tcBorders>
              <w:top w:val="nil"/>
              <w:left w:val="nil"/>
              <w:bottom w:val="nil"/>
              <w:right w:val="nil"/>
            </w:tcBorders>
            <w:shd w:val="clear" w:color="auto" w:fill="EFEFE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rPr>
                <w:sz w:val="18"/>
                <w:szCs w:val="18"/>
              </w:rPr>
            </w:pPr>
            <w:r>
              <w:rPr>
                <w:i/>
                <w:sz w:val="18"/>
                <w:szCs w:val="18"/>
              </w:rPr>
              <w:t xml:space="preserve">CD47 </w:t>
            </w:r>
            <w:r>
              <w:rPr>
                <w:sz w:val="18"/>
                <w:szCs w:val="18"/>
              </w:rPr>
              <w:t>(0.004)</w:t>
            </w:r>
          </w:p>
        </w:tc>
        <w:tc>
          <w:tcPr>
            <w:tcW w:w="2733" w:type="dxa"/>
            <w:vMerge w:val="restart"/>
            <w:tcBorders>
              <w:top w:val="nil"/>
              <w:left w:val="nil"/>
              <w:bottom w:val="nil"/>
              <w:right w:val="nil"/>
            </w:tcBorders>
            <w:shd w:val="clear" w:color="auto" w:fill="EFEFEF"/>
          </w:tcPr>
          <w:p w:rsidR="00D735DE" w:rsidRDefault="00D735DE">
            <w:pPr>
              <w:spacing w:line="240" w:lineRule="auto"/>
              <w:rPr>
                <w:sz w:val="18"/>
                <w:szCs w:val="18"/>
              </w:rPr>
            </w:pPr>
          </w:p>
          <w:p w:rsidR="00D735DE" w:rsidRDefault="00D735DE">
            <w:pPr>
              <w:spacing w:line="240" w:lineRule="auto"/>
              <w:rPr>
                <w:sz w:val="18"/>
                <w:szCs w:val="18"/>
              </w:rPr>
            </w:pPr>
          </w:p>
          <w:p w:rsidR="00D735DE" w:rsidRDefault="00883E21">
            <w:pPr>
              <w:spacing w:line="240" w:lineRule="auto"/>
              <w:rPr>
                <w:sz w:val="18"/>
                <w:szCs w:val="18"/>
              </w:rPr>
            </w:pPr>
            <w:r>
              <w:rPr>
                <w:sz w:val="18"/>
                <w:szCs w:val="18"/>
              </w:rPr>
              <w:t>Multi-membrane spanning (5-TM) membrane receptor</w:t>
            </w:r>
          </w:p>
        </w:tc>
        <w:tc>
          <w:tcPr>
            <w:tcW w:w="1661" w:type="dxa"/>
            <w:tcBorders>
              <w:top w:val="nil"/>
              <w:left w:val="nil"/>
              <w:bottom w:val="nil"/>
              <w:right w:val="nil"/>
            </w:tcBorders>
            <w:shd w:val="clear" w:color="auto" w:fill="EFEFEF"/>
          </w:tcPr>
          <w:p w:rsidR="00D735DE" w:rsidRDefault="00883E21">
            <w:pPr>
              <w:spacing w:line="240" w:lineRule="auto"/>
              <w:rPr>
                <w:sz w:val="18"/>
                <w:szCs w:val="18"/>
              </w:rPr>
            </w:pPr>
            <w:r>
              <w:rPr>
                <w:sz w:val="18"/>
                <w:szCs w:val="18"/>
              </w:rPr>
              <w:t>Mouse IgG2b</w:t>
            </w:r>
          </w:p>
        </w:tc>
      </w:tr>
      <w:tr w:rsidR="00D735DE" w:rsidTr="00B04AC5">
        <w:trPr>
          <w:trHeight w:val="440"/>
        </w:trPr>
        <w:tc>
          <w:tcPr>
            <w:tcW w:w="1843" w:type="dxa"/>
            <w:tcBorders>
              <w:top w:val="nil"/>
              <w:left w:val="nil"/>
              <w:bottom w:val="nil"/>
              <w:right w:val="nil"/>
            </w:tcBorders>
            <w:shd w:val="clear" w:color="auto" w:fill="EFEFE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jc w:val="center"/>
              <w:rPr>
                <w:sz w:val="18"/>
                <w:szCs w:val="18"/>
              </w:rPr>
            </w:pPr>
            <w:r>
              <w:rPr>
                <w:sz w:val="18"/>
                <w:szCs w:val="18"/>
              </w:rPr>
              <w:t>B6H12</w:t>
            </w:r>
          </w:p>
        </w:tc>
        <w:tc>
          <w:tcPr>
            <w:tcW w:w="992" w:type="dxa"/>
            <w:vMerge/>
            <w:tcBorders>
              <w:top w:val="nil"/>
              <w:left w:val="nil"/>
              <w:bottom w:val="nil"/>
              <w:right w:val="nil"/>
            </w:tcBorders>
            <w:shd w:val="clear" w:color="auto" w:fill="EFEFEF"/>
          </w:tcPr>
          <w:p w:rsidR="00D735DE" w:rsidRDefault="00D735DE">
            <w:pPr>
              <w:pBdr>
                <w:top w:val="none" w:sz="0" w:space="0" w:color="auto"/>
                <w:left w:val="none" w:sz="0" w:space="0" w:color="auto"/>
                <w:bottom w:val="none" w:sz="0" w:space="0" w:color="auto"/>
                <w:right w:val="none" w:sz="0" w:space="0" w:color="auto"/>
                <w:between w:val="none" w:sz="0" w:space="0" w:color="auto"/>
              </w:pBdr>
              <w:spacing w:after="300" w:line="240" w:lineRule="auto"/>
              <w:rPr>
                <w:sz w:val="24"/>
                <w:szCs w:val="24"/>
              </w:rPr>
            </w:pPr>
          </w:p>
        </w:tc>
        <w:tc>
          <w:tcPr>
            <w:tcW w:w="2127" w:type="dxa"/>
            <w:tcBorders>
              <w:top w:val="nil"/>
              <w:left w:val="nil"/>
              <w:bottom w:val="nil"/>
              <w:right w:val="nil"/>
            </w:tcBorders>
            <w:shd w:val="clear" w:color="auto" w:fill="EFEFE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rPr>
                <w:sz w:val="18"/>
                <w:szCs w:val="18"/>
              </w:rPr>
            </w:pPr>
            <w:r>
              <w:rPr>
                <w:i/>
                <w:sz w:val="18"/>
                <w:szCs w:val="18"/>
              </w:rPr>
              <w:t xml:space="preserve">CD47 </w:t>
            </w:r>
            <w:r>
              <w:rPr>
                <w:sz w:val="18"/>
                <w:szCs w:val="18"/>
              </w:rPr>
              <w:t>(0.0016)</w:t>
            </w:r>
          </w:p>
        </w:tc>
        <w:tc>
          <w:tcPr>
            <w:tcW w:w="2733" w:type="dxa"/>
            <w:vMerge/>
            <w:tcBorders>
              <w:top w:val="nil"/>
              <w:left w:val="nil"/>
              <w:bottom w:val="nil"/>
              <w:right w:val="nil"/>
            </w:tcBorders>
            <w:shd w:val="clear" w:color="auto" w:fill="EFEFEF"/>
          </w:tcPr>
          <w:p w:rsidR="00D735DE" w:rsidRDefault="00D735DE">
            <w:pPr>
              <w:spacing w:after="300" w:line="240" w:lineRule="auto"/>
              <w:rPr>
                <w:sz w:val="20"/>
                <w:szCs w:val="20"/>
              </w:rPr>
            </w:pPr>
          </w:p>
        </w:tc>
        <w:tc>
          <w:tcPr>
            <w:tcW w:w="1661" w:type="dxa"/>
            <w:tcBorders>
              <w:top w:val="nil"/>
              <w:left w:val="nil"/>
              <w:bottom w:val="nil"/>
              <w:right w:val="nil"/>
            </w:tcBorders>
            <w:shd w:val="clear" w:color="auto" w:fill="EFEFEF"/>
          </w:tcPr>
          <w:p w:rsidR="00D735DE" w:rsidRDefault="00883E21">
            <w:pPr>
              <w:spacing w:line="240" w:lineRule="auto"/>
              <w:rPr>
                <w:sz w:val="18"/>
                <w:szCs w:val="18"/>
              </w:rPr>
            </w:pPr>
            <w:r>
              <w:rPr>
                <w:sz w:val="18"/>
                <w:szCs w:val="18"/>
              </w:rPr>
              <w:t>Mouse IgG2a</w:t>
            </w:r>
          </w:p>
        </w:tc>
      </w:tr>
      <w:tr w:rsidR="00D735DE" w:rsidTr="00B04AC5">
        <w:trPr>
          <w:trHeight w:val="1260"/>
        </w:trPr>
        <w:tc>
          <w:tcPr>
            <w:tcW w:w="1843" w:type="dxa"/>
            <w:tcBorders>
              <w:top w:val="nil"/>
              <w:left w:val="nil"/>
              <w:bottom w:val="nil"/>
              <w:right w:val="nil"/>
            </w:tcBorders>
            <w:shd w:val="clear" w:color="auto" w:fill="FFFFF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jc w:val="center"/>
              <w:rPr>
                <w:sz w:val="18"/>
                <w:szCs w:val="18"/>
              </w:rPr>
            </w:pPr>
            <w:r>
              <w:rPr>
                <w:sz w:val="18"/>
                <w:szCs w:val="18"/>
              </w:rPr>
              <w:t>BRIC5</w:t>
            </w:r>
          </w:p>
        </w:tc>
        <w:tc>
          <w:tcPr>
            <w:tcW w:w="992" w:type="dxa"/>
            <w:tcBorders>
              <w:top w:val="nil"/>
              <w:left w:val="nil"/>
              <w:bottom w:val="nil"/>
              <w:right w:val="nil"/>
            </w:tcBorders>
            <w:shd w:val="clear" w:color="auto" w:fill="FFFFF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rPr>
                <w:sz w:val="18"/>
                <w:szCs w:val="18"/>
              </w:rPr>
            </w:pPr>
            <w:r>
              <w:rPr>
                <w:sz w:val="18"/>
                <w:szCs w:val="18"/>
              </w:rPr>
              <w:t>CD58 (LFA-3)</w:t>
            </w:r>
          </w:p>
        </w:tc>
        <w:tc>
          <w:tcPr>
            <w:tcW w:w="2127" w:type="dxa"/>
            <w:tcBorders>
              <w:top w:val="nil"/>
              <w:left w:val="nil"/>
              <w:bottom w:val="nil"/>
              <w:right w:val="nil"/>
            </w:tcBorders>
            <w:shd w:val="clear" w:color="auto" w:fill="FFFFF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rPr>
                <w:sz w:val="18"/>
                <w:szCs w:val="18"/>
              </w:rPr>
            </w:pPr>
            <w:r>
              <w:rPr>
                <w:i/>
                <w:sz w:val="18"/>
                <w:szCs w:val="18"/>
              </w:rPr>
              <w:t xml:space="preserve">CD58 </w:t>
            </w:r>
            <w:r>
              <w:rPr>
                <w:sz w:val="18"/>
                <w:szCs w:val="18"/>
              </w:rPr>
              <w:t>(0.0012)</w:t>
            </w:r>
          </w:p>
        </w:tc>
        <w:tc>
          <w:tcPr>
            <w:tcW w:w="2733" w:type="dxa"/>
            <w:tcBorders>
              <w:top w:val="nil"/>
              <w:left w:val="nil"/>
              <w:bottom w:val="nil"/>
              <w:right w:val="nil"/>
            </w:tcBorders>
            <w:shd w:val="clear" w:color="auto" w:fill="FFFFFF"/>
          </w:tcPr>
          <w:p w:rsidR="00D735DE" w:rsidRDefault="00883E21">
            <w:pPr>
              <w:spacing w:line="240" w:lineRule="auto"/>
              <w:rPr>
                <w:sz w:val="18"/>
                <w:szCs w:val="18"/>
              </w:rPr>
            </w:pPr>
            <w:r>
              <w:rPr>
                <w:sz w:val="18"/>
                <w:szCs w:val="18"/>
              </w:rPr>
              <w:t xml:space="preserve">Two isoforms identified: </w:t>
            </w:r>
          </w:p>
          <w:p w:rsidR="00D735DE" w:rsidRDefault="00883E21">
            <w:pPr>
              <w:spacing w:line="240" w:lineRule="auto"/>
              <w:rPr>
                <w:sz w:val="18"/>
                <w:szCs w:val="18"/>
              </w:rPr>
            </w:pPr>
            <w:r>
              <w:rPr>
                <w:sz w:val="18"/>
                <w:szCs w:val="18"/>
              </w:rPr>
              <w:t>Isoform 1: Single-pass type I membrane protein.</w:t>
            </w:r>
          </w:p>
          <w:p w:rsidR="00D735DE" w:rsidRDefault="00883E21">
            <w:pPr>
              <w:spacing w:line="240" w:lineRule="auto"/>
              <w:rPr>
                <w:sz w:val="18"/>
                <w:szCs w:val="18"/>
              </w:rPr>
            </w:pPr>
            <w:r>
              <w:rPr>
                <w:sz w:val="18"/>
                <w:szCs w:val="18"/>
              </w:rPr>
              <w:t>Isoform 2: GPI-anchor.</w:t>
            </w:r>
          </w:p>
          <w:p w:rsidR="00D735DE" w:rsidRDefault="00D735DE">
            <w:pPr>
              <w:spacing w:line="240" w:lineRule="auto"/>
              <w:rPr>
                <w:sz w:val="18"/>
                <w:szCs w:val="18"/>
              </w:rPr>
            </w:pPr>
          </w:p>
        </w:tc>
        <w:tc>
          <w:tcPr>
            <w:tcW w:w="1661" w:type="dxa"/>
            <w:tcBorders>
              <w:top w:val="nil"/>
              <w:left w:val="nil"/>
              <w:bottom w:val="nil"/>
              <w:right w:val="nil"/>
            </w:tcBorders>
            <w:shd w:val="clear" w:color="auto" w:fill="FFFFFF"/>
          </w:tcPr>
          <w:p w:rsidR="00D735DE" w:rsidRDefault="00883E21">
            <w:pPr>
              <w:spacing w:line="240" w:lineRule="auto"/>
              <w:rPr>
                <w:sz w:val="18"/>
                <w:szCs w:val="18"/>
              </w:rPr>
            </w:pPr>
            <w:r>
              <w:rPr>
                <w:sz w:val="18"/>
                <w:szCs w:val="18"/>
              </w:rPr>
              <w:t>Mouse IgG2a</w:t>
            </w:r>
          </w:p>
        </w:tc>
      </w:tr>
      <w:tr w:rsidR="00D735DE" w:rsidTr="00B04AC5">
        <w:trPr>
          <w:trHeight w:val="400"/>
        </w:trPr>
        <w:tc>
          <w:tcPr>
            <w:tcW w:w="1843" w:type="dxa"/>
            <w:tcBorders>
              <w:top w:val="nil"/>
              <w:left w:val="nil"/>
              <w:bottom w:val="nil"/>
              <w:right w:val="nil"/>
            </w:tcBorders>
            <w:shd w:val="clear" w:color="auto" w:fill="EFEFE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jc w:val="center"/>
              <w:rPr>
                <w:sz w:val="18"/>
                <w:szCs w:val="18"/>
              </w:rPr>
            </w:pPr>
            <w:r>
              <w:rPr>
                <w:sz w:val="18"/>
                <w:szCs w:val="18"/>
              </w:rPr>
              <w:t>BRIC256</w:t>
            </w:r>
          </w:p>
        </w:tc>
        <w:tc>
          <w:tcPr>
            <w:tcW w:w="992" w:type="dxa"/>
            <w:tcBorders>
              <w:top w:val="nil"/>
              <w:left w:val="nil"/>
              <w:bottom w:val="nil"/>
              <w:right w:val="nil"/>
            </w:tcBorders>
            <w:shd w:val="clear" w:color="auto" w:fill="EFEFE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rPr>
                <w:sz w:val="18"/>
                <w:szCs w:val="18"/>
              </w:rPr>
            </w:pPr>
            <w:r>
              <w:rPr>
                <w:sz w:val="18"/>
                <w:szCs w:val="18"/>
              </w:rPr>
              <w:t>GYPA</w:t>
            </w:r>
          </w:p>
        </w:tc>
        <w:tc>
          <w:tcPr>
            <w:tcW w:w="2127" w:type="dxa"/>
            <w:tcBorders>
              <w:top w:val="nil"/>
              <w:left w:val="nil"/>
              <w:bottom w:val="nil"/>
              <w:right w:val="nil"/>
            </w:tcBorders>
            <w:shd w:val="clear" w:color="auto" w:fill="EFEFE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rPr>
                <w:sz w:val="18"/>
                <w:szCs w:val="18"/>
              </w:rPr>
            </w:pPr>
            <w:r>
              <w:rPr>
                <w:i/>
                <w:sz w:val="18"/>
                <w:szCs w:val="18"/>
              </w:rPr>
              <w:t xml:space="preserve">GYPA </w:t>
            </w:r>
            <w:r>
              <w:rPr>
                <w:sz w:val="18"/>
                <w:szCs w:val="18"/>
              </w:rPr>
              <w:t>(0.0001)</w:t>
            </w:r>
          </w:p>
        </w:tc>
        <w:tc>
          <w:tcPr>
            <w:tcW w:w="2733" w:type="dxa"/>
            <w:tcBorders>
              <w:top w:val="nil"/>
              <w:left w:val="nil"/>
              <w:bottom w:val="nil"/>
              <w:right w:val="nil"/>
            </w:tcBorders>
            <w:shd w:val="clear" w:color="auto" w:fill="EFEFEF"/>
          </w:tcPr>
          <w:p w:rsidR="00D735DE" w:rsidRDefault="00883E21">
            <w:pPr>
              <w:spacing w:line="240" w:lineRule="auto"/>
              <w:rPr>
                <w:sz w:val="18"/>
                <w:szCs w:val="18"/>
              </w:rPr>
            </w:pPr>
            <w:r>
              <w:rPr>
                <w:sz w:val="18"/>
                <w:szCs w:val="18"/>
              </w:rPr>
              <w:t>Erythroid cell specific protein with 15 O-glycosylation and 1 N-glycosylation</w:t>
            </w:r>
          </w:p>
        </w:tc>
        <w:tc>
          <w:tcPr>
            <w:tcW w:w="1661" w:type="dxa"/>
            <w:tcBorders>
              <w:top w:val="nil"/>
              <w:left w:val="nil"/>
              <w:bottom w:val="nil"/>
              <w:right w:val="nil"/>
            </w:tcBorders>
            <w:shd w:val="clear" w:color="auto" w:fill="EFEFEF"/>
          </w:tcPr>
          <w:p w:rsidR="00D735DE" w:rsidRDefault="00883E21">
            <w:pPr>
              <w:spacing w:line="240" w:lineRule="auto"/>
              <w:rPr>
                <w:sz w:val="18"/>
                <w:szCs w:val="18"/>
              </w:rPr>
            </w:pPr>
            <w:r>
              <w:rPr>
                <w:sz w:val="18"/>
                <w:szCs w:val="18"/>
              </w:rPr>
              <w:t>Mouse IgG1</w:t>
            </w:r>
          </w:p>
        </w:tc>
      </w:tr>
      <w:tr w:rsidR="00D735DE" w:rsidTr="00B04AC5">
        <w:trPr>
          <w:trHeight w:val="400"/>
        </w:trPr>
        <w:tc>
          <w:tcPr>
            <w:tcW w:w="1843" w:type="dxa"/>
            <w:tcBorders>
              <w:top w:val="nil"/>
              <w:left w:val="nil"/>
              <w:bottom w:val="nil"/>
              <w:right w:val="nil"/>
            </w:tcBorders>
            <w:shd w:val="clear" w:color="auto" w:fill="FFFFF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jc w:val="center"/>
              <w:rPr>
                <w:sz w:val="18"/>
                <w:szCs w:val="18"/>
              </w:rPr>
            </w:pPr>
            <w:r>
              <w:rPr>
                <w:sz w:val="18"/>
                <w:szCs w:val="18"/>
              </w:rPr>
              <w:t>P16</w:t>
            </w:r>
          </w:p>
        </w:tc>
        <w:tc>
          <w:tcPr>
            <w:tcW w:w="992" w:type="dxa"/>
            <w:tcBorders>
              <w:top w:val="nil"/>
              <w:left w:val="nil"/>
              <w:bottom w:val="nil"/>
              <w:right w:val="nil"/>
            </w:tcBorders>
            <w:shd w:val="clear" w:color="auto" w:fill="FFFFF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rPr>
                <w:sz w:val="18"/>
                <w:szCs w:val="18"/>
              </w:rPr>
            </w:pPr>
            <w:r>
              <w:rPr>
                <w:sz w:val="18"/>
                <w:szCs w:val="18"/>
              </w:rPr>
              <w:t>Integrin ɑ2β1</w:t>
            </w:r>
          </w:p>
        </w:tc>
        <w:tc>
          <w:tcPr>
            <w:tcW w:w="2127" w:type="dxa"/>
            <w:tcBorders>
              <w:top w:val="nil"/>
              <w:left w:val="nil"/>
              <w:bottom w:val="nil"/>
              <w:right w:val="nil"/>
            </w:tcBorders>
            <w:shd w:val="clear" w:color="auto" w:fill="FFFFFF"/>
          </w:tcPr>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rPr>
                <w:sz w:val="18"/>
                <w:szCs w:val="18"/>
              </w:rPr>
            </w:pPr>
            <w:r>
              <w:rPr>
                <w:i/>
                <w:sz w:val="18"/>
                <w:szCs w:val="18"/>
              </w:rPr>
              <w:t>ITGB1</w:t>
            </w:r>
            <w:r>
              <w:rPr>
                <w:sz w:val="18"/>
                <w:szCs w:val="18"/>
              </w:rPr>
              <w:t xml:space="preserve"> (0.024)</w:t>
            </w:r>
          </w:p>
          <w:p w:rsidR="00D735DE" w:rsidRDefault="00883E21">
            <w:pPr>
              <w:pBdr>
                <w:top w:val="none" w:sz="0" w:space="0" w:color="auto"/>
                <w:left w:val="none" w:sz="0" w:space="0" w:color="auto"/>
                <w:bottom w:val="none" w:sz="0" w:space="0" w:color="auto"/>
                <w:right w:val="none" w:sz="0" w:space="0" w:color="auto"/>
                <w:between w:val="none" w:sz="0" w:space="0" w:color="auto"/>
              </w:pBdr>
              <w:spacing w:after="300" w:line="240" w:lineRule="auto"/>
              <w:rPr>
                <w:sz w:val="18"/>
                <w:szCs w:val="18"/>
              </w:rPr>
            </w:pPr>
            <w:r>
              <w:rPr>
                <w:sz w:val="18"/>
                <w:szCs w:val="18"/>
              </w:rPr>
              <w:t xml:space="preserve">Components of </w:t>
            </w:r>
            <w:r w:rsidR="00B04AC5">
              <w:rPr>
                <w:sz w:val="18"/>
                <w:szCs w:val="18"/>
              </w:rPr>
              <w:t xml:space="preserve">the </w:t>
            </w:r>
            <w:r>
              <w:rPr>
                <w:sz w:val="18"/>
                <w:szCs w:val="18"/>
              </w:rPr>
              <w:t>Arp2/3 complex:</w:t>
            </w:r>
          </w:p>
          <w:p w:rsidR="00D735DE" w:rsidRDefault="00883E21" w:rsidP="00B04AC5">
            <w:pPr>
              <w:pBdr>
                <w:top w:val="none" w:sz="0" w:space="0" w:color="auto"/>
                <w:left w:val="none" w:sz="0" w:space="0" w:color="auto"/>
                <w:bottom w:val="none" w:sz="0" w:space="0" w:color="auto"/>
                <w:right w:val="none" w:sz="0" w:space="0" w:color="auto"/>
                <w:between w:val="none" w:sz="0" w:space="0" w:color="auto"/>
              </w:pBdr>
              <w:spacing w:line="240" w:lineRule="auto"/>
              <w:rPr>
                <w:sz w:val="18"/>
                <w:szCs w:val="18"/>
              </w:rPr>
            </w:pPr>
            <w:r>
              <w:rPr>
                <w:i/>
                <w:sz w:val="18"/>
                <w:szCs w:val="18"/>
              </w:rPr>
              <w:t>ARPC4</w:t>
            </w:r>
            <w:r>
              <w:rPr>
                <w:sz w:val="18"/>
                <w:szCs w:val="18"/>
              </w:rPr>
              <w:t xml:space="preserve"> (0.0007)</w:t>
            </w:r>
          </w:p>
          <w:p w:rsidR="00D735DE" w:rsidRDefault="00883E21" w:rsidP="00B04AC5">
            <w:pPr>
              <w:pBdr>
                <w:top w:val="none" w:sz="0" w:space="0" w:color="auto"/>
                <w:left w:val="none" w:sz="0" w:space="0" w:color="auto"/>
                <w:bottom w:val="none" w:sz="0" w:space="0" w:color="auto"/>
                <w:right w:val="none" w:sz="0" w:space="0" w:color="auto"/>
                <w:between w:val="none" w:sz="0" w:space="0" w:color="auto"/>
              </w:pBdr>
              <w:spacing w:line="240" w:lineRule="auto"/>
              <w:rPr>
                <w:sz w:val="18"/>
                <w:szCs w:val="18"/>
              </w:rPr>
            </w:pPr>
            <w:r>
              <w:rPr>
                <w:i/>
                <w:sz w:val="18"/>
                <w:szCs w:val="18"/>
              </w:rPr>
              <w:t>ACTR2</w:t>
            </w:r>
            <w:r>
              <w:rPr>
                <w:sz w:val="18"/>
                <w:szCs w:val="18"/>
              </w:rPr>
              <w:t xml:space="preserve"> (0.001)</w:t>
            </w:r>
          </w:p>
          <w:p w:rsidR="00D735DE" w:rsidRDefault="00883E21" w:rsidP="00B04AC5">
            <w:pPr>
              <w:pBdr>
                <w:top w:val="none" w:sz="0" w:space="0" w:color="auto"/>
                <w:left w:val="none" w:sz="0" w:space="0" w:color="auto"/>
                <w:bottom w:val="none" w:sz="0" w:space="0" w:color="auto"/>
                <w:right w:val="none" w:sz="0" w:space="0" w:color="auto"/>
                <w:between w:val="none" w:sz="0" w:space="0" w:color="auto"/>
              </w:pBdr>
              <w:spacing w:line="240" w:lineRule="auto"/>
              <w:rPr>
                <w:sz w:val="18"/>
                <w:szCs w:val="18"/>
              </w:rPr>
            </w:pPr>
            <w:r>
              <w:rPr>
                <w:i/>
                <w:sz w:val="18"/>
                <w:szCs w:val="18"/>
              </w:rPr>
              <w:t>ARPC3</w:t>
            </w:r>
            <w:r>
              <w:rPr>
                <w:sz w:val="18"/>
                <w:szCs w:val="18"/>
              </w:rPr>
              <w:t xml:space="preserve"> (0.04)</w:t>
            </w:r>
          </w:p>
        </w:tc>
        <w:tc>
          <w:tcPr>
            <w:tcW w:w="2733" w:type="dxa"/>
            <w:tcBorders>
              <w:top w:val="nil"/>
              <w:left w:val="nil"/>
              <w:bottom w:val="nil"/>
              <w:right w:val="nil"/>
            </w:tcBorders>
            <w:shd w:val="clear" w:color="auto" w:fill="FFFFFF"/>
          </w:tcPr>
          <w:p w:rsidR="00D735DE" w:rsidRDefault="00883E21">
            <w:pPr>
              <w:spacing w:line="240" w:lineRule="auto"/>
              <w:rPr>
                <w:sz w:val="18"/>
                <w:szCs w:val="18"/>
              </w:rPr>
            </w:pPr>
            <w:r>
              <w:rPr>
                <w:sz w:val="18"/>
                <w:szCs w:val="18"/>
              </w:rPr>
              <w:t>Integrin heterodimer</w:t>
            </w:r>
          </w:p>
        </w:tc>
        <w:tc>
          <w:tcPr>
            <w:tcW w:w="1661" w:type="dxa"/>
            <w:tcBorders>
              <w:top w:val="nil"/>
              <w:left w:val="nil"/>
              <w:bottom w:val="nil"/>
              <w:right w:val="nil"/>
            </w:tcBorders>
            <w:shd w:val="clear" w:color="auto" w:fill="FFFFFF"/>
          </w:tcPr>
          <w:p w:rsidR="00D735DE" w:rsidRDefault="00883E21">
            <w:pPr>
              <w:spacing w:line="240" w:lineRule="auto"/>
              <w:rPr>
                <w:sz w:val="18"/>
                <w:szCs w:val="18"/>
              </w:rPr>
            </w:pPr>
            <w:r>
              <w:rPr>
                <w:sz w:val="18"/>
                <w:szCs w:val="18"/>
              </w:rPr>
              <w:t>Mouse IgG1</w:t>
            </w:r>
          </w:p>
        </w:tc>
      </w:tr>
    </w:tbl>
    <w:p w:rsidR="00D735DE" w:rsidRDefault="00D735DE">
      <w:pPr>
        <w:pBdr>
          <w:top w:val="none" w:sz="0" w:space="0" w:color="auto"/>
          <w:left w:val="none" w:sz="0" w:space="0" w:color="auto"/>
          <w:bottom w:val="none" w:sz="0" w:space="0" w:color="auto"/>
          <w:right w:val="none" w:sz="0" w:space="0" w:color="auto"/>
          <w:between w:val="none" w:sz="0" w:space="0" w:color="auto"/>
        </w:pBdr>
        <w:spacing w:after="300"/>
        <w:rPr>
          <w:sz w:val="20"/>
          <w:szCs w:val="20"/>
          <w:highlight w:val="white"/>
        </w:rPr>
      </w:pPr>
    </w:p>
    <w:p w:rsidR="00B54AC0" w:rsidRDefault="00B54AC0">
      <w:pPr>
        <w:rPr>
          <w:b/>
          <w:sz w:val="20"/>
          <w:szCs w:val="20"/>
          <w:highlight w:val="white"/>
        </w:rPr>
      </w:pPr>
      <w:r>
        <w:rPr>
          <w:b/>
          <w:sz w:val="20"/>
          <w:szCs w:val="20"/>
          <w:highlight w:val="white"/>
        </w:rPr>
        <w:br w:type="page"/>
      </w:r>
    </w:p>
    <w:p w:rsidR="00D735DE" w:rsidRDefault="00883E21">
      <w:pPr>
        <w:pBdr>
          <w:top w:val="none" w:sz="0" w:space="0" w:color="auto"/>
          <w:left w:val="none" w:sz="0" w:space="0" w:color="auto"/>
          <w:bottom w:val="none" w:sz="0" w:space="0" w:color="auto"/>
          <w:right w:val="none" w:sz="0" w:space="0" w:color="auto"/>
          <w:between w:val="none" w:sz="0" w:space="0" w:color="auto"/>
        </w:pBdr>
        <w:spacing w:after="300"/>
        <w:rPr>
          <w:b/>
          <w:sz w:val="20"/>
          <w:szCs w:val="20"/>
          <w:highlight w:val="yellow"/>
        </w:rPr>
      </w:pPr>
      <w:r>
        <w:rPr>
          <w:b/>
          <w:sz w:val="20"/>
          <w:szCs w:val="20"/>
          <w:highlight w:val="white"/>
        </w:rPr>
        <w:lastRenderedPageBreak/>
        <w:t xml:space="preserve">Supplemental Table S2: Protein expression plasmids used in this study </w:t>
      </w:r>
    </w:p>
    <w:tbl>
      <w:tblPr>
        <w:tblStyle w:val="a0"/>
        <w:tblW w:w="9615" w:type="dxa"/>
        <w:tblInd w:w="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7515"/>
      </w:tblGrid>
      <w:tr w:rsidR="00D735DE">
        <w:tc>
          <w:tcPr>
            <w:tcW w:w="2100" w:type="dxa"/>
            <w:tcBorders>
              <w:top w:val="nil"/>
              <w:left w:val="nil"/>
              <w:bottom w:val="nil"/>
              <w:right w:val="nil"/>
            </w:tcBorders>
            <w:shd w:val="clear" w:color="auto" w:fill="B7B7B7"/>
            <w:tcMar>
              <w:top w:w="100" w:type="dxa"/>
              <w:left w:w="100" w:type="dxa"/>
              <w:bottom w:w="100" w:type="dxa"/>
              <w:right w:w="100" w:type="dxa"/>
            </w:tcMar>
          </w:tcPr>
          <w:p w:rsidR="00D735DE" w:rsidRDefault="00883E21">
            <w:pPr>
              <w:spacing w:line="240" w:lineRule="auto"/>
              <w:rPr>
                <w:b/>
                <w:sz w:val="20"/>
                <w:szCs w:val="20"/>
              </w:rPr>
            </w:pPr>
            <w:r>
              <w:rPr>
                <w:b/>
                <w:sz w:val="20"/>
                <w:szCs w:val="20"/>
              </w:rPr>
              <w:t>Protein</w:t>
            </w:r>
          </w:p>
        </w:tc>
        <w:tc>
          <w:tcPr>
            <w:tcW w:w="7515" w:type="dxa"/>
            <w:tcBorders>
              <w:top w:val="nil"/>
              <w:left w:val="nil"/>
              <w:bottom w:val="nil"/>
              <w:right w:val="nil"/>
            </w:tcBorders>
            <w:shd w:val="clear" w:color="auto" w:fill="B7B7B7"/>
            <w:tcMar>
              <w:top w:w="100" w:type="dxa"/>
              <w:left w:w="100" w:type="dxa"/>
              <w:bottom w:w="100" w:type="dxa"/>
              <w:right w:w="100" w:type="dxa"/>
            </w:tcMar>
          </w:tcPr>
          <w:p w:rsidR="00D735DE" w:rsidRDefault="00883E21">
            <w:pPr>
              <w:spacing w:line="240" w:lineRule="auto"/>
              <w:rPr>
                <w:b/>
                <w:sz w:val="20"/>
                <w:szCs w:val="20"/>
                <w:highlight w:val="black"/>
              </w:rPr>
            </w:pPr>
            <w:r>
              <w:rPr>
                <w:b/>
                <w:sz w:val="20"/>
                <w:szCs w:val="20"/>
              </w:rPr>
              <w:t>Reference</w:t>
            </w:r>
          </w:p>
        </w:tc>
      </w:tr>
      <w:tr w:rsidR="00D735DE">
        <w:trPr>
          <w:trHeight w:val="400"/>
        </w:trPr>
        <w:tc>
          <w:tcPr>
            <w:tcW w:w="9615" w:type="dxa"/>
            <w:gridSpan w:val="2"/>
            <w:tcBorders>
              <w:top w:val="nil"/>
              <w:left w:val="nil"/>
              <w:bottom w:val="nil"/>
              <w:right w:val="nil"/>
            </w:tcBorders>
            <w:shd w:val="clear" w:color="auto" w:fill="D9D9D9"/>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Plasmids used for expression biotinylated “monomers” containing C-terminal rat Cd4d3+4, biotinylation peptide and 6xHis tag.</w:t>
            </w:r>
          </w:p>
        </w:tc>
      </w:tr>
      <w:tr w:rsidR="00D735DE">
        <w:tc>
          <w:tcPr>
            <w:tcW w:w="210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highlight w:val="white"/>
              </w:rPr>
            </w:pPr>
            <w:r>
              <w:rPr>
                <w:sz w:val="18"/>
                <w:szCs w:val="18"/>
                <w:highlight w:val="white"/>
              </w:rPr>
              <w:t>CD200R</w:t>
            </w:r>
          </w:p>
        </w:tc>
        <w:tc>
          <w:tcPr>
            <w:tcW w:w="751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Addgene plasmid # 36153</w:t>
            </w:r>
          </w:p>
        </w:tc>
      </w:tr>
      <w:tr w:rsidR="00D735DE">
        <w:tc>
          <w:tcPr>
            <w:tcW w:w="210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highlight w:val="white"/>
              </w:rPr>
            </w:pPr>
            <w:r>
              <w:rPr>
                <w:sz w:val="18"/>
                <w:szCs w:val="18"/>
                <w:highlight w:val="white"/>
              </w:rPr>
              <w:t>RH5</w:t>
            </w:r>
          </w:p>
        </w:tc>
        <w:tc>
          <w:tcPr>
            <w:tcW w:w="751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335" w:lineRule="auto"/>
              <w:ind w:right="220"/>
              <w:rPr>
                <w:sz w:val="20"/>
                <w:szCs w:val="20"/>
                <w:highlight w:val="white"/>
              </w:rPr>
            </w:pPr>
            <w:r>
              <w:rPr>
                <w:sz w:val="18"/>
                <w:szCs w:val="18"/>
                <w:highlight w:val="white"/>
              </w:rPr>
              <w:t>Addgene plasmid  #47780 cloned into Addgene plasmid #50824 backbone</w:t>
            </w:r>
          </w:p>
        </w:tc>
      </w:tr>
      <w:tr w:rsidR="00D735DE">
        <w:tc>
          <w:tcPr>
            <w:tcW w:w="210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highlight w:val="white"/>
              </w:rPr>
            </w:pPr>
            <w:r>
              <w:rPr>
                <w:sz w:val="18"/>
                <w:szCs w:val="18"/>
                <w:highlight w:val="white"/>
              </w:rPr>
              <w:t>TNFRSF9</w:t>
            </w:r>
          </w:p>
        </w:tc>
        <w:tc>
          <w:tcPr>
            <w:tcW w:w="751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highlight w:val="white"/>
              </w:rPr>
              <w:t xml:space="preserve">Gene synthesis (MGNS….QIIS) using Geneart and insert cloned into </w:t>
            </w:r>
            <w:r>
              <w:rPr>
                <w:sz w:val="18"/>
                <w:szCs w:val="18"/>
              </w:rPr>
              <w:t>Addgene plasmid # 32404 backbone</w:t>
            </w:r>
          </w:p>
        </w:tc>
      </w:tr>
      <w:tr w:rsidR="00D735DE">
        <w:tc>
          <w:tcPr>
            <w:tcW w:w="210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highlight w:val="white"/>
              </w:rPr>
            </w:pPr>
            <w:r>
              <w:rPr>
                <w:sz w:val="18"/>
                <w:szCs w:val="18"/>
                <w:highlight w:val="white"/>
              </w:rPr>
              <w:t>CRTAM</w:t>
            </w:r>
          </w:p>
        </w:tc>
        <w:tc>
          <w:tcPr>
            <w:tcW w:w="751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highlight w:val="white"/>
              </w:rPr>
            </w:pPr>
            <w:r>
              <w:rPr>
                <w:sz w:val="18"/>
                <w:szCs w:val="18"/>
                <w:highlight w:val="white"/>
              </w:rPr>
              <w:t xml:space="preserve">Gene synthesis (MWWR….KKSG) using Geneart and insert cloned into </w:t>
            </w:r>
            <w:r>
              <w:rPr>
                <w:sz w:val="18"/>
                <w:szCs w:val="18"/>
              </w:rPr>
              <w:t>Addgene plasmid # 32404 backbone</w:t>
            </w:r>
          </w:p>
        </w:tc>
      </w:tr>
      <w:tr w:rsidR="00D735DE">
        <w:tc>
          <w:tcPr>
            <w:tcW w:w="210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highlight w:val="white"/>
              </w:rPr>
            </w:pPr>
            <w:r>
              <w:rPr>
                <w:sz w:val="18"/>
                <w:szCs w:val="18"/>
                <w:highlight w:val="white"/>
              </w:rPr>
              <w:t>TIGIT</w:t>
            </w:r>
          </w:p>
        </w:tc>
        <w:tc>
          <w:tcPr>
            <w:tcW w:w="751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highlight w:val="white"/>
              </w:rPr>
              <w:t xml:space="preserve">Gene synthesis (MRWC….FQIP) using Geneart and insert cloned into </w:t>
            </w:r>
            <w:r>
              <w:rPr>
                <w:sz w:val="18"/>
                <w:szCs w:val="18"/>
              </w:rPr>
              <w:t xml:space="preserve">Addgene plasmid # </w:t>
            </w:r>
          </w:p>
          <w:p w:rsidR="00D735DE" w:rsidRDefault="00883E21">
            <w:pPr>
              <w:widowControl w:val="0"/>
              <w:spacing w:line="240" w:lineRule="auto"/>
              <w:rPr>
                <w:sz w:val="18"/>
                <w:szCs w:val="18"/>
                <w:highlight w:val="white"/>
              </w:rPr>
            </w:pPr>
            <w:r>
              <w:rPr>
                <w:sz w:val="18"/>
                <w:szCs w:val="18"/>
              </w:rPr>
              <w:t>32404 backbone</w:t>
            </w:r>
          </w:p>
        </w:tc>
      </w:tr>
      <w:tr w:rsidR="00D735DE">
        <w:tc>
          <w:tcPr>
            <w:tcW w:w="2100" w:type="dxa"/>
            <w:tcBorders>
              <w:top w:val="nil"/>
              <w:left w:val="nil"/>
              <w:bottom w:val="nil"/>
              <w:right w:val="nil"/>
            </w:tcBorders>
            <w:shd w:val="clear" w:color="auto" w:fill="auto"/>
            <w:tcMar>
              <w:top w:w="100" w:type="dxa"/>
              <w:left w:w="100" w:type="dxa"/>
              <w:bottom w:w="100" w:type="dxa"/>
              <w:right w:w="100" w:type="dxa"/>
            </w:tcMar>
          </w:tcPr>
          <w:p w:rsidR="00D735DE" w:rsidRPr="00B54AC0" w:rsidRDefault="00883E21">
            <w:pPr>
              <w:widowControl w:val="0"/>
              <w:spacing w:line="240" w:lineRule="auto"/>
              <w:rPr>
                <w:sz w:val="18"/>
                <w:szCs w:val="18"/>
              </w:rPr>
            </w:pPr>
            <w:r w:rsidRPr="00B54AC0">
              <w:rPr>
                <w:sz w:val="18"/>
                <w:szCs w:val="18"/>
              </w:rPr>
              <w:t>Syn1-RBD</w:t>
            </w:r>
          </w:p>
        </w:tc>
        <w:tc>
          <w:tcPr>
            <w:tcW w:w="7515" w:type="dxa"/>
            <w:tcBorders>
              <w:top w:val="nil"/>
              <w:left w:val="nil"/>
              <w:bottom w:val="nil"/>
              <w:right w:val="nil"/>
            </w:tcBorders>
            <w:shd w:val="clear" w:color="auto" w:fill="auto"/>
            <w:tcMar>
              <w:top w:w="100" w:type="dxa"/>
              <w:left w:w="100" w:type="dxa"/>
              <w:bottom w:w="100" w:type="dxa"/>
              <w:right w:w="100" w:type="dxa"/>
            </w:tcMar>
          </w:tcPr>
          <w:p w:rsidR="00D735DE" w:rsidRPr="00B54AC0" w:rsidRDefault="00883E21">
            <w:pPr>
              <w:widowControl w:val="0"/>
              <w:spacing w:line="240" w:lineRule="auto"/>
              <w:rPr>
                <w:sz w:val="18"/>
                <w:szCs w:val="18"/>
              </w:rPr>
            </w:pPr>
            <w:r w:rsidRPr="00B54AC0">
              <w:rPr>
                <w:sz w:val="18"/>
                <w:szCs w:val="18"/>
              </w:rPr>
              <w:t>M1-183P amplified from cDNA construct (Origene-RC213951) with primers: 5’ GACTGCGGCCGCCACCATGGCCCTCCCTTATCATA 3’ and 5’ TGAGGTCTCGGCCCAAAACCCTGGCGCGCCACTG 3’ and cloned into Addgene plasmid # 36153 backbone</w:t>
            </w:r>
          </w:p>
        </w:tc>
      </w:tr>
      <w:tr w:rsidR="00D735DE">
        <w:trPr>
          <w:trHeight w:val="400"/>
        </w:trPr>
        <w:tc>
          <w:tcPr>
            <w:tcW w:w="9615" w:type="dxa"/>
            <w:gridSpan w:val="2"/>
            <w:tcBorders>
              <w:top w:val="nil"/>
              <w:left w:val="nil"/>
              <w:bottom w:val="nil"/>
              <w:right w:val="nil"/>
            </w:tcBorders>
            <w:shd w:val="clear" w:color="auto" w:fill="D9D9D9"/>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Plasmids used for expression of  Flag-tagged “pentamers” containing C-terminal Cd4d3+4, beta-lactamase, 3xFLAG tag and 6xHis tag.</w:t>
            </w:r>
          </w:p>
        </w:tc>
      </w:tr>
      <w:tr w:rsidR="00D735DE">
        <w:tc>
          <w:tcPr>
            <w:tcW w:w="210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highlight w:val="white"/>
              </w:rPr>
            </w:pPr>
            <w:r>
              <w:rPr>
                <w:sz w:val="18"/>
                <w:szCs w:val="18"/>
                <w:highlight w:val="white"/>
              </w:rPr>
              <w:t>CD200R</w:t>
            </w:r>
          </w:p>
        </w:tc>
        <w:tc>
          <w:tcPr>
            <w:tcW w:w="751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Addgene plasmid # 71471</w:t>
            </w:r>
          </w:p>
        </w:tc>
      </w:tr>
      <w:tr w:rsidR="00D735DE">
        <w:tc>
          <w:tcPr>
            <w:tcW w:w="210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highlight w:val="white"/>
              </w:rPr>
            </w:pPr>
            <w:r>
              <w:rPr>
                <w:sz w:val="18"/>
                <w:szCs w:val="18"/>
                <w:highlight w:val="white"/>
              </w:rPr>
              <w:t>EPHB1</w:t>
            </w:r>
          </w:p>
        </w:tc>
        <w:tc>
          <w:tcPr>
            <w:tcW w:w="751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highlight w:val="white"/>
              </w:rPr>
              <w:t xml:space="preserve">Addgene plasmid # </w:t>
            </w:r>
            <w:r>
              <w:rPr>
                <w:sz w:val="18"/>
                <w:szCs w:val="18"/>
              </w:rPr>
              <w:t>51750, cloned into Addgene plasmid # 71471 backbone</w:t>
            </w:r>
          </w:p>
        </w:tc>
      </w:tr>
      <w:tr w:rsidR="00D735DE">
        <w:tc>
          <w:tcPr>
            <w:tcW w:w="210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highlight w:val="white"/>
              </w:rPr>
            </w:pPr>
            <w:r>
              <w:rPr>
                <w:sz w:val="18"/>
                <w:szCs w:val="18"/>
                <w:highlight w:val="white"/>
              </w:rPr>
              <w:t>CD226</w:t>
            </w:r>
          </w:p>
        </w:tc>
        <w:tc>
          <w:tcPr>
            <w:tcW w:w="751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Addgene plasmid # 51646</w:t>
            </w:r>
            <w:r>
              <w:rPr>
                <w:sz w:val="18"/>
                <w:szCs w:val="18"/>
                <w:shd w:val="clear" w:color="auto" w:fill="F5F5F5"/>
              </w:rPr>
              <w:t xml:space="preserve"> </w:t>
            </w:r>
            <w:r>
              <w:rPr>
                <w:sz w:val="18"/>
                <w:szCs w:val="18"/>
              </w:rPr>
              <w:t>, cloned into Addgene plasmid # 71471 backbone</w:t>
            </w:r>
          </w:p>
        </w:tc>
      </w:tr>
      <w:tr w:rsidR="00D735DE">
        <w:trPr>
          <w:trHeight w:val="400"/>
        </w:trPr>
        <w:tc>
          <w:tcPr>
            <w:tcW w:w="9615" w:type="dxa"/>
            <w:gridSpan w:val="2"/>
            <w:tcBorders>
              <w:top w:val="nil"/>
              <w:left w:val="nil"/>
              <w:bottom w:val="nil"/>
              <w:right w:val="nil"/>
            </w:tcBorders>
            <w:shd w:val="clear" w:color="auto" w:fill="D9D9D9"/>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Plasmids used GABBR2-IGF2R study</w:t>
            </w:r>
          </w:p>
        </w:tc>
      </w:tr>
      <w:tr w:rsidR="00D735DE">
        <w:tc>
          <w:tcPr>
            <w:tcW w:w="210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highlight w:val="white"/>
              </w:rPr>
            </w:pPr>
            <w:r>
              <w:rPr>
                <w:sz w:val="18"/>
                <w:szCs w:val="18"/>
                <w:highlight w:val="white"/>
              </w:rPr>
              <w:t>CD200</w:t>
            </w:r>
          </w:p>
        </w:tc>
        <w:tc>
          <w:tcPr>
            <w:tcW w:w="751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Addgene plasmid # 32404</w:t>
            </w:r>
          </w:p>
        </w:tc>
      </w:tr>
      <w:tr w:rsidR="00D735DE">
        <w:tc>
          <w:tcPr>
            <w:tcW w:w="210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highlight w:val="white"/>
              </w:rPr>
            </w:pPr>
            <w:r>
              <w:rPr>
                <w:sz w:val="18"/>
                <w:szCs w:val="18"/>
                <w:highlight w:val="white"/>
              </w:rPr>
              <w:t>CD200R</w:t>
            </w:r>
          </w:p>
        </w:tc>
        <w:tc>
          <w:tcPr>
            <w:tcW w:w="751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Addgene plasmid # 32407</w:t>
            </w:r>
          </w:p>
        </w:tc>
      </w:tr>
      <w:tr w:rsidR="00D735DE">
        <w:tc>
          <w:tcPr>
            <w:tcW w:w="210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highlight w:val="white"/>
              </w:rPr>
            </w:pPr>
            <w:r>
              <w:rPr>
                <w:sz w:val="18"/>
                <w:szCs w:val="18"/>
                <w:highlight w:val="white"/>
              </w:rPr>
              <w:t>GABBR2</w:t>
            </w:r>
          </w:p>
        </w:tc>
        <w:tc>
          <w:tcPr>
            <w:tcW w:w="751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highlight w:val="white"/>
              </w:rPr>
              <w:t xml:space="preserve">Gene synthesis (M1-P480) and cloned into </w:t>
            </w:r>
            <w:r>
              <w:rPr>
                <w:sz w:val="18"/>
                <w:szCs w:val="18"/>
              </w:rPr>
              <w:t>Addgene plasmid #36153</w:t>
            </w:r>
          </w:p>
          <w:p w:rsidR="00D735DE" w:rsidRDefault="00883E21">
            <w:pPr>
              <w:widowControl w:val="0"/>
              <w:spacing w:line="240" w:lineRule="auto"/>
              <w:rPr>
                <w:sz w:val="18"/>
                <w:szCs w:val="18"/>
                <w:highlight w:val="white"/>
              </w:rPr>
            </w:pPr>
            <w:r>
              <w:rPr>
                <w:sz w:val="18"/>
                <w:szCs w:val="18"/>
              </w:rPr>
              <w:t xml:space="preserve"> backbone</w:t>
            </w:r>
          </w:p>
        </w:tc>
      </w:tr>
      <w:tr w:rsidR="00D735DE">
        <w:tc>
          <w:tcPr>
            <w:tcW w:w="210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highlight w:val="white"/>
              </w:rPr>
            </w:pPr>
            <w:r>
              <w:rPr>
                <w:sz w:val="18"/>
                <w:szCs w:val="18"/>
                <w:highlight w:val="white"/>
              </w:rPr>
              <w:t>IGF2R-Prey</w:t>
            </w:r>
          </w:p>
        </w:tc>
        <w:tc>
          <w:tcPr>
            <w:tcW w:w="751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highlight w:val="white"/>
              </w:rPr>
            </w:pPr>
            <w:r>
              <w:rPr>
                <w:sz w:val="18"/>
                <w:szCs w:val="18"/>
                <w:highlight w:val="white"/>
              </w:rPr>
              <w:t xml:space="preserve">M1-2306V amplified from cDNA construct (Origene-SC300143) with primers: 5’GACTGCGGCCGCCACCATGGGGGCCGCCGCCGGCCGGAG 3’ and 5’ CAGTGGCGCGCCGACTGCCTGGCTCCGTTCTGAC 3’  and cloned into </w:t>
            </w:r>
            <w:r>
              <w:rPr>
                <w:sz w:val="18"/>
                <w:szCs w:val="18"/>
              </w:rPr>
              <w:t>Addgene plasmid # 3240 backbone</w:t>
            </w:r>
          </w:p>
        </w:tc>
      </w:tr>
      <w:tr w:rsidR="00D735DE">
        <w:tc>
          <w:tcPr>
            <w:tcW w:w="210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highlight w:val="white"/>
              </w:rPr>
            </w:pPr>
            <w:r>
              <w:rPr>
                <w:sz w:val="18"/>
                <w:szCs w:val="18"/>
                <w:highlight w:val="white"/>
              </w:rPr>
              <w:t>IGF2R-TM-GFP</w:t>
            </w:r>
          </w:p>
        </w:tc>
        <w:tc>
          <w:tcPr>
            <w:tcW w:w="751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highlight w:val="white"/>
              </w:rPr>
            </w:pPr>
            <w:r>
              <w:rPr>
                <w:sz w:val="18"/>
                <w:szCs w:val="18"/>
                <w:highlight w:val="white"/>
              </w:rPr>
              <w:t xml:space="preserve">PCR amplified fragment of IGF2R ectodomain cloned into backbone vector with -TM-GFP </w:t>
            </w:r>
            <w:hyperlink r:id="rId16">
              <w:r>
                <w:rPr>
                  <w:sz w:val="18"/>
                  <w:szCs w:val="18"/>
                  <w:highlight w:val="white"/>
                  <w:vertAlign w:val="superscript"/>
                </w:rPr>
                <w:t>1</w:t>
              </w:r>
            </w:hyperlink>
          </w:p>
        </w:tc>
      </w:tr>
      <w:tr w:rsidR="00D735DE">
        <w:tc>
          <w:tcPr>
            <w:tcW w:w="2100" w:type="dxa"/>
            <w:tcBorders>
              <w:top w:val="nil"/>
              <w:left w:val="nil"/>
              <w:bottom w:val="nil"/>
              <w:right w:val="nil"/>
            </w:tcBorders>
            <w:shd w:val="clear" w:color="auto" w:fill="auto"/>
            <w:tcMar>
              <w:top w:w="100" w:type="dxa"/>
              <w:left w:w="100" w:type="dxa"/>
              <w:bottom w:w="100" w:type="dxa"/>
              <w:right w:w="100" w:type="dxa"/>
            </w:tcMar>
          </w:tcPr>
          <w:p w:rsidR="00D735DE" w:rsidRPr="00B54AC0" w:rsidRDefault="00883E21">
            <w:pPr>
              <w:widowControl w:val="0"/>
              <w:spacing w:line="240" w:lineRule="auto"/>
              <w:rPr>
                <w:sz w:val="18"/>
                <w:szCs w:val="18"/>
              </w:rPr>
            </w:pPr>
            <w:r w:rsidRPr="00B54AC0">
              <w:rPr>
                <w:sz w:val="18"/>
                <w:szCs w:val="18"/>
              </w:rPr>
              <w:t>GABBR2-full length cDNA</w:t>
            </w:r>
          </w:p>
        </w:tc>
        <w:tc>
          <w:tcPr>
            <w:tcW w:w="7515" w:type="dxa"/>
            <w:tcBorders>
              <w:top w:val="nil"/>
              <w:left w:val="nil"/>
              <w:bottom w:val="nil"/>
              <w:right w:val="nil"/>
            </w:tcBorders>
            <w:shd w:val="clear" w:color="auto" w:fill="auto"/>
            <w:tcMar>
              <w:top w:w="100" w:type="dxa"/>
              <w:left w:w="100" w:type="dxa"/>
              <w:bottom w:w="100" w:type="dxa"/>
              <w:right w:w="100" w:type="dxa"/>
            </w:tcMar>
          </w:tcPr>
          <w:p w:rsidR="00D735DE" w:rsidRPr="00B54AC0" w:rsidRDefault="00883E21">
            <w:pPr>
              <w:widowControl w:val="0"/>
              <w:spacing w:line="240" w:lineRule="auto"/>
              <w:rPr>
                <w:sz w:val="18"/>
                <w:szCs w:val="18"/>
              </w:rPr>
            </w:pPr>
            <w:r w:rsidRPr="00B54AC0">
              <w:rPr>
                <w:sz w:val="18"/>
                <w:szCs w:val="18"/>
              </w:rPr>
              <w:t>Origene SC316628</w:t>
            </w:r>
          </w:p>
        </w:tc>
      </w:tr>
      <w:tr w:rsidR="00D735DE">
        <w:tc>
          <w:tcPr>
            <w:tcW w:w="2100" w:type="dxa"/>
            <w:tcBorders>
              <w:top w:val="nil"/>
              <w:left w:val="nil"/>
              <w:bottom w:val="nil"/>
              <w:right w:val="nil"/>
            </w:tcBorders>
            <w:shd w:val="clear" w:color="auto" w:fill="auto"/>
            <w:tcMar>
              <w:top w:w="100" w:type="dxa"/>
              <w:left w:w="100" w:type="dxa"/>
              <w:bottom w:w="100" w:type="dxa"/>
              <w:right w:w="100" w:type="dxa"/>
            </w:tcMar>
          </w:tcPr>
          <w:p w:rsidR="00D735DE" w:rsidRPr="00B54AC0" w:rsidRDefault="00883E21">
            <w:pPr>
              <w:widowControl w:val="0"/>
              <w:spacing w:line="240" w:lineRule="auto"/>
              <w:rPr>
                <w:sz w:val="18"/>
                <w:szCs w:val="18"/>
              </w:rPr>
            </w:pPr>
            <w:r w:rsidRPr="00B54AC0">
              <w:rPr>
                <w:sz w:val="18"/>
                <w:szCs w:val="18"/>
              </w:rPr>
              <w:t>GABBR1-full length cDNA</w:t>
            </w:r>
          </w:p>
        </w:tc>
        <w:tc>
          <w:tcPr>
            <w:tcW w:w="7515" w:type="dxa"/>
            <w:tcBorders>
              <w:top w:val="nil"/>
              <w:left w:val="nil"/>
              <w:bottom w:val="nil"/>
              <w:right w:val="nil"/>
            </w:tcBorders>
            <w:shd w:val="clear" w:color="auto" w:fill="auto"/>
            <w:tcMar>
              <w:top w:w="100" w:type="dxa"/>
              <w:left w:w="100" w:type="dxa"/>
              <w:bottom w:w="100" w:type="dxa"/>
              <w:right w:w="100" w:type="dxa"/>
            </w:tcMar>
          </w:tcPr>
          <w:p w:rsidR="00D735DE" w:rsidRPr="00B54AC0" w:rsidRDefault="00883E21">
            <w:pPr>
              <w:widowControl w:val="0"/>
              <w:spacing w:line="240" w:lineRule="auto"/>
              <w:rPr>
                <w:sz w:val="18"/>
                <w:szCs w:val="18"/>
              </w:rPr>
            </w:pPr>
            <w:r w:rsidRPr="00B54AC0">
              <w:rPr>
                <w:sz w:val="18"/>
                <w:szCs w:val="18"/>
              </w:rPr>
              <w:t>Origene SC112876</w:t>
            </w:r>
          </w:p>
        </w:tc>
      </w:tr>
    </w:tbl>
    <w:p w:rsidR="00B54AC0" w:rsidRDefault="00B54AC0">
      <w:pPr>
        <w:rPr>
          <w:sz w:val="20"/>
          <w:szCs w:val="20"/>
        </w:rPr>
      </w:pPr>
      <w:r>
        <w:rPr>
          <w:sz w:val="20"/>
          <w:szCs w:val="20"/>
        </w:rPr>
        <w:br w:type="page"/>
      </w:r>
    </w:p>
    <w:p w:rsidR="00D735DE" w:rsidRDefault="00883E21">
      <w:pPr>
        <w:pBdr>
          <w:top w:val="none" w:sz="0" w:space="0" w:color="auto"/>
          <w:left w:val="none" w:sz="0" w:space="0" w:color="auto"/>
          <w:bottom w:val="none" w:sz="0" w:space="0" w:color="auto"/>
          <w:right w:val="none" w:sz="0" w:space="0" w:color="auto"/>
          <w:between w:val="none" w:sz="0" w:space="0" w:color="auto"/>
        </w:pBdr>
        <w:spacing w:after="300"/>
        <w:rPr>
          <w:b/>
          <w:sz w:val="20"/>
          <w:szCs w:val="20"/>
          <w:highlight w:val="yellow"/>
        </w:rPr>
      </w:pPr>
      <w:r>
        <w:rPr>
          <w:b/>
          <w:sz w:val="20"/>
          <w:szCs w:val="20"/>
          <w:highlight w:val="white"/>
        </w:rPr>
        <w:lastRenderedPageBreak/>
        <w:t>Supplemental Table S</w:t>
      </w:r>
      <w:r>
        <w:rPr>
          <w:b/>
          <w:sz w:val="20"/>
          <w:szCs w:val="20"/>
        </w:rPr>
        <w:t xml:space="preserve">3: Sequences of guide RNAs used in this study </w:t>
      </w:r>
    </w:p>
    <w:tbl>
      <w:tblPr>
        <w:tblStyle w:val="a1"/>
        <w:tblW w:w="10020"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2880"/>
        <w:gridCol w:w="3690"/>
        <w:gridCol w:w="2400"/>
      </w:tblGrid>
      <w:tr w:rsidR="00D735DE">
        <w:tc>
          <w:tcPr>
            <w:tcW w:w="1050" w:type="dxa"/>
            <w:tcBorders>
              <w:top w:val="nil"/>
              <w:left w:val="nil"/>
              <w:bottom w:val="nil"/>
              <w:right w:val="nil"/>
            </w:tcBorders>
            <w:shd w:val="clear" w:color="auto" w:fill="B7B7B7"/>
            <w:tcMar>
              <w:top w:w="100" w:type="dxa"/>
              <w:left w:w="100" w:type="dxa"/>
              <w:bottom w:w="100" w:type="dxa"/>
              <w:right w:w="100" w:type="dxa"/>
            </w:tcMar>
          </w:tcPr>
          <w:p w:rsidR="00D735DE" w:rsidRDefault="00883E21">
            <w:pPr>
              <w:widowControl w:val="0"/>
              <w:spacing w:line="240" w:lineRule="auto"/>
              <w:rPr>
                <w:b/>
                <w:sz w:val="18"/>
                <w:szCs w:val="18"/>
              </w:rPr>
            </w:pPr>
            <w:r>
              <w:rPr>
                <w:b/>
                <w:sz w:val="18"/>
                <w:szCs w:val="18"/>
              </w:rPr>
              <w:t>Gene</w:t>
            </w:r>
          </w:p>
        </w:tc>
        <w:tc>
          <w:tcPr>
            <w:tcW w:w="2880" w:type="dxa"/>
            <w:tcBorders>
              <w:top w:val="nil"/>
              <w:left w:val="nil"/>
              <w:bottom w:val="nil"/>
              <w:right w:val="nil"/>
            </w:tcBorders>
            <w:shd w:val="clear" w:color="auto" w:fill="B7B7B7"/>
            <w:tcMar>
              <w:top w:w="100" w:type="dxa"/>
              <w:left w:w="100" w:type="dxa"/>
              <w:bottom w:w="100" w:type="dxa"/>
              <w:right w:w="100" w:type="dxa"/>
            </w:tcMar>
          </w:tcPr>
          <w:p w:rsidR="00D735DE" w:rsidRDefault="00883E21">
            <w:pPr>
              <w:widowControl w:val="0"/>
              <w:spacing w:line="240" w:lineRule="auto"/>
              <w:jc w:val="center"/>
              <w:rPr>
                <w:b/>
                <w:sz w:val="18"/>
                <w:szCs w:val="18"/>
              </w:rPr>
            </w:pPr>
            <w:r>
              <w:rPr>
                <w:b/>
                <w:sz w:val="18"/>
                <w:szCs w:val="18"/>
              </w:rPr>
              <w:t>gRNA</w:t>
            </w:r>
          </w:p>
        </w:tc>
        <w:tc>
          <w:tcPr>
            <w:tcW w:w="3690" w:type="dxa"/>
            <w:tcBorders>
              <w:top w:val="nil"/>
              <w:left w:val="nil"/>
              <w:bottom w:val="nil"/>
              <w:right w:val="nil"/>
            </w:tcBorders>
            <w:shd w:val="clear" w:color="auto" w:fill="B7B7B7"/>
            <w:tcMar>
              <w:top w:w="100" w:type="dxa"/>
              <w:left w:w="100" w:type="dxa"/>
              <w:bottom w:w="100" w:type="dxa"/>
              <w:right w:w="100" w:type="dxa"/>
            </w:tcMar>
          </w:tcPr>
          <w:p w:rsidR="00D735DE" w:rsidRDefault="00883E21">
            <w:pPr>
              <w:widowControl w:val="0"/>
              <w:spacing w:line="240" w:lineRule="auto"/>
              <w:rPr>
                <w:b/>
                <w:sz w:val="18"/>
                <w:szCs w:val="18"/>
              </w:rPr>
            </w:pPr>
            <w:r>
              <w:rPr>
                <w:b/>
                <w:sz w:val="18"/>
                <w:szCs w:val="18"/>
              </w:rPr>
              <w:t>Oligos: Sense (S) and antisense (AS)- 5’-3’</w:t>
            </w:r>
          </w:p>
        </w:tc>
        <w:tc>
          <w:tcPr>
            <w:tcW w:w="2400" w:type="dxa"/>
            <w:tcBorders>
              <w:top w:val="nil"/>
              <w:left w:val="nil"/>
              <w:bottom w:val="nil"/>
              <w:right w:val="nil"/>
            </w:tcBorders>
            <w:shd w:val="clear" w:color="auto" w:fill="B7B7B7"/>
            <w:tcMar>
              <w:top w:w="100" w:type="dxa"/>
              <w:left w:w="100" w:type="dxa"/>
              <w:bottom w:w="100" w:type="dxa"/>
              <w:right w:w="100" w:type="dxa"/>
            </w:tcMar>
          </w:tcPr>
          <w:p w:rsidR="00D735DE" w:rsidRDefault="00883E21">
            <w:pPr>
              <w:widowControl w:val="0"/>
              <w:spacing w:line="240" w:lineRule="auto"/>
              <w:rPr>
                <w:b/>
                <w:sz w:val="18"/>
                <w:szCs w:val="18"/>
              </w:rPr>
            </w:pPr>
            <w:r>
              <w:rPr>
                <w:b/>
                <w:sz w:val="18"/>
                <w:szCs w:val="18"/>
              </w:rPr>
              <w:t>gRNA ID from Human v1 library</w:t>
            </w:r>
          </w:p>
        </w:tc>
      </w:tr>
      <w:tr w:rsidR="00D735DE">
        <w:trPr>
          <w:trHeight w:val="400"/>
        </w:trPr>
        <w:tc>
          <w:tcPr>
            <w:tcW w:w="1050" w:type="dxa"/>
            <w:vMerge w:val="restart"/>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i/>
                <w:sz w:val="18"/>
                <w:szCs w:val="18"/>
              </w:rPr>
            </w:pPr>
            <w:r>
              <w:rPr>
                <w:i/>
                <w:sz w:val="18"/>
                <w:szCs w:val="18"/>
              </w:rPr>
              <w:t>BSG</w:t>
            </w:r>
          </w:p>
        </w:tc>
        <w:tc>
          <w:tcPr>
            <w:tcW w:w="2880" w:type="dxa"/>
            <w:vMerge w:val="restart"/>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GTCGTCAGAACACATCAACG</w:t>
            </w:r>
          </w:p>
        </w:tc>
        <w:tc>
          <w:tcPr>
            <w:tcW w:w="3690" w:type="dxa"/>
            <w:tcBorders>
              <w:top w:val="nil"/>
              <w:left w:val="nil"/>
              <w:bottom w:val="nil"/>
              <w:right w:val="nil"/>
            </w:tcBorders>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S: CACCGTCGTCAGAACACATCAACG</w:t>
            </w:r>
          </w:p>
        </w:tc>
        <w:tc>
          <w:tcPr>
            <w:tcW w:w="2400" w:type="dxa"/>
            <w:vMerge w:val="restart"/>
            <w:tcBorders>
              <w:top w:val="nil"/>
              <w:left w:val="nil"/>
              <w:bottom w:val="nil"/>
              <w:right w:val="nil"/>
            </w:tcBorders>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BSG_CCDS12032.1_ex2_19:580670-580693:+_9-4</w:t>
            </w:r>
          </w:p>
        </w:tc>
      </w:tr>
      <w:tr w:rsidR="00D735DE">
        <w:trPr>
          <w:trHeight w:val="400"/>
        </w:trPr>
        <w:tc>
          <w:tcPr>
            <w:tcW w:w="105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288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3690" w:type="dxa"/>
            <w:tcBorders>
              <w:top w:val="nil"/>
              <w:left w:val="nil"/>
              <w:bottom w:val="nil"/>
              <w:right w:val="nil"/>
            </w:tcBorders>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AS: AAACCGTTGATGTGTTCTGACGAC</w:t>
            </w:r>
          </w:p>
        </w:tc>
        <w:tc>
          <w:tcPr>
            <w:tcW w:w="240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r>
      <w:tr w:rsidR="00D735DE">
        <w:trPr>
          <w:trHeight w:val="400"/>
        </w:trPr>
        <w:tc>
          <w:tcPr>
            <w:tcW w:w="1050" w:type="dxa"/>
            <w:vMerge w:val="restart"/>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i/>
                <w:sz w:val="18"/>
                <w:szCs w:val="18"/>
              </w:rPr>
            </w:pPr>
            <w:r>
              <w:rPr>
                <w:i/>
                <w:sz w:val="18"/>
                <w:szCs w:val="18"/>
              </w:rPr>
              <w:t>EXTL3</w:t>
            </w:r>
          </w:p>
        </w:tc>
        <w:tc>
          <w:tcPr>
            <w:tcW w:w="2880" w:type="dxa"/>
            <w:vMerge w:val="restart"/>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GGTCCATCCGTCCGCCAGTG</w:t>
            </w:r>
          </w:p>
        </w:tc>
        <w:tc>
          <w:tcPr>
            <w:tcW w:w="3690" w:type="dxa"/>
            <w:tcBorders>
              <w:top w:val="nil"/>
              <w:left w:val="nil"/>
              <w:bottom w:val="nil"/>
              <w:right w:val="nil"/>
            </w:tcBorders>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S: CACCGGTCCATCCGTCCGCCAGTG</w:t>
            </w:r>
          </w:p>
        </w:tc>
        <w:tc>
          <w:tcPr>
            <w:tcW w:w="2400" w:type="dxa"/>
            <w:vMerge w:val="restart"/>
            <w:tcBorders>
              <w:top w:val="nil"/>
              <w:left w:val="nil"/>
              <w:bottom w:val="nil"/>
              <w:right w:val="nil"/>
            </w:tcBorders>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EXTL3_CCDS6070.1_ex0_8:28574365-28574388:-_5-3</w:t>
            </w:r>
          </w:p>
        </w:tc>
      </w:tr>
      <w:tr w:rsidR="00D735DE">
        <w:trPr>
          <w:trHeight w:val="400"/>
        </w:trPr>
        <w:tc>
          <w:tcPr>
            <w:tcW w:w="105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288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369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AS: AAACCACTGGCGGACGGATGGACC</w:t>
            </w:r>
          </w:p>
        </w:tc>
        <w:tc>
          <w:tcPr>
            <w:tcW w:w="240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r>
      <w:tr w:rsidR="00D735DE">
        <w:trPr>
          <w:trHeight w:val="400"/>
        </w:trPr>
        <w:tc>
          <w:tcPr>
            <w:tcW w:w="1050" w:type="dxa"/>
            <w:vMerge w:val="restart"/>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i/>
                <w:sz w:val="18"/>
                <w:szCs w:val="18"/>
              </w:rPr>
            </w:pPr>
            <w:r>
              <w:rPr>
                <w:i/>
                <w:sz w:val="18"/>
                <w:szCs w:val="18"/>
              </w:rPr>
              <w:t>SLC35B2</w:t>
            </w:r>
          </w:p>
        </w:tc>
        <w:tc>
          <w:tcPr>
            <w:tcW w:w="2880" w:type="dxa"/>
            <w:vMerge w:val="restart"/>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GTCGGCGCAGCTACGAACAC</w:t>
            </w:r>
          </w:p>
        </w:tc>
        <w:tc>
          <w:tcPr>
            <w:tcW w:w="3690" w:type="dxa"/>
            <w:tcBorders>
              <w:top w:val="nil"/>
              <w:left w:val="nil"/>
              <w:bottom w:val="nil"/>
              <w:right w:val="nil"/>
            </w:tcBorders>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S: CACCGTCGGCGCAGCTACGAACAC</w:t>
            </w:r>
          </w:p>
        </w:tc>
        <w:tc>
          <w:tcPr>
            <w:tcW w:w="2400" w:type="dxa"/>
            <w:vMerge w:val="restart"/>
            <w:tcBorders>
              <w:top w:val="nil"/>
              <w:left w:val="nil"/>
              <w:bottom w:val="nil"/>
              <w:right w:val="nil"/>
            </w:tcBorders>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SLC35B2_CCDS34462.1_ex0_6:44223027-44223050:-_5-1</w:t>
            </w:r>
          </w:p>
        </w:tc>
      </w:tr>
      <w:tr w:rsidR="00D735DE">
        <w:trPr>
          <w:trHeight w:val="400"/>
        </w:trPr>
        <w:tc>
          <w:tcPr>
            <w:tcW w:w="105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288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3690" w:type="dxa"/>
            <w:tcBorders>
              <w:top w:val="nil"/>
              <w:left w:val="nil"/>
              <w:bottom w:val="nil"/>
              <w:right w:val="nil"/>
            </w:tcBorders>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AS: AAACGTGTTCGTAGCTGCGCCGAC</w:t>
            </w:r>
          </w:p>
        </w:tc>
        <w:tc>
          <w:tcPr>
            <w:tcW w:w="240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r>
      <w:tr w:rsidR="00D735DE">
        <w:trPr>
          <w:trHeight w:val="400"/>
        </w:trPr>
        <w:tc>
          <w:tcPr>
            <w:tcW w:w="1050" w:type="dxa"/>
            <w:vMerge w:val="restart"/>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i/>
                <w:sz w:val="18"/>
                <w:szCs w:val="18"/>
              </w:rPr>
            </w:pPr>
            <w:r>
              <w:rPr>
                <w:i/>
                <w:sz w:val="18"/>
                <w:szCs w:val="18"/>
              </w:rPr>
              <w:t>TP53</w:t>
            </w:r>
          </w:p>
        </w:tc>
        <w:tc>
          <w:tcPr>
            <w:tcW w:w="2880" w:type="dxa"/>
            <w:vMerge w:val="restart"/>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GCAGTCACAGCACATGACGG</w:t>
            </w:r>
          </w:p>
        </w:tc>
        <w:tc>
          <w:tcPr>
            <w:tcW w:w="3690" w:type="dxa"/>
            <w:tcBorders>
              <w:top w:val="nil"/>
              <w:left w:val="nil"/>
              <w:bottom w:val="nil"/>
              <w:right w:val="nil"/>
            </w:tcBorders>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S: CACCGCAGTCACAGCACATGACGG</w:t>
            </w:r>
          </w:p>
        </w:tc>
        <w:tc>
          <w:tcPr>
            <w:tcW w:w="2400" w:type="dxa"/>
            <w:vMerge w:val="restart"/>
            <w:tcBorders>
              <w:top w:val="nil"/>
              <w:left w:val="nil"/>
              <w:bottom w:val="nil"/>
              <w:right w:val="nil"/>
            </w:tcBorders>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TP53_CCDS11118.1_ex6_17:7578415-7578438:-_5-1</w:t>
            </w:r>
          </w:p>
        </w:tc>
      </w:tr>
      <w:tr w:rsidR="00D735DE">
        <w:trPr>
          <w:trHeight w:val="400"/>
        </w:trPr>
        <w:tc>
          <w:tcPr>
            <w:tcW w:w="105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288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3690" w:type="dxa"/>
            <w:tcBorders>
              <w:top w:val="nil"/>
              <w:left w:val="nil"/>
              <w:bottom w:val="nil"/>
              <w:right w:val="nil"/>
            </w:tcBorders>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AS: AAACCCGTCATGTGCTGTGACTGC</w:t>
            </w:r>
          </w:p>
        </w:tc>
        <w:tc>
          <w:tcPr>
            <w:tcW w:w="240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r>
      <w:tr w:rsidR="00D735DE">
        <w:trPr>
          <w:trHeight w:val="400"/>
        </w:trPr>
        <w:tc>
          <w:tcPr>
            <w:tcW w:w="1050" w:type="dxa"/>
            <w:vMerge w:val="restart"/>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i/>
                <w:sz w:val="18"/>
                <w:szCs w:val="18"/>
              </w:rPr>
            </w:pPr>
            <w:r>
              <w:rPr>
                <w:i/>
                <w:sz w:val="18"/>
                <w:szCs w:val="18"/>
              </w:rPr>
              <w:t>IGF2R(4)</w:t>
            </w:r>
          </w:p>
        </w:tc>
        <w:tc>
          <w:tcPr>
            <w:tcW w:w="2880" w:type="dxa"/>
            <w:vMerge w:val="restart"/>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GCGGTCACTACGCATTCCAG</w:t>
            </w:r>
          </w:p>
        </w:tc>
        <w:tc>
          <w:tcPr>
            <w:tcW w:w="3690" w:type="dxa"/>
            <w:tcBorders>
              <w:top w:val="nil"/>
              <w:left w:val="nil"/>
              <w:bottom w:val="nil"/>
              <w:right w:val="nil"/>
            </w:tcBorders>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S: CACCGCGGTCACTACGCATTCCAG</w:t>
            </w:r>
          </w:p>
        </w:tc>
        <w:tc>
          <w:tcPr>
            <w:tcW w:w="2400" w:type="dxa"/>
            <w:vMerge w:val="restart"/>
            <w:tcBorders>
              <w:top w:val="nil"/>
              <w:left w:val="nil"/>
              <w:bottom w:val="nil"/>
              <w:right w:val="nil"/>
            </w:tcBorders>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IGF2R_CCDS5273.1_ex16_6:160468883-160468906:-_5-4</w:t>
            </w:r>
          </w:p>
        </w:tc>
      </w:tr>
      <w:tr w:rsidR="00D735DE">
        <w:trPr>
          <w:trHeight w:val="400"/>
        </w:trPr>
        <w:tc>
          <w:tcPr>
            <w:tcW w:w="105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288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3690" w:type="dxa"/>
            <w:tcBorders>
              <w:top w:val="nil"/>
              <w:left w:val="nil"/>
              <w:bottom w:val="nil"/>
              <w:right w:val="nil"/>
            </w:tcBorders>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AS: AAACCTGGAATGCGTAGTGACCGC</w:t>
            </w:r>
          </w:p>
        </w:tc>
        <w:tc>
          <w:tcPr>
            <w:tcW w:w="240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r>
      <w:tr w:rsidR="00D735DE">
        <w:trPr>
          <w:trHeight w:val="400"/>
        </w:trPr>
        <w:tc>
          <w:tcPr>
            <w:tcW w:w="1050" w:type="dxa"/>
            <w:vMerge w:val="restart"/>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i/>
                <w:sz w:val="18"/>
                <w:szCs w:val="18"/>
              </w:rPr>
            </w:pPr>
            <w:r>
              <w:rPr>
                <w:i/>
                <w:sz w:val="18"/>
                <w:szCs w:val="18"/>
              </w:rPr>
              <w:t>IGF2R(5)</w:t>
            </w:r>
          </w:p>
        </w:tc>
        <w:tc>
          <w:tcPr>
            <w:tcW w:w="2880" w:type="dxa"/>
            <w:vMerge w:val="restart"/>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GACAACGACGGATACAGACC</w:t>
            </w:r>
          </w:p>
          <w:p w:rsidR="00D735DE" w:rsidRDefault="00D735DE">
            <w:pPr>
              <w:widowControl w:val="0"/>
              <w:spacing w:line="240" w:lineRule="auto"/>
              <w:rPr>
                <w:sz w:val="18"/>
                <w:szCs w:val="18"/>
              </w:rPr>
            </w:pPr>
          </w:p>
          <w:p w:rsidR="00D735DE" w:rsidRDefault="00D735DE">
            <w:pPr>
              <w:widowControl w:val="0"/>
              <w:spacing w:line="240" w:lineRule="auto"/>
              <w:rPr>
                <w:sz w:val="18"/>
                <w:szCs w:val="18"/>
              </w:rPr>
            </w:pPr>
          </w:p>
        </w:tc>
        <w:tc>
          <w:tcPr>
            <w:tcW w:w="3690" w:type="dxa"/>
            <w:tcBorders>
              <w:top w:val="nil"/>
              <w:left w:val="nil"/>
              <w:bottom w:val="nil"/>
              <w:right w:val="nil"/>
            </w:tcBorders>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S: CACCGACAACGACGGATACAGACC</w:t>
            </w:r>
          </w:p>
        </w:tc>
        <w:tc>
          <w:tcPr>
            <w:tcW w:w="2400" w:type="dxa"/>
            <w:vMerge w:val="restart"/>
            <w:tcBorders>
              <w:top w:val="nil"/>
              <w:left w:val="nil"/>
              <w:bottom w:val="nil"/>
              <w:right w:val="nil"/>
            </w:tcBorders>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IGF2R_CCDS5273.1_ex19_6:160477535-160477558:+_5-5</w:t>
            </w:r>
          </w:p>
        </w:tc>
      </w:tr>
      <w:tr w:rsidR="00D735DE">
        <w:trPr>
          <w:trHeight w:val="400"/>
        </w:trPr>
        <w:tc>
          <w:tcPr>
            <w:tcW w:w="105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288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3690" w:type="dxa"/>
            <w:tcBorders>
              <w:top w:val="nil"/>
              <w:left w:val="nil"/>
              <w:bottom w:val="nil"/>
              <w:right w:val="nil"/>
            </w:tcBorders>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AS: AAACGGTCTGTATCCGTCGTTGTC</w:t>
            </w:r>
          </w:p>
        </w:tc>
        <w:tc>
          <w:tcPr>
            <w:tcW w:w="240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r>
      <w:tr w:rsidR="00D735DE">
        <w:trPr>
          <w:trHeight w:val="400"/>
        </w:trPr>
        <w:tc>
          <w:tcPr>
            <w:tcW w:w="1050" w:type="dxa"/>
            <w:vMerge w:val="restart"/>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i/>
                <w:sz w:val="18"/>
                <w:szCs w:val="18"/>
              </w:rPr>
            </w:pPr>
            <w:r>
              <w:rPr>
                <w:i/>
                <w:sz w:val="18"/>
                <w:szCs w:val="18"/>
              </w:rPr>
              <w:t>WDR7</w:t>
            </w:r>
          </w:p>
        </w:tc>
        <w:tc>
          <w:tcPr>
            <w:tcW w:w="2880" w:type="dxa"/>
            <w:vMerge w:val="restart"/>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GTGCGGAATGAATCACTAGC</w:t>
            </w:r>
          </w:p>
        </w:tc>
        <w:tc>
          <w:tcPr>
            <w:tcW w:w="3690" w:type="dxa"/>
            <w:tcBorders>
              <w:top w:val="nil"/>
              <w:left w:val="nil"/>
              <w:bottom w:val="nil"/>
              <w:right w:val="nil"/>
            </w:tcBorders>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S: CACCGTGCGGAATGAATCACTAGC</w:t>
            </w:r>
          </w:p>
        </w:tc>
        <w:tc>
          <w:tcPr>
            <w:tcW w:w="2400" w:type="dxa"/>
            <w:vMerge w:val="restart"/>
            <w:tcBorders>
              <w:top w:val="nil"/>
              <w:left w:val="nil"/>
              <w:bottom w:val="nil"/>
              <w:right w:val="nil"/>
            </w:tcBorders>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WDR7_CCDS11962.1_ex7_18:54358952-54358975:-_5-5</w:t>
            </w:r>
          </w:p>
        </w:tc>
      </w:tr>
      <w:tr w:rsidR="00D735DE">
        <w:trPr>
          <w:trHeight w:val="400"/>
        </w:trPr>
        <w:tc>
          <w:tcPr>
            <w:tcW w:w="105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288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3690" w:type="dxa"/>
            <w:tcBorders>
              <w:top w:val="nil"/>
              <w:left w:val="nil"/>
              <w:bottom w:val="nil"/>
              <w:right w:val="nil"/>
            </w:tcBorders>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AS: AAACGCTAGTGATTCATTCCGCAC</w:t>
            </w:r>
          </w:p>
        </w:tc>
        <w:tc>
          <w:tcPr>
            <w:tcW w:w="240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r>
    </w:tbl>
    <w:p w:rsidR="00D735DE" w:rsidRDefault="00D735DE">
      <w:pPr>
        <w:pBdr>
          <w:top w:val="none" w:sz="0" w:space="0" w:color="auto"/>
          <w:left w:val="none" w:sz="0" w:space="0" w:color="auto"/>
          <w:bottom w:val="none" w:sz="0" w:space="0" w:color="auto"/>
          <w:right w:val="none" w:sz="0" w:space="0" w:color="auto"/>
          <w:between w:val="none" w:sz="0" w:space="0" w:color="auto"/>
        </w:pBdr>
        <w:spacing w:after="300"/>
        <w:rPr>
          <w:sz w:val="20"/>
          <w:szCs w:val="20"/>
        </w:rPr>
      </w:pPr>
    </w:p>
    <w:p w:rsidR="00B54AC0" w:rsidRDefault="00B54AC0">
      <w:pPr>
        <w:rPr>
          <w:b/>
          <w:sz w:val="20"/>
          <w:szCs w:val="20"/>
          <w:highlight w:val="white"/>
        </w:rPr>
      </w:pPr>
      <w:r>
        <w:rPr>
          <w:b/>
          <w:sz w:val="20"/>
          <w:szCs w:val="20"/>
          <w:highlight w:val="white"/>
        </w:rPr>
        <w:br w:type="page"/>
      </w:r>
    </w:p>
    <w:p w:rsidR="00D735DE" w:rsidRDefault="00883E21">
      <w:pPr>
        <w:pBdr>
          <w:top w:val="none" w:sz="0" w:space="0" w:color="auto"/>
          <w:left w:val="none" w:sz="0" w:space="0" w:color="auto"/>
          <w:bottom w:val="none" w:sz="0" w:space="0" w:color="auto"/>
          <w:right w:val="none" w:sz="0" w:space="0" w:color="auto"/>
          <w:between w:val="none" w:sz="0" w:space="0" w:color="auto"/>
        </w:pBdr>
        <w:spacing w:after="300"/>
        <w:rPr>
          <w:sz w:val="20"/>
          <w:szCs w:val="20"/>
        </w:rPr>
      </w:pPr>
      <w:r>
        <w:rPr>
          <w:b/>
          <w:sz w:val="20"/>
          <w:szCs w:val="20"/>
          <w:highlight w:val="white"/>
        </w:rPr>
        <w:lastRenderedPageBreak/>
        <w:t>Supplemental Table S</w:t>
      </w:r>
      <w:r>
        <w:rPr>
          <w:b/>
          <w:sz w:val="20"/>
          <w:szCs w:val="20"/>
        </w:rPr>
        <w:t>4: Summary of the screening parameters for all screens carried out in this study.</w:t>
      </w:r>
      <w:r>
        <w:rPr>
          <w:sz w:val="20"/>
          <w:szCs w:val="20"/>
        </w:rPr>
        <w:t xml:space="preserve"> The table indicates the total number of cells screened within each library, the day the selection was performed, the number of collected cells, and the sorting threshold each for each indicated staining probe/cell line pairing used.</w:t>
      </w:r>
    </w:p>
    <w:tbl>
      <w:tblPr>
        <w:tblStyle w:val="a2"/>
        <w:tblW w:w="9195"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350"/>
        <w:gridCol w:w="1068"/>
        <w:gridCol w:w="1782"/>
        <w:gridCol w:w="1380"/>
        <w:gridCol w:w="2265"/>
      </w:tblGrid>
      <w:tr w:rsidR="00D735DE" w:rsidTr="008552B6">
        <w:tc>
          <w:tcPr>
            <w:tcW w:w="1350" w:type="dxa"/>
            <w:tcBorders>
              <w:top w:val="nil"/>
              <w:left w:val="nil"/>
              <w:bottom w:val="nil"/>
              <w:right w:val="nil"/>
            </w:tcBorders>
            <w:shd w:val="clear" w:color="auto" w:fill="B7B7B7"/>
            <w:tcMar>
              <w:top w:w="100" w:type="dxa"/>
              <w:left w:w="100" w:type="dxa"/>
              <w:bottom w:w="100" w:type="dxa"/>
              <w:right w:w="100" w:type="dxa"/>
            </w:tcMar>
          </w:tcPr>
          <w:p w:rsidR="00D735DE" w:rsidRDefault="00883E21">
            <w:pPr>
              <w:widowControl w:val="0"/>
              <w:spacing w:line="240" w:lineRule="auto"/>
              <w:rPr>
                <w:b/>
                <w:sz w:val="20"/>
                <w:szCs w:val="20"/>
              </w:rPr>
            </w:pPr>
            <w:r>
              <w:rPr>
                <w:b/>
                <w:sz w:val="20"/>
                <w:szCs w:val="20"/>
              </w:rPr>
              <w:t>Cell line</w:t>
            </w:r>
          </w:p>
        </w:tc>
        <w:tc>
          <w:tcPr>
            <w:tcW w:w="1350" w:type="dxa"/>
            <w:tcBorders>
              <w:top w:val="nil"/>
              <w:left w:val="nil"/>
              <w:bottom w:val="nil"/>
              <w:right w:val="nil"/>
            </w:tcBorders>
            <w:shd w:val="clear" w:color="auto" w:fill="B7B7B7"/>
            <w:tcMar>
              <w:top w:w="100" w:type="dxa"/>
              <w:left w:w="100" w:type="dxa"/>
              <w:bottom w:w="100" w:type="dxa"/>
              <w:right w:w="100" w:type="dxa"/>
            </w:tcMar>
          </w:tcPr>
          <w:p w:rsidR="00D735DE" w:rsidRDefault="00883E21">
            <w:pPr>
              <w:widowControl w:val="0"/>
              <w:spacing w:line="240" w:lineRule="auto"/>
              <w:rPr>
                <w:b/>
                <w:sz w:val="20"/>
                <w:szCs w:val="20"/>
              </w:rPr>
            </w:pPr>
            <w:r>
              <w:rPr>
                <w:b/>
                <w:sz w:val="20"/>
                <w:szCs w:val="20"/>
              </w:rPr>
              <w:t>Staining probe</w:t>
            </w:r>
          </w:p>
        </w:tc>
        <w:tc>
          <w:tcPr>
            <w:tcW w:w="1068" w:type="dxa"/>
            <w:tcBorders>
              <w:top w:val="nil"/>
              <w:left w:val="nil"/>
              <w:bottom w:val="nil"/>
              <w:right w:val="nil"/>
            </w:tcBorders>
            <w:shd w:val="clear" w:color="auto" w:fill="B7B7B7"/>
            <w:tcMar>
              <w:top w:w="100" w:type="dxa"/>
              <w:left w:w="100" w:type="dxa"/>
              <w:bottom w:w="100" w:type="dxa"/>
              <w:right w:w="100" w:type="dxa"/>
            </w:tcMar>
          </w:tcPr>
          <w:p w:rsidR="00D735DE" w:rsidRDefault="00883E21">
            <w:pPr>
              <w:widowControl w:val="0"/>
              <w:spacing w:line="240" w:lineRule="auto"/>
              <w:rPr>
                <w:b/>
                <w:sz w:val="20"/>
                <w:szCs w:val="20"/>
              </w:rPr>
            </w:pPr>
            <w:r>
              <w:rPr>
                <w:b/>
                <w:sz w:val="20"/>
                <w:szCs w:val="20"/>
              </w:rPr>
              <w:t>Day of selection</w:t>
            </w:r>
          </w:p>
        </w:tc>
        <w:tc>
          <w:tcPr>
            <w:tcW w:w="1782" w:type="dxa"/>
            <w:tcBorders>
              <w:top w:val="nil"/>
              <w:left w:val="nil"/>
              <w:bottom w:val="nil"/>
              <w:right w:val="nil"/>
            </w:tcBorders>
            <w:shd w:val="clear" w:color="auto" w:fill="B7B7B7"/>
            <w:tcMar>
              <w:top w:w="100" w:type="dxa"/>
              <w:left w:w="100" w:type="dxa"/>
              <w:bottom w:w="100" w:type="dxa"/>
              <w:right w:w="100" w:type="dxa"/>
            </w:tcMar>
          </w:tcPr>
          <w:p w:rsidR="00D735DE" w:rsidRDefault="00883E21">
            <w:pPr>
              <w:widowControl w:val="0"/>
              <w:spacing w:line="240" w:lineRule="auto"/>
              <w:rPr>
                <w:b/>
                <w:sz w:val="20"/>
                <w:szCs w:val="20"/>
              </w:rPr>
            </w:pPr>
            <w:r>
              <w:rPr>
                <w:b/>
                <w:sz w:val="20"/>
                <w:szCs w:val="20"/>
              </w:rPr>
              <w:t>Number</w:t>
            </w:r>
            <w:r w:rsidR="008552B6">
              <w:rPr>
                <w:b/>
                <w:sz w:val="20"/>
                <w:szCs w:val="20"/>
              </w:rPr>
              <w:t xml:space="preserve"> of sorted cells in the library </w:t>
            </w:r>
            <w:r>
              <w:rPr>
                <w:b/>
                <w:sz w:val="20"/>
                <w:szCs w:val="20"/>
              </w:rPr>
              <w:t>(x10</w:t>
            </w:r>
            <w:r>
              <w:rPr>
                <w:b/>
                <w:sz w:val="20"/>
                <w:szCs w:val="20"/>
                <w:vertAlign w:val="superscript"/>
              </w:rPr>
              <w:t>6</w:t>
            </w:r>
            <w:r>
              <w:rPr>
                <w:b/>
                <w:sz w:val="20"/>
                <w:szCs w:val="20"/>
              </w:rPr>
              <w:t xml:space="preserve">) </w:t>
            </w:r>
          </w:p>
        </w:tc>
        <w:tc>
          <w:tcPr>
            <w:tcW w:w="1380" w:type="dxa"/>
            <w:tcBorders>
              <w:top w:val="nil"/>
              <w:left w:val="nil"/>
              <w:bottom w:val="nil"/>
              <w:right w:val="nil"/>
            </w:tcBorders>
            <w:shd w:val="clear" w:color="auto" w:fill="B7B7B7"/>
            <w:tcMar>
              <w:top w:w="100" w:type="dxa"/>
              <w:left w:w="100" w:type="dxa"/>
              <w:bottom w:w="100" w:type="dxa"/>
              <w:right w:w="100" w:type="dxa"/>
            </w:tcMar>
          </w:tcPr>
          <w:p w:rsidR="00D735DE" w:rsidRDefault="00883E21">
            <w:pPr>
              <w:widowControl w:val="0"/>
              <w:spacing w:line="240" w:lineRule="auto"/>
              <w:rPr>
                <w:b/>
                <w:sz w:val="20"/>
                <w:szCs w:val="20"/>
              </w:rPr>
            </w:pPr>
            <w:r>
              <w:rPr>
                <w:b/>
                <w:sz w:val="20"/>
                <w:szCs w:val="20"/>
              </w:rPr>
              <w:t>Number of collected cells</w:t>
            </w:r>
          </w:p>
        </w:tc>
        <w:tc>
          <w:tcPr>
            <w:tcW w:w="2265" w:type="dxa"/>
            <w:tcBorders>
              <w:top w:val="nil"/>
              <w:left w:val="nil"/>
              <w:bottom w:val="nil"/>
              <w:right w:val="nil"/>
            </w:tcBorders>
            <w:shd w:val="clear" w:color="auto" w:fill="B7B7B7"/>
            <w:tcMar>
              <w:top w:w="100" w:type="dxa"/>
              <w:left w:w="100" w:type="dxa"/>
              <w:bottom w:w="100" w:type="dxa"/>
              <w:right w:w="100" w:type="dxa"/>
            </w:tcMar>
          </w:tcPr>
          <w:p w:rsidR="00D735DE" w:rsidRDefault="00883E21">
            <w:pPr>
              <w:widowControl w:val="0"/>
              <w:spacing w:line="240" w:lineRule="auto"/>
              <w:rPr>
                <w:b/>
                <w:sz w:val="20"/>
                <w:szCs w:val="20"/>
              </w:rPr>
            </w:pPr>
            <w:r>
              <w:rPr>
                <w:b/>
                <w:sz w:val="20"/>
                <w:szCs w:val="20"/>
              </w:rPr>
              <w:t>Sorting threshold (% of non-binding cells selected)</w:t>
            </w:r>
          </w:p>
        </w:tc>
      </w:tr>
      <w:tr w:rsidR="00D735DE" w:rsidTr="008552B6">
        <w:trPr>
          <w:trHeight w:val="400"/>
        </w:trPr>
        <w:tc>
          <w:tcPr>
            <w:tcW w:w="1350" w:type="dxa"/>
            <w:vMerge w:val="restart"/>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18"/>
                <w:szCs w:val="18"/>
              </w:rPr>
            </w:pPr>
          </w:p>
          <w:p w:rsidR="00D735DE" w:rsidRDefault="00D735DE">
            <w:pPr>
              <w:widowControl w:val="0"/>
              <w:spacing w:line="240" w:lineRule="auto"/>
              <w:rPr>
                <w:sz w:val="18"/>
                <w:szCs w:val="18"/>
              </w:rPr>
            </w:pPr>
          </w:p>
          <w:p w:rsidR="00D735DE" w:rsidRDefault="00D735DE">
            <w:pPr>
              <w:widowControl w:val="0"/>
              <w:spacing w:line="240" w:lineRule="auto"/>
              <w:rPr>
                <w:sz w:val="18"/>
                <w:szCs w:val="18"/>
              </w:rPr>
            </w:pPr>
          </w:p>
          <w:p w:rsidR="00D735DE" w:rsidRDefault="00D735DE">
            <w:pPr>
              <w:widowControl w:val="0"/>
              <w:spacing w:line="240" w:lineRule="auto"/>
              <w:rPr>
                <w:sz w:val="18"/>
                <w:szCs w:val="18"/>
              </w:rPr>
            </w:pPr>
          </w:p>
          <w:p w:rsidR="00D735DE" w:rsidRDefault="00D735DE">
            <w:pPr>
              <w:widowControl w:val="0"/>
              <w:spacing w:line="240" w:lineRule="auto"/>
              <w:rPr>
                <w:sz w:val="18"/>
                <w:szCs w:val="18"/>
              </w:rPr>
            </w:pPr>
          </w:p>
          <w:p w:rsidR="00D735DE" w:rsidRDefault="00D735DE">
            <w:pPr>
              <w:widowControl w:val="0"/>
              <w:spacing w:line="240" w:lineRule="auto"/>
              <w:rPr>
                <w:sz w:val="18"/>
                <w:szCs w:val="18"/>
              </w:rPr>
            </w:pPr>
          </w:p>
          <w:p w:rsidR="00D735DE" w:rsidRDefault="00D735DE">
            <w:pPr>
              <w:widowControl w:val="0"/>
              <w:spacing w:line="240" w:lineRule="auto"/>
              <w:rPr>
                <w:sz w:val="18"/>
                <w:szCs w:val="18"/>
              </w:rPr>
            </w:pPr>
          </w:p>
          <w:p w:rsidR="00D735DE" w:rsidRDefault="00D735DE">
            <w:pPr>
              <w:widowControl w:val="0"/>
              <w:spacing w:line="240" w:lineRule="auto"/>
              <w:rPr>
                <w:sz w:val="18"/>
                <w:szCs w:val="18"/>
              </w:rPr>
            </w:pPr>
          </w:p>
          <w:p w:rsidR="00D735DE" w:rsidRDefault="00D735DE">
            <w:pPr>
              <w:widowControl w:val="0"/>
              <w:spacing w:line="240" w:lineRule="auto"/>
              <w:rPr>
                <w:sz w:val="18"/>
                <w:szCs w:val="18"/>
              </w:rPr>
            </w:pPr>
          </w:p>
          <w:p w:rsidR="00D735DE" w:rsidRDefault="00D735DE">
            <w:pPr>
              <w:widowControl w:val="0"/>
              <w:spacing w:line="240" w:lineRule="auto"/>
              <w:rPr>
                <w:sz w:val="18"/>
                <w:szCs w:val="18"/>
              </w:rPr>
            </w:pPr>
          </w:p>
          <w:p w:rsidR="00D735DE" w:rsidRDefault="00D735DE">
            <w:pPr>
              <w:widowControl w:val="0"/>
              <w:spacing w:line="240" w:lineRule="auto"/>
              <w:rPr>
                <w:sz w:val="18"/>
                <w:szCs w:val="18"/>
              </w:rPr>
            </w:pPr>
          </w:p>
          <w:p w:rsidR="00D735DE" w:rsidRDefault="00D735DE">
            <w:pPr>
              <w:widowControl w:val="0"/>
              <w:spacing w:line="240" w:lineRule="auto"/>
              <w:rPr>
                <w:sz w:val="18"/>
                <w:szCs w:val="18"/>
              </w:rPr>
            </w:pPr>
          </w:p>
          <w:p w:rsidR="00D735DE" w:rsidRDefault="00883E21">
            <w:pPr>
              <w:widowControl w:val="0"/>
              <w:spacing w:line="240" w:lineRule="auto"/>
              <w:rPr>
                <w:sz w:val="18"/>
                <w:szCs w:val="18"/>
              </w:rPr>
            </w:pPr>
            <w:r>
              <w:rPr>
                <w:sz w:val="18"/>
                <w:szCs w:val="18"/>
              </w:rPr>
              <w:t>HEK293</w:t>
            </w:r>
          </w:p>
        </w:tc>
        <w:tc>
          <w:tcPr>
            <w:tcW w:w="135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 xml:space="preserve">BRIC229 </w:t>
            </w:r>
          </w:p>
        </w:tc>
        <w:tc>
          <w:tcPr>
            <w:tcW w:w="1068"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15</w:t>
            </w:r>
          </w:p>
        </w:tc>
        <w:tc>
          <w:tcPr>
            <w:tcW w:w="1782"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 xml:space="preserve">100 </w:t>
            </w:r>
          </w:p>
        </w:tc>
        <w:tc>
          <w:tcPr>
            <w:tcW w:w="138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380,000</w:t>
            </w:r>
          </w:p>
        </w:tc>
        <w:tc>
          <w:tcPr>
            <w:tcW w:w="226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 xml:space="preserve">0.5 </w:t>
            </w:r>
          </w:p>
        </w:tc>
      </w:tr>
      <w:tr w:rsidR="00D735DE" w:rsidTr="008552B6">
        <w:trPr>
          <w:trHeight w:val="400"/>
        </w:trPr>
        <w:tc>
          <w:tcPr>
            <w:tcW w:w="135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18"/>
                <w:szCs w:val="18"/>
              </w:rPr>
            </w:pPr>
          </w:p>
        </w:tc>
        <w:tc>
          <w:tcPr>
            <w:tcW w:w="135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BRIC229 (repeated)</w:t>
            </w:r>
          </w:p>
        </w:tc>
        <w:tc>
          <w:tcPr>
            <w:tcW w:w="1068"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15</w:t>
            </w:r>
          </w:p>
        </w:tc>
        <w:tc>
          <w:tcPr>
            <w:tcW w:w="1782"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100</w:t>
            </w:r>
          </w:p>
        </w:tc>
        <w:tc>
          <w:tcPr>
            <w:tcW w:w="138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340,000</w:t>
            </w:r>
          </w:p>
        </w:tc>
        <w:tc>
          <w:tcPr>
            <w:tcW w:w="226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0.45</w:t>
            </w:r>
          </w:p>
        </w:tc>
      </w:tr>
      <w:tr w:rsidR="00D735DE" w:rsidTr="008552B6">
        <w:trPr>
          <w:trHeight w:val="400"/>
        </w:trPr>
        <w:tc>
          <w:tcPr>
            <w:tcW w:w="135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135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BRIC126</w:t>
            </w:r>
          </w:p>
        </w:tc>
        <w:tc>
          <w:tcPr>
            <w:tcW w:w="1068"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9</w:t>
            </w:r>
          </w:p>
        </w:tc>
        <w:tc>
          <w:tcPr>
            <w:tcW w:w="1782"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 xml:space="preserve">80 </w:t>
            </w:r>
          </w:p>
        </w:tc>
        <w:tc>
          <w:tcPr>
            <w:tcW w:w="138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280,000</w:t>
            </w:r>
          </w:p>
        </w:tc>
        <w:tc>
          <w:tcPr>
            <w:tcW w:w="226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 xml:space="preserve">1 </w:t>
            </w:r>
          </w:p>
        </w:tc>
      </w:tr>
      <w:tr w:rsidR="00D735DE" w:rsidTr="008552B6">
        <w:trPr>
          <w:trHeight w:val="400"/>
        </w:trPr>
        <w:tc>
          <w:tcPr>
            <w:tcW w:w="135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135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B6H12</w:t>
            </w:r>
          </w:p>
        </w:tc>
        <w:tc>
          <w:tcPr>
            <w:tcW w:w="1068"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9</w:t>
            </w:r>
          </w:p>
        </w:tc>
        <w:tc>
          <w:tcPr>
            <w:tcW w:w="1782"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 xml:space="preserve">80 </w:t>
            </w:r>
          </w:p>
        </w:tc>
        <w:tc>
          <w:tcPr>
            <w:tcW w:w="138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200,000</w:t>
            </w:r>
          </w:p>
        </w:tc>
        <w:tc>
          <w:tcPr>
            <w:tcW w:w="226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 xml:space="preserve">1 </w:t>
            </w:r>
          </w:p>
        </w:tc>
      </w:tr>
      <w:tr w:rsidR="00D735DE" w:rsidTr="008552B6">
        <w:trPr>
          <w:trHeight w:val="400"/>
        </w:trPr>
        <w:tc>
          <w:tcPr>
            <w:tcW w:w="135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135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MEM6/6</w:t>
            </w:r>
          </w:p>
        </w:tc>
        <w:tc>
          <w:tcPr>
            <w:tcW w:w="1068"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16</w:t>
            </w:r>
          </w:p>
        </w:tc>
        <w:tc>
          <w:tcPr>
            <w:tcW w:w="1782"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60</w:t>
            </w:r>
          </w:p>
        </w:tc>
        <w:tc>
          <w:tcPr>
            <w:tcW w:w="138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40,000</w:t>
            </w:r>
          </w:p>
        </w:tc>
        <w:tc>
          <w:tcPr>
            <w:tcW w:w="226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0.2</w:t>
            </w:r>
          </w:p>
        </w:tc>
      </w:tr>
      <w:tr w:rsidR="00D735DE" w:rsidTr="008552B6">
        <w:trPr>
          <w:trHeight w:val="400"/>
        </w:trPr>
        <w:tc>
          <w:tcPr>
            <w:tcW w:w="135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135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BRIC5</w:t>
            </w:r>
          </w:p>
        </w:tc>
        <w:tc>
          <w:tcPr>
            <w:tcW w:w="1068"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9</w:t>
            </w:r>
          </w:p>
        </w:tc>
        <w:tc>
          <w:tcPr>
            <w:tcW w:w="1782"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50</w:t>
            </w:r>
          </w:p>
        </w:tc>
        <w:tc>
          <w:tcPr>
            <w:tcW w:w="138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120,000</w:t>
            </w:r>
          </w:p>
        </w:tc>
        <w:tc>
          <w:tcPr>
            <w:tcW w:w="226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0.8</w:t>
            </w:r>
          </w:p>
        </w:tc>
      </w:tr>
      <w:tr w:rsidR="00D735DE" w:rsidTr="008552B6">
        <w:trPr>
          <w:trHeight w:val="400"/>
        </w:trPr>
        <w:tc>
          <w:tcPr>
            <w:tcW w:w="135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135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P16</w:t>
            </w:r>
          </w:p>
        </w:tc>
        <w:tc>
          <w:tcPr>
            <w:tcW w:w="1068"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9</w:t>
            </w:r>
          </w:p>
        </w:tc>
        <w:tc>
          <w:tcPr>
            <w:tcW w:w="1782"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 xml:space="preserve">60 </w:t>
            </w:r>
          </w:p>
        </w:tc>
        <w:tc>
          <w:tcPr>
            <w:tcW w:w="138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180,000</w:t>
            </w:r>
          </w:p>
        </w:tc>
        <w:tc>
          <w:tcPr>
            <w:tcW w:w="226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 xml:space="preserve">1 </w:t>
            </w:r>
          </w:p>
        </w:tc>
      </w:tr>
      <w:tr w:rsidR="00D735DE" w:rsidTr="008552B6">
        <w:trPr>
          <w:trHeight w:val="400"/>
        </w:trPr>
        <w:tc>
          <w:tcPr>
            <w:tcW w:w="135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135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CD226</w:t>
            </w:r>
          </w:p>
        </w:tc>
        <w:tc>
          <w:tcPr>
            <w:tcW w:w="1068"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9</w:t>
            </w:r>
          </w:p>
        </w:tc>
        <w:tc>
          <w:tcPr>
            <w:tcW w:w="1782"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 xml:space="preserve">70 </w:t>
            </w:r>
          </w:p>
        </w:tc>
        <w:tc>
          <w:tcPr>
            <w:tcW w:w="138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340,000</w:t>
            </w:r>
          </w:p>
        </w:tc>
        <w:tc>
          <w:tcPr>
            <w:tcW w:w="226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 xml:space="preserve">1.7 </w:t>
            </w:r>
          </w:p>
        </w:tc>
      </w:tr>
      <w:tr w:rsidR="00D735DE" w:rsidTr="008552B6">
        <w:trPr>
          <w:trHeight w:val="400"/>
        </w:trPr>
        <w:tc>
          <w:tcPr>
            <w:tcW w:w="135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135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EPHB1</w:t>
            </w:r>
          </w:p>
        </w:tc>
        <w:tc>
          <w:tcPr>
            <w:tcW w:w="1068"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9</w:t>
            </w:r>
          </w:p>
        </w:tc>
        <w:tc>
          <w:tcPr>
            <w:tcW w:w="1782"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70</w:t>
            </w:r>
          </w:p>
        </w:tc>
        <w:tc>
          <w:tcPr>
            <w:tcW w:w="138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300,000</w:t>
            </w:r>
          </w:p>
        </w:tc>
        <w:tc>
          <w:tcPr>
            <w:tcW w:w="226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 xml:space="preserve">1.4 </w:t>
            </w:r>
          </w:p>
        </w:tc>
      </w:tr>
      <w:tr w:rsidR="00D735DE" w:rsidTr="008552B6">
        <w:trPr>
          <w:trHeight w:val="420"/>
        </w:trPr>
        <w:tc>
          <w:tcPr>
            <w:tcW w:w="135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135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CRTAM</w:t>
            </w:r>
          </w:p>
        </w:tc>
        <w:tc>
          <w:tcPr>
            <w:tcW w:w="1068"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14</w:t>
            </w:r>
          </w:p>
        </w:tc>
        <w:tc>
          <w:tcPr>
            <w:tcW w:w="1782"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70</w:t>
            </w:r>
          </w:p>
        </w:tc>
        <w:tc>
          <w:tcPr>
            <w:tcW w:w="138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500,000</w:t>
            </w:r>
          </w:p>
        </w:tc>
        <w:tc>
          <w:tcPr>
            <w:tcW w:w="226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 xml:space="preserve">1 </w:t>
            </w:r>
          </w:p>
        </w:tc>
      </w:tr>
      <w:tr w:rsidR="00D735DE" w:rsidTr="008552B6">
        <w:trPr>
          <w:trHeight w:val="420"/>
        </w:trPr>
        <w:tc>
          <w:tcPr>
            <w:tcW w:w="135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135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RH5</w:t>
            </w:r>
          </w:p>
        </w:tc>
        <w:tc>
          <w:tcPr>
            <w:tcW w:w="1068"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9</w:t>
            </w:r>
          </w:p>
        </w:tc>
        <w:tc>
          <w:tcPr>
            <w:tcW w:w="1782"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80</w:t>
            </w:r>
          </w:p>
        </w:tc>
        <w:tc>
          <w:tcPr>
            <w:tcW w:w="138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200,000</w:t>
            </w:r>
          </w:p>
        </w:tc>
        <w:tc>
          <w:tcPr>
            <w:tcW w:w="226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0.7</w:t>
            </w:r>
          </w:p>
        </w:tc>
      </w:tr>
      <w:tr w:rsidR="00D735DE" w:rsidTr="008552B6">
        <w:trPr>
          <w:trHeight w:val="400"/>
        </w:trPr>
        <w:tc>
          <w:tcPr>
            <w:tcW w:w="135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135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 xml:space="preserve">TIGIT </w:t>
            </w:r>
          </w:p>
        </w:tc>
        <w:tc>
          <w:tcPr>
            <w:tcW w:w="1068"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14</w:t>
            </w:r>
          </w:p>
        </w:tc>
        <w:tc>
          <w:tcPr>
            <w:tcW w:w="1782"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 xml:space="preserve">110 </w:t>
            </w:r>
          </w:p>
        </w:tc>
        <w:tc>
          <w:tcPr>
            <w:tcW w:w="138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750,000</w:t>
            </w:r>
          </w:p>
        </w:tc>
        <w:tc>
          <w:tcPr>
            <w:tcW w:w="226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 xml:space="preserve">1.2 </w:t>
            </w:r>
          </w:p>
        </w:tc>
      </w:tr>
      <w:tr w:rsidR="00D735DE" w:rsidTr="008552B6">
        <w:trPr>
          <w:trHeight w:val="400"/>
        </w:trPr>
        <w:tc>
          <w:tcPr>
            <w:tcW w:w="135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135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TIGIT (repeated)</w:t>
            </w:r>
          </w:p>
        </w:tc>
        <w:tc>
          <w:tcPr>
            <w:tcW w:w="1068"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16</w:t>
            </w:r>
          </w:p>
        </w:tc>
        <w:tc>
          <w:tcPr>
            <w:tcW w:w="1782"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100</w:t>
            </w:r>
          </w:p>
        </w:tc>
        <w:tc>
          <w:tcPr>
            <w:tcW w:w="138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700,000</w:t>
            </w:r>
          </w:p>
        </w:tc>
        <w:tc>
          <w:tcPr>
            <w:tcW w:w="226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1.1</w:t>
            </w:r>
          </w:p>
        </w:tc>
      </w:tr>
      <w:tr w:rsidR="00C23DDA" w:rsidTr="008552B6">
        <w:trPr>
          <w:trHeight w:val="400"/>
        </w:trPr>
        <w:tc>
          <w:tcPr>
            <w:tcW w:w="1350" w:type="dxa"/>
            <w:vMerge/>
            <w:tcBorders>
              <w:top w:val="nil"/>
              <w:left w:val="nil"/>
              <w:bottom w:val="nil"/>
              <w:right w:val="nil"/>
            </w:tcBorders>
            <w:shd w:val="clear" w:color="auto" w:fill="auto"/>
            <w:tcMar>
              <w:top w:w="100" w:type="dxa"/>
              <w:left w:w="100" w:type="dxa"/>
              <w:bottom w:w="100" w:type="dxa"/>
              <w:right w:w="100" w:type="dxa"/>
            </w:tcMar>
          </w:tcPr>
          <w:p w:rsidR="00C23DDA" w:rsidRDefault="00C23DDA">
            <w:pPr>
              <w:widowControl w:val="0"/>
              <w:spacing w:line="240" w:lineRule="auto"/>
              <w:rPr>
                <w:sz w:val="20"/>
                <w:szCs w:val="20"/>
              </w:rPr>
            </w:pPr>
          </w:p>
        </w:tc>
        <w:tc>
          <w:tcPr>
            <w:tcW w:w="1350" w:type="dxa"/>
            <w:tcBorders>
              <w:top w:val="nil"/>
              <w:left w:val="nil"/>
              <w:bottom w:val="nil"/>
              <w:right w:val="nil"/>
            </w:tcBorders>
            <w:shd w:val="clear" w:color="auto" w:fill="auto"/>
            <w:tcMar>
              <w:top w:w="100" w:type="dxa"/>
              <w:left w:w="100" w:type="dxa"/>
              <w:bottom w:w="100" w:type="dxa"/>
              <w:right w:w="100" w:type="dxa"/>
            </w:tcMar>
          </w:tcPr>
          <w:p w:rsidR="00C23DDA" w:rsidRDefault="00C23DDA">
            <w:pPr>
              <w:widowControl w:val="0"/>
              <w:spacing w:line="240" w:lineRule="auto"/>
              <w:rPr>
                <w:sz w:val="18"/>
                <w:szCs w:val="18"/>
              </w:rPr>
            </w:pPr>
            <w:r>
              <w:rPr>
                <w:sz w:val="18"/>
                <w:szCs w:val="18"/>
              </w:rPr>
              <w:t>Syn1</w:t>
            </w:r>
          </w:p>
        </w:tc>
        <w:tc>
          <w:tcPr>
            <w:tcW w:w="1068" w:type="dxa"/>
            <w:tcBorders>
              <w:top w:val="nil"/>
              <w:left w:val="nil"/>
              <w:bottom w:val="nil"/>
              <w:right w:val="nil"/>
            </w:tcBorders>
            <w:shd w:val="clear" w:color="auto" w:fill="auto"/>
            <w:tcMar>
              <w:top w:w="100" w:type="dxa"/>
              <w:left w:w="100" w:type="dxa"/>
              <w:bottom w:w="100" w:type="dxa"/>
              <w:right w:w="100" w:type="dxa"/>
            </w:tcMar>
          </w:tcPr>
          <w:p w:rsidR="00C23DDA" w:rsidRDefault="001618CC">
            <w:pPr>
              <w:widowControl w:val="0"/>
              <w:spacing w:line="240" w:lineRule="auto"/>
              <w:jc w:val="center"/>
              <w:rPr>
                <w:sz w:val="18"/>
                <w:szCs w:val="18"/>
              </w:rPr>
            </w:pPr>
            <w:r>
              <w:rPr>
                <w:sz w:val="18"/>
                <w:szCs w:val="18"/>
              </w:rPr>
              <w:t>9</w:t>
            </w:r>
          </w:p>
        </w:tc>
        <w:tc>
          <w:tcPr>
            <w:tcW w:w="1782" w:type="dxa"/>
            <w:tcBorders>
              <w:top w:val="nil"/>
              <w:left w:val="nil"/>
              <w:bottom w:val="nil"/>
              <w:right w:val="nil"/>
            </w:tcBorders>
            <w:shd w:val="clear" w:color="auto" w:fill="auto"/>
            <w:tcMar>
              <w:top w:w="100" w:type="dxa"/>
              <w:left w:w="100" w:type="dxa"/>
              <w:bottom w:w="100" w:type="dxa"/>
              <w:right w:w="100" w:type="dxa"/>
            </w:tcMar>
          </w:tcPr>
          <w:p w:rsidR="00C23DDA" w:rsidRDefault="00C23DDA">
            <w:pPr>
              <w:widowControl w:val="0"/>
              <w:spacing w:line="240" w:lineRule="auto"/>
              <w:jc w:val="center"/>
              <w:rPr>
                <w:sz w:val="18"/>
                <w:szCs w:val="18"/>
              </w:rPr>
            </w:pPr>
            <w:r>
              <w:rPr>
                <w:sz w:val="18"/>
                <w:szCs w:val="18"/>
              </w:rPr>
              <w:t>100</w:t>
            </w:r>
          </w:p>
        </w:tc>
        <w:tc>
          <w:tcPr>
            <w:tcW w:w="1380" w:type="dxa"/>
            <w:tcBorders>
              <w:top w:val="nil"/>
              <w:left w:val="nil"/>
              <w:bottom w:val="nil"/>
              <w:right w:val="nil"/>
            </w:tcBorders>
            <w:shd w:val="clear" w:color="auto" w:fill="auto"/>
            <w:tcMar>
              <w:top w:w="100" w:type="dxa"/>
              <w:left w:w="100" w:type="dxa"/>
              <w:bottom w:w="100" w:type="dxa"/>
              <w:right w:w="100" w:type="dxa"/>
            </w:tcMar>
          </w:tcPr>
          <w:p w:rsidR="00C23DDA" w:rsidRDefault="00C23DDA">
            <w:pPr>
              <w:widowControl w:val="0"/>
              <w:spacing w:line="240" w:lineRule="auto"/>
              <w:rPr>
                <w:sz w:val="18"/>
                <w:szCs w:val="18"/>
              </w:rPr>
            </w:pPr>
            <w:r>
              <w:rPr>
                <w:sz w:val="18"/>
                <w:szCs w:val="18"/>
              </w:rPr>
              <w:t>800,000</w:t>
            </w:r>
          </w:p>
        </w:tc>
        <w:tc>
          <w:tcPr>
            <w:tcW w:w="2265" w:type="dxa"/>
            <w:tcBorders>
              <w:top w:val="nil"/>
              <w:left w:val="nil"/>
              <w:bottom w:val="nil"/>
              <w:right w:val="nil"/>
            </w:tcBorders>
            <w:shd w:val="clear" w:color="auto" w:fill="auto"/>
            <w:tcMar>
              <w:top w:w="100" w:type="dxa"/>
              <w:left w:w="100" w:type="dxa"/>
              <w:bottom w:w="100" w:type="dxa"/>
              <w:right w:w="100" w:type="dxa"/>
            </w:tcMar>
          </w:tcPr>
          <w:p w:rsidR="00C23DDA" w:rsidRDefault="00C23DDA">
            <w:pPr>
              <w:widowControl w:val="0"/>
              <w:spacing w:line="240" w:lineRule="auto"/>
              <w:jc w:val="center"/>
              <w:rPr>
                <w:sz w:val="18"/>
                <w:szCs w:val="18"/>
              </w:rPr>
            </w:pPr>
            <w:r>
              <w:rPr>
                <w:sz w:val="18"/>
                <w:szCs w:val="18"/>
              </w:rPr>
              <w:t>1.5</w:t>
            </w:r>
          </w:p>
        </w:tc>
      </w:tr>
      <w:tr w:rsidR="00D735DE" w:rsidTr="008552B6">
        <w:trPr>
          <w:trHeight w:val="400"/>
        </w:trPr>
        <w:tc>
          <w:tcPr>
            <w:tcW w:w="1350" w:type="dxa"/>
            <w:vMerge/>
            <w:tcBorders>
              <w:top w:val="nil"/>
              <w:left w:val="nil"/>
              <w:bottom w:val="nil"/>
              <w:right w:val="nil"/>
            </w:tcBorders>
            <w:shd w:val="clear" w:color="auto" w:fill="auto"/>
            <w:tcMar>
              <w:top w:w="100" w:type="dxa"/>
              <w:left w:w="100" w:type="dxa"/>
              <w:bottom w:w="100" w:type="dxa"/>
              <w:right w:w="100" w:type="dxa"/>
            </w:tcMar>
          </w:tcPr>
          <w:p w:rsidR="00D735DE" w:rsidRDefault="00D735DE">
            <w:pPr>
              <w:widowControl w:val="0"/>
              <w:spacing w:line="240" w:lineRule="auto"/>
              <w:rPr>
                <w:sz w:val="20"/>
                <w:szCs w:val="20"/>
              </w:rPr>
            </w:pPr>
          </w:p>
        </w:tc>
        <w:tc>
          <w:tcPr>
            <w:tcW w:w="135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GABBR2</w:t>
            </w:r>
          </w:p>
        </w:tc>
        <w:tc>
          <w:tcPr>
            <w:tcW w:w="1068"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14</w:t>
            </w:r>
          </w:p>
        </w:tc>
        <w:tc>
          <w:tcPr>
            <w:tcW w:w="1782"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 xml:space="preserve">125 </w:t>
            </w:r>
          </w:p>
        </w:tc>
        <w:tc>
          <w:tcPr>
            <w:tcW w:w="138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780,000</w:t>
            </w:r>
          </w:p>
        </w:tc>
        <w:tc>
          <w:tcPr>
            <w:tcW w:w="226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 xml:space="preserve">2.3 </w:t>
            </w:r>
          </w:p>
        </w:tc>
      </w:tr>
      <w:tr w:rsidR="00D735DE" w:rsidTr="008552B6">
        <w:trPr>
          <w:trHeight w:val="420"/>
        </w:trPr>
        <w:tc>
          <w:tcPr>
            <w:tcW w:w="135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HEL</w:t>
            </w:r>
          </w:p>
        </w:tc>
        <w:tc>
          <w:tcPr>
            <w:tcW w:w="135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BRIC256</w:t>
            </w:r>
          </w:p>
        </w:tc>
        <w:tc>
          <w:tcPr>
            <w:tcW w:w="1068"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14</w:t>
            </w:r>
          </w:p>
        </w:tc>
        <w:tc>
          <w:tcPr>
            <w:tcW w:w="1782"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 xml:space="preserve">50 </w:t>
            </w:r>
          </w:p>
        </w:tc>
        <w:tc>
          <w:tcPr>
            <w:tcW w:w="138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300,000</w:t>
            </w:r>
          </w:p>
        </w:tc>
        <w:tc>
          <w:tcPr>
            <w:tcW w:w="226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1.7</w:t>
            </w:r>
          </w:p>
        </w:tc>
      </w:tr>
      <w:tr w:rsidR="00D735DE" w:rsidTr="008552B6">
        <w:tc>
          <w:tcPr>
            <w:tcW w:w="135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NCI-SNU-1</w:t>
            </w:r>
          </w:p>
        </w:tc>
        <w:tc>
          <w:tcPr>
            <w:tcW w:w="135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TNFRSF9</w:t>
            </w:r>
          </w:p>
        </w:tc>
        <w:tc>
          <w:tcPr>
            <w:tcW w:w="1068"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14</w:t>
            </w:r>
          </w:p>
        </w:tc>
        <w:tc>
          <w:tcPr>
            <w:tcW w:w="1782"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 xml:space="preserve">80 </w:t>
            </w:r>
          </w:p>
        </w:tc>
        <w:tc>
          <w:tcPr>
            <w:tcW w:w="1380"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rPr>
                <w:sz w:val="18"/>
                <w:szCs w:val="18"/>
              </w:rPr>
            </w:pPr>
            <w:r>
              <w:rPr>
                <w:sz w:val="18"/>
                <w:szCs w:val="18"/>
              </w:rPr>
              <w:t>600,000</w:t>
            </w:r>
          </w:p>
        </w:tc>
        <w:tc>
          <w:tcPr>
            <w:tcW w:w="2265" w:type="dxa"/>
            <w:tcBorders>
              <w:top w:val="nil"/>
              <w:left w:val="nil"/>
              <w:bottom w:val="nil"/>
              <w:right w:val="nil"/>
            </w:tcBorders>
            <w:shd w:val="clear" w:color="auto" w:fill="auto"/>
            <w:tcMar>
              <w:top w:w="100" w:type="dxa"/>
              <w:left w:w="100" w:type="dxa"/>
              <w:bottom w:w="100" w:type="dxa"/>
              <w:right w:w="100" w:type="dxa"/>
            </w:tcMar>
          </w:tcPr>
          <w:p w:rsidR="00D735DE" w:rsidRDefault="00883E21">
            <w:pPr>
              <w:widowControl w:val="0"/>
              <w:spacing w:line="240" w:lineRule="auto"/>
              <w:jc w:val="center"/>
              <w:rPr>
                <w:sz w:val="18"/>
                <w:szCs w:val="18"/>
              </w:rPr>
            </w:pPr>
            <w:r>
              <w:rPr>
                <w:sz w:val="18"/>
                <w:szCs w:val="18"/>
              </w:rPr>
              <w:t xml:space="preserve">1 </w:t>
            </w:r>
          </w:p>
        </w:tc>
      </w:tr>
    </w:tbl>
    <w:p w:rsidR="00B54AC0" w:rsidRDefault="00B54AC0">
      <w:pPr>
        <w:rPr>
          <w:b/>
          <w:sz w:val="20"/>
          <w:szCs w:val="20"/>
        </w:rPr>
      </w:pPr>
    </w:p>
    <w:p w:rsidR="00D735DE" w:rsidRDefault="00883E21">
      <w:pPr>
        <w:jc w:val="both"/>
      </w:pPr>
      <w:r w:rsidRPr="00B54AC0">
        <w:rPr>
          <w:b/>
          <w:sz w:val="20"/>
          <w:szCs w:val="20"/>
        </w:rPr>
        <w:lastRenderedPageBreak/>
        <w:t>Supplemental Table S5. Summary of the relative gRNA abundances targeting the identified receptor in the different screens within this study.</w:t>
      </w:r>
      <w:r w:rsidRPr="00B54AC0">
        <w:rPr>
          <w:sz w:val="20"/>
          <w:szCs w:val="20"/>
        </w:rPr>
        <w:t xml:space="preserve"> The receptor gene identified using the indicated protein probe is indicated together with the ranked abundance position of sequencing reads for each of the gRNAs targeting that gene.</w:t>
      </w:r>
      <w:r w:rsidRPr="00B54AC0">
        <w:t xml:space="preserve"> </w:t>
      </w:r>
    </w:p>
    <w:p w:rsidR="00B54AC0" w:rsidRPr="00B54AC0" w:rsidRDefault="00B54AC0">
      <w:pPr>
        <w:jc w:val="both"/>
      </w:pPr>
    </w:p>
    <w:tbl>
      <w:tblPr>
        <w:tblStyle w:val="a3"/>
        <w:tblW w:w="99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425"/>
        <w:gridCol w:w="4035"/>
        <w:gridCol w:w="2760"/>
      </w:tblGrid>
      <w:tr w:rsidR="00D735DE">
        <w:trPr>
          <w:trHeight w:val="420"/>
        </w:trPr>
        <w:tc>
          <w:tcPr>
            <w:tcW w:w="9960" w:type="dxa"/>
            <w:gridSpan w:val="4"/>
            <w:shd w:val="clear" w:color="auto" w:fill="auto"/>
            <w:tcMar>
              <w:top w:w="100" w:type="dxa"/>
              <w:left w:w="100" w:type="dxa"/>
              <w:bottom w:w="100" w:type="dxa"/>
              <w:right w:w="100" w:type="dxa"/>
            </w:tcMar>
          </w:tcPr>
          <w:p w:rsidR="00D735DE" w:rsidRDefault="00883E21">
            <w:pPr>
              <w:widowControl w:val="0"/>
              <w:spacing w:line="240" w:lineRule="auto"/>
              <w:jc w:val="center"/>
              <w:rPr>
                <w:sz w:val="20"/>
                <w:szCs w:val="20"/>
              </w:rPr>
            </w:pPr>
            <w:r>
              <w:rPr>
                <w:sz w:val="20"/>
                <w:szCs w:val="20"/>
              </w:rPr>
              <w:t>Monoclonal antibodies</w:t>
            </w:r>
          </w:p>
        </w:tc>
      </w:tr>
      <w:tr w:rsidR="00D735DE">
        <w:tc>
          <w:tcPr>
            <w:tcW w:w="174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Antibody / protein probe</w:t>
            </w:r>
          </w:p>
        </w:tc>
        <w:tc>
          <w:tcPr>
            <w:tcW w:w="1425"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Identified Receptor</w:t>
            </w:r>
          </w:p>
        </w:tc>
        <w:tc>
          <w:tcPr>
            <w:tcW w:w="4035"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Read count abundance ranking (out of 90,709 total) for each of the five gRNAs targeting the identified receptor</w:t>
            </w:r>
          </w:p>
        </w:tc>
        <w:tc>
          <w:tcPr>
            <w:tcW w:w="276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vertAlign w:val="superscript"/>
              </w:rPr>
            </w:pPr>
            <w:r>
              <w:rPr>
                <w:sz w:val="20"/>
                <w:szCs w:val="20"/>
              </w:rPr>
              <w:t>Number of sgRNA with rank below the alpha cutoff.</w:t>
            </w:r>
            <w:r>
              <w:rPr>
                <w:sz w:val="20"/>
                <w:szCs w:val="20"/>
                <w:vertAlign w:val="superscript"/>
              </w:rPr>
              <w:t>*</w:t>
            </w:r>
          </w:p>
        </w:tc>
      </w:tr>
      <w:tr w:rsidR="00D735DE">
        <w:tc>
          <w:tcPr>
            <w:tcW w:w="174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Anti-CD58</w:t>
            </w:r>
          </w:p>
        </w:tc>
        <w:tc>
          <w:tcPr>
            <w:tcW w:w="1425" w:type="dxa"/>
            <w:shd w:val="clear" w:color="auto" w:fill="auto"/>
            <w:tcMar>
              <w:top w:w="100" w:type="dxa"/>
              <w:left w:w="100" w:type="dxa"/>
              <w:bottom w:w="100" w:type="dxa"/>
              <w:right w:w="100" w:type="dxa"/>
            </w:tcMar>
          </w:tcPr>
          <w:p w:rsidR="00D735DE" w:rsidRDefault="00883E21">
            <w:pPr>
              <w:widowControl w:val="0"/>
              <w:spacing w:line="240" w:lineRule="auto"/>
              <w:rPr>
                <w:i/>
                <w:sz w:val="20"/>
                <w:szCs w:val="20"/>
              </w:rPr>
            </w:pPr>
            <w:r>
              <w:rPr>
                <w:i/>
                <w:sz w:val="20"/>
                <w:szCs w:val="20"/>
              </w:rPr>
              <w:t>CD58</w:t>
            </w:r>
          </w:p>
        </w:tc>
        <w:tc>
          <w:tcPr>
            <w:tcW w:w="4035"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1, 16, 18, 32, 3184</w:t>
            </w:r>
          </w:p>
        </w:tc>
        <w:tc>
          <w:tcPr>
            <w:tcW w:w="276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5/5</w:t>
            </w:r>
          </w:p>
        </w:tc>
      </w:tr>
      <w:tr w:rsidR="00D735DE">
        <w:tc>
          <w:tcPr>
            <w:tcW w:w="174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Anti-CD59</w:t>
            </w:r>
          </w:p>
        </w:tc>
        <w:tc>
          <w:tcPr>
            <w:tcW w:w="1425" w:type="dxa"/>
            <w:shd w:val="clear" w:color="auto" w:fill="auto"/>
            <w:tcMar>
              <w:top w:w="100" w:type="dxa"/>
              <w:left w:w="100" w:type="dxa"/>
              <w:bottom w:w="100" w:type="dxa"/>
              <w:right w:w="100" w:type="dxa"/>
            </w:tcMar>
          </w:tcPr>
          <w:p w:rsidR="00D735DE" w:rsidRDefault="00883E21">
            <w:pPr>
              <w:widowControl w:val="0"/>
              <w:spacing w:line="240" w:lineRule="auto"/>
              <w:rPr>
                <w:i/>
                <w:sz w:val="20"/>
                <w:szCs w:val="20"/>
              </w:rPr>
            </w:pPr>
            <w:r>
              <w:rPr>
                <w:i/>
                <w:sz w:val="20"/>
                <w:szCs w:val="20"/>
              </w:rPr>
              <w:t>CD59</w:t>
            </w:r>
          </w:p>
        </w:tc>
        <w:tc>
          <w:tcPr>
            <w:tcW w:w="4035"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1, 12, 13, 45, 76</w:t>
            </w:r>
          </w:p>
        </w:tc>
        <w:tc>
          <w:tcPr>
            <w:tcW w:w="276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5/5</w:t>
            </w:r>
          </w:p>
        </w:tc>
      </w:tr>
      <w:tr w:rsidR="00D735DE">
        <w:tc>
          <w:tcPr>
            <w:tcW w:w="174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Anti-CD59 (repeated)</w:t>
            </w:r>
          </w:p>
        </w:tc>
        <w:tc>
          <w:tcPr>
            <w:tcW w:w="1425" w:type="dxa"/>
            <w:shd w:val="clear" w:color="auto" w:fill="auto"/>
            <w:tcMar>
              <w:top w:w="100" w:type="dxa"/>
              <w:left w:w="100" w:type="dxa"/>
              <w:bottom w:w="100" w:type="dxa"/>
              <w:right w:w="100" w:type="dxa"/>
            </w:tcMar>
          </w:tcPr>
          <w:p w:rsidR="00D735DE" w:rsidRDefault="00883E21">
            <w:pPr>
              <w:widowControl w:val="0"/>
              <w:spacing w:line="240" w:lineRule="auto"/>
              <w:rPr>
                <w:i/>
                <w:sz w:val="20"/>
                <w:szCs w:val="20"/>
              </w:rPr>
            </w:pPr>
            <w:r>
              <w:rPr>
                <w:i/>
                <w:sz w:val="20"/>
                <w:szCs w:val="20"/>
              </w:rPr>
              <w:t>CD59</w:t>
            </w:r>
          </w:p>
        </w:tc>
        <w:tc>
          <w:tcPr>
            <w:tcW w:w="4035"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2, 8, 41, 55, 315</w:t>
            </w:r>
          </w:p>
        </w:tc>
        <w:tc>
          <w:tcPr>
            <w:tcW w:w="276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5/5</w:t>
            </w:r>
          </w:p>
        </w:tc>
      </w:tr>
      <w:tr w:rsidR="00D735DE">
        <w:trPr>
          <w:trHeight w:val="420"/>
        </w:trPr>
        <w:tc>
          <w:tcPr>
            <w:tcW w:w="174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Anti-GYPA</w:t>
            </w:r>
          </w:p>
        </w:tc>
        <w:tc>
          <w:tcPr>
            <w:tcW w:w="1425" w:type="dxa"/>
            <w:shd w:val="clear" w:color="auto" w:fill="auto"/>
            <w:tcMar>
              <w:top w:w="100" w:type="dxa"/>
              <w:left w:w="100" w:type="dxa"/>
              <w:bottom w:w="100" w:type="dxa"/>
              <w:right w:w="100" w:type="dxa"/>
            </w:tcMar>
          </w:tcPr>
          <w:p w:rsidR="00D735DE" w:rsidRDefault="00883E21">
            <w:pPr>
              <w:widowControl w:val="0"/>
              <w:spacing w:line="240" w:lineRule="auto"/>
              <w:rPr>
                <w:i/>
                <w:sz w:val="20"/>
                <w:szCs w:val="20"/>
              </w:rPr>
            </w:pPr>
            <w:r>
              <w:rPr>
                <w:i/>
                <w:sz w:val="20"/>
                <w:szCs w:val="20"/>
              </w:rPr>
              <w:t>GYPA</w:t>
            </w:r>
          </w:p>
        </w:tc>
        <w:tc>
          <w:tcPr>
            <w:tcW w:w="4035"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2, 24, 100, 34370</w:t>
            </w:r>
          </w:p>
        </w:tc>
        <w:tc>
          <w:tcPr>
            <w:tcW w:w="276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3/4</w:t>
            </w:r>
          </w:p>
        </w:tc>
      </w:tr>
      <w:tr w:rsidR="00D735DE">
        <w:tc>
          <w:tcPr>
            <w:tcW w:w="174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Anti-CD47 (BRIC126)</w:t>
            </w:r>
          </w:p>
        </w:tc>
        <w:tc>
          <w:tcPr>
            <w:tcW w:w="1425" w:type="dxa"/>
            <w:shd w:val="clear" w:color="auto" w:fill="auto"/>
            <w:tcMar>
              <w:top w:w="100" w:type="dxa"/>
              <w:left w:w="100" w:type="dxa"/>
              <w:bottom w:w="100" w:type="dxa"/>
              <w:right w:w="100" w:type="dxa"/>
            </w:tcMar>
          </w:tcPr>
          <w:p w:rsidR="00D735DE" w:rsidRDefault="00883E21">
            <w:pPr>
              <w:widowControl w:val="0"/>
              <w:spacing w:line="240" w:lineRule="auto"/>
              <w:rPr>
                <w:i/>
                <w:sz w:val="20"/>
                <w:szCs w:val="20"/>
              </w:rPr>
            </w:pPr>
            <w:r>
              <w:rPr>
                <w:i/>
                <w:sz w:val="20"/>
                <w:szCs w:val="20"/>
              </w:rPr>
              <w:t>CD47</w:t>
            </w:r>
          </w:p>
        </w:tc>
        <w:tc>
          <w:tcPr>
            <w:tcW w:w="4035"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1, 8, 9182, 55700, 55701</w:t>
            </w:r>
          </w:p>
        </w:tc>
        <w:tc>
          <w:tcPr>
            <w:tcW w:w="276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3/5</w:t>
            </w:r>
          </w:p>
        </w:tc>
      </w:tr>
      <w:tr w:rsidR="00D735DE">
        <w:tc>
          <w:tcPr>
            <w:tcW w:w="174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Anti-CD47 (B6H12)</w:t>
            </w:r>
          </w:p>
        </w:tc>
        <w:tc>
          <w:tcPr>
            <w:tcW w:w="1425" w:type="dxa"/>
            <w:shd w:val="clear" w:color="auto" w:fill="auto"/>
            <w:tcMar>
              <w:top w:w="100" w:type="dxa"/>
              <w:left w:w="100" w:type="dxa"/>
              <w:bottom w:w="100" w:type="dxa"/>
              <w:right w:w="100" w:type="dxa"/>
            </w:tcMar>
          </w:tcPr>
          <w:p w:rsidR="00D735DE" w:rsidRDefault="00883E21">
            <w:pPr>
              <w:widowControl w:val="0"/>
              <w:spacing w:line="240" w:lineRule="auto"/>
              <w:rPr>
                <w:i/>
                <w:sz w:val="20"/>
                <w:szCs w:val="20"/>
              </w:rPr>
            </w:pPr>
            <w:r>
              <w:rPr>
                <w:i/>
                <w:sz w:val="20"/>
                <w:szCs w:val="20"/>
              </w:rPr>
              <w:t>CD47</w:t>
            </w:r>
          </w:p>
        </w:tc>
        <w:tc>
          <w:tcPr>
            <w:tcW w:w="4035"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1, 20, 30047, 32120, 73483</w:t>
            </w:r>
          </w:p>
        </w:tc>
        <w:tc>
          <w:tcPr>
            <w:tcW w:w="276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4/5</w:t>
            </w:r>
          </w:p>
        </w:tc>
      </w:tr>
      <w:tr w:rsidR="00D735DE">
        <w:tc>
          <w:tcPr>
            <w:tcW w:w="174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Anti-ITGB1</w:t>
            </w:r>
          </w:p>
        </w:tc>
        <w:tc>
          <w:tcPr>
            <w:tcW w:w="1425" w:type="dxa"/>
            <w:shd w:val="clear" w:color="auto" w:fill="auto"/>
            <w:tcMar>
              <w:top w:w="100" w:type="dxa"/>
              <w:left w:w="100" w:type="dxa"/>
              <w:bottom w:w="100" w:type="dxa"/>
              <w:right w:w="100" w:type="dxa"/>
            </w:tcMar>
          </w:tcPr>
          <w:p w:rsidR="00D735DE" w:rsidRDefault="00883E21">
            <w:pPr>
              <w:widowControl w:val="0"/>
              <w:spacing w:line="240" w:lineRule="auto"/>
              <w:rPr>
                <w:i/>
                <w:sz w:val="20"/>
                <w:szCs w:val="20"/>
              </w:rPr>
            </w:pPr>
            <w:r>
              <w:rPr>
                <w:i/>
                <w:sz w:val="20"/>
                <w:szCs w:val="20"/>
              </w:rPr>
              <w:t>ITGB1</w:t>
            </w:r>
          </w:p>
        </w:tc>
        <w:tc>
          <w:tcPr>
            <w:tcW w:w="4035"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3, 34, 415, 4246, 36465</w:t>
            </w:r>
          </w:p>
        </w:tc>
        <w:tc>
          <w:tcPr>
            <w:tcW w:w="276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5/5</w:t>
            </w:r>
          </w:p>
        </w:tc>
      </w:tr>
      <w:tr w:rsidR="00D735DE">
        <w:tc>
          <w:tcPr>
            <w:tcW w:w="174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Anti-BSG</w:t>
            </w:r>
          </w:p>
        </w:tc>
        <w:tc>
          <w:tcPr>
            <w:tcW w:w="1425" w:type="dxa"/>
            <w:shd w:val="clear" w:color="auto" w:fill="auto"/>
            <w:tcMar>
              <w:top w:w="100" w:type="dxa"/>
              <w:left w:w="100" w:type="dxa"/>
              <w:bottom w:w="100" w:type="dxa"/>
              <w:right w:w="100" w:type="dxa"/>
            </w:tcMar>
          </w:tcPr>
          <w:p w:rsidR="00D735DE" w:rsidRDefault="00883E21">
            <w:pPr>
              <w:widowControl w:val="0"/>
              <w:spacing w:line="240" w:lineRule="auto"/>
              <w:rPr>
                <w:i/>
                <w:sz w:val="20"/>
                <w:szCs w:val="20"/>
              </w:rPr>
            </w:pPr>
            <w:r>
              <w:rPr>
                <w:i/>
                <w:sz w:val="20"/>
                <w:szCs w:val="20"/>
              </w:rPr>
              <w:t>BSG</w:t>
            </w:r>
          </w:p>
        </w:tc>
        <w:tc>
          <w:tcPr>
            <w:tcW w:w="4035"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1, 2, 3, 5, 14, 38, 42, 816, 6308**</w:t>
            </w:r>
          </w:p>
        </w:tc>
        <w:tc>
          <w:tcPr>
            <w:tcW w:w="276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9/9</w:t>
            </w:r>
          </w:p>
        </w:tc>
      </w:tr>
      <w:tr w:rsidR="00D735DE">
        <w:trPr>
          <w:trHeight w:val="420"/>
        </w:trPr>
        <w:tc>
          <w:tcPr>
            <w:tcW w:w="9960" w:type="dxa"/>
            <w:gridSpan w:val="4"/>
            <w:shd w:val="clear" w:color="auto" w:fill="auto"/>
            <w:tcMar>
              <w:top w:w="100" w:type="dxa"/>
              <w:left w:w="100" w:type="dxa"/>
              <w:bottom w:w="100" w:type="dxa"/>
              <w:right w:w="100" w:type="dxa"/>
            </w:tcMar>
          </w:tcPr>
          <w:p w:rsidR="00D735DE" w:rsidRDefault="00883E21">
            <w:pPr>
              <w:widowControl w:val="0"/>
              <w:spacing w:line="240" w:lineRule="auto"/>
              <w:jc w:val="center"/>
              <w:rPr>
                <w:sz w:val="20"/>
                <w:szCs w:val="20"/>
              </w:rPr>
            </w:pPr>
            <w:r>
              <w:rPr>
                <w:sz w:val="20"/>
                <w:szCs w:val="20"/>
              </w:rPr>
              <w:t>Recombinant protein probes</w:t>
            </w:r>
          </w:p>
        </w:tc>
      </w:tr>
      <w:tr w:rsidR="00D735DE">
        <w:tc>
          <w:tcPr>
            <w:tcW w:w="174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PfRH5</w:t>
            </w:r>
          </w:p>
        </w:tc>
        <w:tc>
          <w:tcPr>
            <w:tcW w:w="1425" w:type="dxa"/>
            <w:shd w:val="clear" w:color="auto" w:fill="auto"/>
            <w:tcMar>
              <w:top w:w="100" w:type="dxa"/>
              <w:left w:w="100" w:type="dxa"/>
              <w:bottom w:w="100" w:type="dxa"/>
              <w:right w:w="100" w:type="dxa"/>
            </w:tcMar>
          </w:tcPr>
          <w:p w:rsidR="00D735DE" w:rsidRDefault="00883E21">
            <w:pPr>
              <w:widowControl w:val="0"/>
              <w:spacing w:line="240" w:lineRule="auto"/>
              <w:rPr>
                <w:i/>
                <w:sz w:val="20"/>
                <w:szCs w:val="20"/>
              </w:rPr>
            </w:pPr>
            <w:r>
              <w:rPr>
                <w:i/>
                <w:sz w:val="20"/>
                <w:szCs w:val="20"/>
              </w:rPr>
              <w:t>BSG</w:t>
            </w:r>
          </w:p>
        </w:tc>
        <w:tc>
          <w:tcPr>
            <w:tcW w:w="4035"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1, 3, 19, 32, 39, 107, 914, 6199, 9586**</w:t>
            </w:r>
          </w:p>
        </w:tc>
        <w:tc>
          <w:tcPr>
            <w:tcW w:w="276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9/9</w:t>
            </w:r>
          </w:p>
        </w:tc>
      </w:tr>
      <w:tr w:rsidR="00D735DE">
        <w:tc>
          <w:tcPr>
            <w:tcW w:w="174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CRTAM</w:t>
            </w:r>
          </w:p>
        </w:tc>
        <w:tc>
          <w:tcPr>
            <w:tcW w:w="1425" w:type="dxa"/>
            <w:shd w:val="clear" w:color="auto" w:fill="auto"/>
            <w:tcMar>
              <w:top w:w="100" w:type="dxa"/>
              <w:left w:w="100" w:type="dxa"/>
              <w:bottom w:w="100" w:type="dxa"/>
              <w:right w:w="100" w:type="dxa"/>
            </w:tcMar>
          </w:tcPr>
          <w:p w:rsidR="00D735DE" w:rsidRDefault="00883E21">
            <w:pPr>
              <w:widowControl w:val="0"/>
              <w:spacing w:line="240" w:lineRule="auto"/>
              <w:rPr>
                <w:i/>
                <w:sz w:val="20"/>
                <w:szCs w:val="20"/>
              </w:rPr>
            </w:pPr>
            <w:r>
              <w:rPr>
                <w:i/>
                <w:sz w:val="20"/>
                <w:szCs w:val="20"/>
              </w:rPr>
              <w:t>CADM1</w:t>
            </w:r>
          </w:p>
        </w:tc>
        <w:tc>
          <w:tcPr>
            <w:tcW w:w="4035"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1, 2, 3, 4, 6</w:t>
            </w:r>
          </w:p>
        </w:tc>
        <w:tc>
          <w:tcPr>
            <w:tcW w:w="276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5/5</w:t>
            </w:r>
          </w:p>
        </w:tc>
      </w:tr>
      <w:tr w:rsidR="00D735DE">
        <w:tc>
          <w:tcPr>
            <w:tcW w:w="174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TIGIT</w:t>
            </w:r>
          </w:p>
        </w:tc>
        <w:tc>
          <w:tcPr>
            <w:tcW w:w="1425" w:type="dxa"/>
            <w:shd w:val="clear" w:color="auto" w:fill="auto"/>
            <w:tcMar>
              <w:top w:w="100" w:type="dxa"/>
              <w:left w:w="100" w:type="dxa"/>
              <w:bottom w:w="100" w:type="dxa"/>
              <w:right w:w="100" w:type="dxa"/>
            </w:tcMar>
          </w:tcPr>
          <w:p w:rsidR="00D735DE" w:rsidRDefault="00883E21">
            <w:pPr>
              <w:widowControl w:val="0"/>
              <w:spacing w:line="240" w:lineRule="auto"/>
              <w:rPr>
                <w:i/>
                <w:sz w:val="20"/>
                <w:szCs w:val="20"/>
              </w:rPr>
            </w:pPr>
            <w:r>
              <w:rPr>
                <w:i/>
                <w:sz w:val="20"/>
                <w:szCs w:val="20"/>
              </w:rPr>
              <w:t>PVR</w:t>
            </w:r>
          </w:p>
        </w:tc>
        <w:tc>
          <w:tcPr>
            <w:tcW w:w="4035"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1, 2, 3, 5, 14</w:t>
            </w:r>
          </w:p>
        </w:tc>
        <w:tc>
          <w:tcPr>
            <w:tcW w:w="276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5/5</w:t>
            </w:r>
          </w:p>
        </w:tc>
      </w:tr>
      <w:tr w:rsidR="00D735DE">
        <w:tc>
          <w:tcPr>
            <w:tcW w:w="174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TIGIT-repeated</w:t>
            </w:r>
          </w:p>
        </w:tc>
        <w:tc>
          <w:tcPr>
            <w:tcW w:w="1425" w:type="dxa"/>
            <w:shd w:val="clear" w:color="auto" w:fill="auto"/>
            <w:tcMar>
              <w:top w:w="100" w:type="dxa"/>
              <w:left w:w="100" w:type="dxa"/>
              <w:bottom w:w="100" w:type="dxa"/>
              <w:right w:w="100" w:type="dxa"/>
            </w:tcMar>
          </w:tcPr>
          <w:p w:rsidR="00D735DE" w:rsidRDefault="00883E21">
            <w:pPr>
              <w:widowControl w:val="0"/>
              <w:spacing w:line="240" w:lineRule="auto"/>
              <w:rPr>
                <w:i/>
                <w:sz w:val="20"/>
                <w:szCs w:val="20"/>
              </w:rPr>
            </w:pPr>
            <w:r>
              <w:rPr>
                <w:i/>
                <w:sz w:val="20"/>
                <w:szCs w:val="20"/>
              </w:rPr>
              <w:t>PVR</w:t>
            </w:r>
          </w:p>
        </w:tc>
        <w:tc>
          <w:tcPr>
            <w:tcW w:w="4035"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1, 2, 3, 4, 34</w:t>
            </w:r>
          </w:p>
        </w:tc>
        <w:tc>
          <w:tcPr>
            <w:tcW w:w="276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5/5</w:t>
            </w:r>
          </w:p>
        </w:tc>
      </w:tr>
      <w:tr w:rsidR="00D735DE">
        <w:tc>
          <w:tcPr>
            <w:tcW w:w="174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CD226</w:t>
            </w:r>
          </w:p>
        </w:tc>
        <w:tc>
          <w:tcPr>
            <w:tcW w:w="1425" w:type="dxa"/>
            <w:shd w:val="clear" w:color="auto" w:fill="auto"/>
            <w:tcMar>
              <w:top w:w="100" w:type="dxa"/>
              <w:left w:w="100" w:type="dxa"/>
              <w:bottom w:w="100" w:type="dxa"/>
              <w:right w:w="100" w:type="dxa"/>
            </w:tcMar>
          </w:tcPr>
          <w:p w:rsidR="00D735DE" w:rsidRDefault="00883E21">
            <w:pPr>
              <w:widowControl w:val="0"/>
              <w:spacing w:line="240" w:lineRule="auto"/>
              <w:rPr>
                <w:i/>
                <w:sz w:val="20"/>
                <w:szCs w:val="20"/>
              </w:rPr>
            </w:pPr>
            <w:r>
              <w:rPr>
                <w:i/>
                <w:sz w:val="20"/>
                <w:szCs w:val="20"/>
              </w:rPr>
              <w:t>PVR</w:t>
            </w:r>
          </w:p>
        </w:tc>
        <w:tc>
          <w:tcPr>
            <w:tcW w:w="4035"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1, 2, 4, 6, 9</w:t>
            </w:r>
          </w:p>
        </w:tc>
        <w:tc>
          <w:tcPr>
            <w:tcW w:w="276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5/5</w:t>
            </w:r>
          </w:p>
        </w:tc>
      </w:tr>
      <w:tr w:rsidR="00D735DE">
        <w:tc>
          <w:tcPr>
            <w:tcW w:w="174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TNFSFR9</w:t>
            </w:r>
          </w:p>
        </w:tc>
        <w:tc>
          <w:tcPr>
            <w:tcW w:w="1425" w:type="dxa"/>
            <w:shd w:val="clear" w:color="auto" w:fill="auto"/>
            <w:tcMar>
              <w:top w:w="100" w:type="dxa"/>
              <w:left w:w="100" w:type="dxa"/>
              <w:bottom w:w="100" w:type="dxa"/>
              <w:right w:w="100" w:type="dxa"/>
            </w:tcMar>
          </w:tcPr>
          <w:p w:rsidR="00D735DE" w:rsidRDefault="00883E21">
            <w:pPr>
              <w:widowControl w:val="0"/>
              <w:spacing w:line="240" w:lineRule="auto"/>
              <w:rPr>
                <w:i/>
                <w:sz w:val="20"/>
                <w:szCs w:val="20"/>
              </w:rPr>
            </w:pPr>
            <w:r>
              <w:rPr>
                <w:i/>
                <w:sz w:val="20"/>
                <w:szCs w:val="20"/>
              </w:rPr>
              <w:t>TNFSF9</w:t>
            </w:r>
          </w:p>
        </w:tc>
        <w:tc>
          <w:tcPr>
            <w:tcW w:w="4035"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5, 7, 8, 9, 14</w:t>
            </w:r>
          </w:p>
        </w:tc>
        <w:tc>
          <w:tcPr>
            <w:tcW w:w="276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5/5</w:t>
            </w:r>
          </w:p>
        </w:tc>
      </w:tr>
      <w:tr w:rsidR="00D735DE">
        <w:tc>
          <w:tcPr>
            <w:tcW w:w="174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EPHB1</w:t>
            </w:r>
          </w:p>
        </w:tc>
        <w:tc>
          <w:tcPr>
            <w:tcW w:w="1425" w:type="dxa"/>
            <w:shd w:val="clear" w:color="auto" w:fill="auto"/>
            <w:tcMar>
              <w:top w:w="100" w:type="dxa"/>
              <w:left w:w="100" w:type="dxa"/>
              <w:bottom w:w="100" w:type="dxa"/>
              <w:right w:w="100" w:type="dxa"/>
            </w:tcMar>
          </w:tcPr>
          <w:p w:rsidR="00D735DE" w:rsidRDefault="00883E21">
            <w:pPr>
              <w:widowControl w:val="0"/>
              <w:spacing w:line="240" w:lineRule="auto"/>
              <w:rPr>
                <w:i/>
                <w:sz w:val="20"/>
                <w:szCs w:val="20"/>
              </w:rPr>
            </w:pPr>
            <w:r>
              <w:rPr>
                <w:i/>
                <w:sz w:val="20"/>
                <w:szCs w:val="20"/>
              </w:rPr>
              <w:t>EFNB2</w:t>
            </w:r>
          </w:p>
        </w:tc>
        <w:tc>
          <w:tcPr>
            <w:tcW w:w="4035"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7, 62, 124, 174, 2269</w:t>
            </w:r>
          </w:p>
        </w:tc>
        <w:tc>
          <w:tcPr>
            <w:tcW w:w="276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5/5</w:t>
            </w:r>
          </w:p>
        </w:tc>
      </w:tr>
      <w:tr w:rsidR="00D735DE">
        <w:tc>
          <w:tcPr>
            <w:tcW w:w="174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Syn1-RBD</w:t>
            </w:r>
          </w:p>
        </w:tc>
        <w:tc>
          <w:tcPr>
            <w:tcW w:w="1425" w:type="dxa"/>
            <w:shd w:val="clear" w:color="auto" w:fill="auto"/>
            <w:tcMar>
              <w:top w:w="100" w:type="dxa"/>
              <w:left w:w="100" w:type="dxa"/>
              <w:bottom w:w="100" w:type="dxa"/>
              <w:right w:w="100" w:type="dxa"/>
            </w:tcMar>
          </w:tcPr>
          <w:p w:rsidR="00D735DE" w:rsidRDefault="00883E21">
            <w:pPr>
              <w:widowControl w:val="0"/>
              <w:spacing w:line="240" w:lineRule="auto"/>
              <w:rPr>
                <w:i/>
                <w:sz w:val="20"/>
                <w:szCs w:val="20"/>
              </w:rPr>
            </w:pPr>
            <w:r>
              <w:rPr>
                <w:i/>
                <w:sz w:val="20"/>
                <w:szCs w:val="20"/>
              </w:rPr>
              <w:t>SLC5A1</w:t>
            </w:r>
          </w:p>
        </w:tc>
        <w:tc>
          <w:tcPr>
            <w:tcW w:w="4035"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1, 2, 16, 142, 365</w:t>
            </w:r>
          </w:p>
        </w:tc>
        <w:tc>
          <w:tcPr>
            <w:tcW w:w="276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5/5</w:t>
            </w:r>
          </w:p>
        </w:tc>
      </w:tr>
      <w:tr w:rsidR="00D735DE">
        <w:tc>
          <w:tcPr>
            <w:tcW w:w="174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GABBR2</w:t>
            </w:r>
          </w:p>
        </w:tc>
        <w:tc>
          <w:tcPr>
            <w:tcW w:w="1425" w:type="dxa"/>
            <w:shd w:val="clear" w:color="auto" w:fill="auto"/>
            <w:tcMar>
              <w:top w:w="100" w:type="dxa"/>
              <w:left w:w="100" w:type="dxa"/>
              <w:bottom w:w="100" w:type="dxa"/>
              <w:right w:w="100" w:type="dxa"/>
            </w:tcMar>
          </w:tcPr>
          <w:p w:rsidR="00D735DE" w:rsidRDefault="00883E21">
            <w:pPr>
              <w:widowControl w:val="0"/>
              <w:spacing w:line="240" w:lineRule="auto"/>
              <w:rPr>
                <w:i/>
                <w:sz w:val="20"/>
                <w:szCs w:val="20"/>
              </w:rPr>
            </w:pPr>
            <w:r>
              <w:rPr>
                <w:i/>
                <w:sz w:val="20"/>
                <w:szCs w:val="20"/>
              </w:rPr>
              <w:t>IGF2R</w:t>
            </w:r>
          </w:p>
        </w:tc>
        <w:tc>
          <w:tcPr>
            <w:tcW w:w="4035"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2, 5, 11, 20, 35</w:t>
            </w:r>
          </w:p>
        </w:tc>
        <w:tc>
          <w:tcPr>
            <w:tcW w:w="2760" w:type="dxa"/>
            <w:shd w:val="clear" w:color="auto" w:fill="auto"/>
            <w:tcMar>
              <w:top w:w="100" w:type="dxa"/>
              <w:left w:w="100" w:type="dxa"/>
              <w:bottom w:w="100" w:type="dxa"/>
              <w:right w:w="100" w:type="dxa"/>
            </w:tcMar>
          </w:tcPr>
          <w:p w:rsidR="00D735DE" w:rsidRDefault="00883E21">
            <w:pPr>
              <w:widowControl w:val="0"/>
              <w:spacing w:line="240" w:lineRule="auto"/>
              <w:rPr>
                <w:sz w:val="20"/>
                <w:szCs w:val="20"/>
              </w:rPr>
            </w:pPr>
            <w:r>
              <w:rPr>
                <w:sz w:val="20"/>
                <w:szCs w:val="20"/>
              </w:rPr>
              <w:t>5/5</w:t>
            </w:r>
          </w:p>
        </w:tc>
      </w:tr>
    </w:tbl>
    <w:p w:rsidR="00D735DE" w:rsidRDefault="00883E21">
      <w:pPr>
        <w:jc w:val="both"/>
        <w:rPr>
          <w:sz w:val="20"/>
          <w:szCs w:val="20"/>
          <w:shd w:val="clear" w:color="auto" w:fill="FEFEFE"/>
        </w:rPr>
      </w:pPr>
      <w:r>
        <w:t>*</w:t>
      </w:r>
      <w:r>
        <w:rPr>
          <w:sz w:val="20"/>
          <w:szCs w:val="20"/>
          <w:shd w:val="clear" w:color="auto" w:fill="FEFEFE"/>
        </w:rPr>
        <w:t>The alpha cutoff in MAGeCK is determined by the FDR threshold for gene test, which using default parameter of MAGeCK is 0.25.</w:t>
      </w:r>
    </w:p>
    <w:p w:rsidR="00D735DE" w:rsidRPr="00B54AC0" w:rsidRDefault="00883E21" w:rsidP="00B54AC0">
      <w:pPr>
        <w:jc w:val="both"/>
        <w:rPr>
          <w:i/>
          <w:sz w:val="20"/>
          <w:szCs w:val="20"/>
          <w:shd w:val="clear" w:color="auto" w:fill="FEFEFE"/>
        </w:rPr>
      </w:pPr>
      <w:r>
        <w:rPr>
          <w:shd w:val="clear" w:color="auto" w:fill="FEFEFE"/>
        </w:rPr>
        <w:t>*</w:t>
      </w:r>
      <w:r>
        <w:rPr>
          <w:sz w:val="20"/>
          <w:szCs w:val="20"/>
          <w:shd w:val="clear" w:color="auto" w:fill="FEFEFE"/>
        </w:rPr>
        <w:t xml:space="preserve">* There are nine gRNAs targeting </w:t>
      </w:r>
      <w:r>
        <w:rPr>
          <w:i/>
          <w:sz w:val="20"/>
          <w:szCs w:val="20"/>
          <w:shd w:val="clear" w:color="auto" w:fill="FEFEFE"/>
        </w:rPr>
        <w:t>BSG</w:t>
      </w:r>
    </w:p>
    <w:sectPr w:rsidR="00D735DE" w:rsidRPr="00B54AC0">
      <w:headerReference w:type="default" r:id="rId1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680A" w:rsidRDefault="0088680A">
      <w:pPr>
        <w:spacing w:line="240" w:lineRule="auto"/>
      </w:pPr>
      <w:r>
        <w:separator/>
      </w:r>
    </w:p>
  </w:endnote>
  <w:endnote w:type="continuationSeparator" w:id="0">
    <w:p w:rsidR="0088680A" w:rsidRDefault="008868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680A" w:rsidRDefault="0088680A">
      <w:pPr>
        <w:spacing w:line="240" w:lineRule="auto"/>
      </w:pPr>
      <w:r>
        <w:separator/>
      </w:r>
    </w:p>
  </w:footnote>
  <w:footnote w:type="continuationSeparator" w:id="0">
    <w:p w:rsidR="0088680A" w:rsidRDefault="008868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921" w:rsidRDefault="007C7921">
    <w:pPr>
      <w:jc w:val="right"/>
    </w:pPr>
  </w:p>
  <w:p w:rsidR="007C7921" w:rsidRDefault="007C792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5DE"/>
    <w:rsid w:val="00017FA0"/>
    <w:rsid w:val="00081931"/>
    <w:rsid w:val="00097E5E"/>
    <w:rsid w:val="000A45DF"/>
    <w:rsid w:val="000A54FD"/>
    <w:rsid w:val="0013316C"/>
    <w:rsid w:val="001618CC"/>
    <w:rsid w:val="0016674D"/>
    <w:rsid w:val="001F141D"/>
    <w:rsid w:val="002E2182"/>
    <w:rsid w:val="00311FC6"/>
    <w:rsid w:val="00327E4F"/>
    <w:rsid w:val="003C7D7C"/>
    <w:rsid w:val="00475BB7"/>
    <w:rsid w:val="004E0024"/>
    <w:rsid w:val="004E6855"/>
    <w:rsid w:val="00542934"/>
    <w:rsid w:val="00634BC2"/>
    <w:rsid w:val="006F5A0C"/>
    <w:rsid w:val="007B6962"/>
    <w:rsid w:val="007C7921"/>
    <w:rsid w:val="00821691"/>
    <w:rsid w:val="008552B6"/>
    <w:rsid w:val="00883E21"/>
    <w:rsid w:val="0088680A"/>
    <w:rsid w:val="00A436D8"/>
    <w:rsid w:val="00A4525D"/>
    <w:rsid w:val="00A54E8C"/>
    <w:rsid w:val="00B04AC5"/>
    <w:rsid w:val="00B54AC0"/>
    <w:rsid w:val="00BE6E67"/>
    <w:rsid w:val="00BF6256"/>
    <w:rsid w:val="00C23DDA"/>
    <w:rsid w:val="00CE6D05"/>
    <w:rsid w:val="00D735DE"/>
    <w:rsid w:val="00E36244"/>
    <w:rsid w:val="00E61908"/>
    <w:rsid w:val="00EB33F0"/>
    <w:rsid w:val="00EF5A62"/>
    <w:rsid w:val="00FC76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7EB5A2-BB26-0A42-AAED-B633A4E8A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GB"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04A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A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paperpile.com/c/CtvidH/RAcfT"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3480</Words>
  <Characters>19839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GRL</Company>
  <LinksUpToDate>false</LinksUpToDate>
  <CharactersWithSpaces>23273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 Wright</dc:creator>
  <cp:lastModifiedBy>Microsoft Office User</cp:lastModifiedBy>
  <cp:revision>2</cp:revision>
  <dcterms:created xsi:type="dcterms:W3CDTF">2018-06-15T14:27:00Z</dcterms:created>
  <dcterms:modified xsi:type="dcterms:W3CDTF">2018-06-15T14:27:00Z</dcterms:modified>
</cp:coreProperties>
</file>