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1D11" w:rsidRDefault="00951D11" w:rsidP="00951D11">
      <w:pPr>
        <w:rPr>
          <w:rFonts w:ascii="Times New Roman" w:hAnsi="Times New Roman" w:cs="Times New Roman"/>
          <w:b/>
          <w:sz w:val="26"/>
          <w:szCs w:val="26"/>
          <w:u w:val="single"/>
        </w:rPr>
      </w:pPr>
      <w:r w:rsidRPr="002F22EB">
        <w:rPr>
          <w:rFonts w:ascii="Times New Roman" w:hAnsi="Times New Roman" w:cs="Times New Roman"/>
          <w:b/>
          <w:sz w:val="26"/>
          <w:szCs w:val="26"/>
          <w:u w:val="single"/>
        </w:rPr>
        <w:t>Supplemental</w:t>
      </w:r>
      <w:r>
        <w:rPr>
          <w:rFonts w:ascii="Times New Roman" w:hAnsi="Times New Roman" w:cs="Times New Roman"/>
          <w:b/>
          <w:sz w:val="26"/>
          <w:szCs w:val="26"/>
          <w:u w:val="single"/>
        </w:rPr>
        <w:t xml:space="preserve"> Table Legends </w:t>
      </w:r>
      <w:r w:rsidRPr="002F22EB">
        <w:rPr>
          <w:rFonts w:ascii="Times New Roman" w:hAnsi="Times New Roman" w:cs="Times New Roman"/>
          <w:b/>
          <w:sz w:val="26"/>
          <w:szCs w:val="26"/>
          <w:u w:val="single"/>
        </w:rPr>
        <w:t>for "Linking transcriptional and genetic tumor heterogeneity through allele analysis of single-cell RNA-</w:t>
      </w:r>
      <w:proofErr w:type="spellStart"/>
      <w:r w:rsidRPr="002F22EB">
        <w:rPr>
          <w:rFonts w:ascii="Times New Roman" w:hAnsi="Times New Roman" w:cs="Times New Roman"/>
          <w:b/>
          <w:sz w:val="26"/>
          <w:szCs w:val="26"/>
          <w:u w:val="single"/>
        </w:rPr>
        <w:t>seq</w:t>
      </w:r>
      <w:proofErr w:type="spellEnd"/>
      <w:r w:rsidRPr="002F22EB">
        <w:rPr>
          <w:rFonts w:ascii="Times New Roman" w:hAnsi="Times New Roman" w:cs="Times New Roman"/>
          <w:b/>
          <w:sz w:val="26"/>
          <w:szCs w:val="26"/>
          <w:u w:val="single"/>
        </w:rPr>
        <w:t xml:space="preserve"> data" </w:t>
      </w:r>
    </w:p>
    <w:p w:rsidR="00951D11" w:rsidRDefault="00951D11" w:rsidP="00951D11">
      <w:pPr>
        <w:rPr>
          <w:rFonts w:ascii="Times New Roman" w:hAnsi="Times New Roman" w:cs="Times New Roman"/>
          <w:b/>
          <w:sz w:val="26"/>
          <w:szCs w:val="26"/>
          <w:u w:val="single"/>
        </w:rPr>
      </w:pPr>
    </w:p>
    <w:p w:rsidR="00951D11" w:rsidRPr="008C3595" w:rsidRDefault="00951D11" w:rsidP="00951D11">
      <w:pPr>
        <w:pStyle w:val="PlainText"/>
        <w:rPr>
          <w:rFonts w:ascii="Times New Roman" w:eastAsia="MS Mincho" w:hAnsi="Times New Roman" w:cs="Times New Roman"/>
          <w:color w:val="000000" w:themeColor="text1"/>
          <w:sz w:val="22"/>
          <w:szCs w:val="22"/>
        </w:rPr>
      </w:pPr>
      <w:r w:rsidRPr="00462915">
        <w:rPr>
          <w:rFonts w:ascii="Times New Roman" w:eastAsia="MS Mincho" w:hAnsi="Times New Roman" w:cs="Times New Roman"/>
          <w:color w:val="000000" w:themeColor="text1"/>
          <w:sz w:val="22"/>
          <w:szCs w:val="22"/>
        </w:rPr>
        <w:t>Jean Fan</w:t>
      </w:r>
      <w:proofErr w:type="gramStart"/>
      <w:r w:rsidRPr="00462915">
        <w:rPr>
          <w:rFonts w:ascii="Times New Roman" w:eastAsia="MS Mincho" w:hAnsi="Times New Roman" w:cs="Times New Roman"/>
          <w:color w:val="000000" w:themeColor="text1"/>
          <w:sz w:val="22"/>
          <w:szCs w:val="22"/>
          <w:vertAlign w:val="superscript"/>
        </w:rPr>
        <w:t>1,*</w:t>
      </w:r>
      <w:proofErr w:type="gramEnd"/>
      <w:r w:rsidRPr="00462915">
        <w:rPr>
          <w:rFonts w:ascii="Times New Roman" w:eastAsia="MS Mincho" w:hAnsi="Times New Roman" w:cs="Times New Roman"/>
          <w:color w:val="000000" w:themeColor="text1"/>
          <w:sz w:val="22"/>
          <w:szCs w:val="22"/>
        </w:rPr>
        <w:t xml:space="preserve">, </w:t>
      </w:r>
      <w:proofErr w:type="spellStart"/>
      <w:r w:rsidRPr="00462915">
        <w:rPr>
          <w:rFonts w:ascii="Times New Roman" w:eastAsia="MS Mincho" w:hAnsi="Times New Roman" w:cs="Times New Roman"/>
          <w:color w:val="000000" w:themeColor="text1"/>
          <w:sz w:val="22"/>
          <w:szCs w:val="22"/>
        </w:rPr>
        <w:t>Hae-Ock</w:t>
      </w:r>
      <w:proofErr w:type="spellEnd"/>
      <w:r w:rsidRPr="00462915">
        <w:rPr>
          <w:rFonts w:ascii="Times New Roman" w:eastAsia="MS Mincho" w:hAnsi="Times New Roman" w:cs="Times New Roman"/>
          <w:color w:val="000000" w:themeColor="text1"/>
          <w:sz w:val="22"/>
          <w:szCs w:val="22"/>
        </w:rPr>
        <w:t xml:space="preserve"> Lee</w:t>
      </w:r>
      <w:r w:rsidRPr="00462915">
        <w:rPr>
          <w:rFonts w:ascii="Times New Roman" w:eastAsia="MS Mincho" w:hAnsi="Times New Roman" w:cs="Times New Roman"/>
          <w:color w:val="000000" w:themeColor="text1"/>
          <w:sz w:val="22"/>
          <w:szCs w:val="22"/>
          <w:vertAlign w:val="superscript"/>
        </w:rPr>
        <w:t>2,*</w:t>
      </w:r>
      <w:r w:rsidRPr="00462915">
        <w:rPr>
          <w:rFonts w:ascii="Times New Roman" w:eastAsia="MS Mincho" w:hAnsi="Times New Roman" w:cs="Times New Roman"/>
          <w:color w:val="000000" w:themeColor="text1"/>
          <w:sz w:val="22"/>
          <w:szCs w:val="22"/>
        </w:rPr>
        <w:t xml:space="preserve">, </w:t>
      </w:r>
      <w:proofErr w:type="spellStart"/>
      <w:r w:rsidRPr="00462915">
        <w:rPr>
          <w:rFonts w:ascii="Times New Roman" w:eastAsia="MS Mincho" w:hAnsi="Times New Roman" w:cs="Times New Roman"/>
          <w:color w:val="000000" w:themeColor="text1"/>
          <w:sz w:val="22"/>
          <w:szCs w:val="22"/>
        </w:rPr>
        <w:t>Soohyun</w:t>
      </w:r>
      <w:proofErr w:type="spellEnd"/>
      <w:r w:rsidRPr="00462915">
        <w:rPr>
          <w:rFonts w:ascii="Times New Roman" w:eastAsia="MS Mincho" w:hAnsi="Times New Roman" w:cs="Times New Roman"/>
          <w:color w:val="000000" w:themeColor="text1"/>
          <w:sz w:val="22"/>
          <w:szCs w:val="22"/>
        </w:rPr>
        <w:t xml:space="preserve"> Lee</w:t>
      </w:r>
      <w:r w:rsidRPr="00462915">
        <w:rPr>
          <w:rFonts w:ascii="Times New Roman" w:eastAsia="MS Mincho" w:hAnsi="Times New Roman" w:cs="Times New Roman"/>
          <w:color w:val="000000" w:themeColor="text1"/>
          <w:sz w:val="22"/>
          <w:szCs w:val="22"/>
          <w:vertAlign w:val="superscript"/>
        </w:rPr>
        <w:t>1</w:t>
      </w:r>
      <w:r w:rsidRPr="00462915">
        <w:rPr>
          <w:rFonts w:ascii="Times New Roman" w:eastAsia="MS Mincho" w:hAnsi="Times New Roman" w:cs="Times New Roman"/>
          <w:color w:val="000000" w:themeColor="text1"/>
          <w:sz w:val="22"/>
          <w:szCs w:val="22"/>
        </w:rPr>
        <w:t>, Da-</w:t>
      </w:r>
      <w:proofErr w:type="spellStart"/>
      <w:r w:rsidRPr="00462915">
        <w:rPr>
          <w:rFonts w:ascii="Times New Roman" w:eastAsia="MS Mincho" w:hAnsi="Times New Roman" w:cs="Times New Roman"/>
          <w:color w:val="000000" w:themeColor="text1"/>
          <w:sz w:val="22"/>
          <w:szCs w:val="22"/>
        </w:rPr>
        <w:t>eun</w:t>
      </w:r>
      <w:proofErr w:type="spellEnd"/>
      <w:r w:rsidRPr="00462915">
        <w:rPr>
          <w:rFonts w:ascii="Times New Roman" w:eastAsia="MS Mincho" w:hAnsi="Times New Roman" w:cs="Times New Roman"/>
          <w:color w:val="000000" w:themeColor="text1"/>
          <w:sz w:val="22"/>
          <w:szCs w:val="22"/>
        </w:rPr>
        <w:t xml:space="preserve"> Ryu</w:t>
      </w:r>
      <w:r w:rsidRPr="00462915">
        <w:rPr>
          <w:rFonts w:ascii="Times New Roman" w:eastAsia="MS Mincho" w:hAnsi="Times New Roman" w:cs="Times New Roman"/>
          <w:color w:val="000000" w:themeColor="text1"/>
          <w:sz w:val="22"/>
          <w:szCs w:val="22"/>
          <w:vertAlign w:val="superscript"/>
        </w:rPr>
        <w:t>2</w:t>
      </w:r>
      <w:r w:rsidRPr="00462915">
        <w:rPr>
          <w:rFonts w:ascii="Times New Roman" w:eastAsia="MS Mincho" w:hAnsi="Times New Roman" w:cs="Times New Roman"/>
          <w:color w:val="000000" w:themeColor="text1"/>
          <w:sz w:val="22"/>
          <w:szCs w:val="22"/>
        </w:rPr>
        <w:t xml:space="preserve">, </w:t>
      </w:r>
      <w:proofErr w:type="spellStart"/>
      <w:r w:rsidRPr="00462915">
        <w:rPr>
          <w:rFonts w:ascii="Times New Roman" w:eastAsia="MS Mincho" w:hAnsi="Times New Roman" w:cs="Times New Roman"/>
          <w:color w:val="000000" w:themeColor="text1"/>
          <w:sz w:val="22"/>
          <w:szCs w:val="22"/>
        </w:rPr>
        <w:t>Semin</w:t>
      </w:r>
      <w:proofErr w:type="spellEnd"/>
      <w:r w:rsidRPr="00462915">
        <w:rPr>
          <w:rFonts w:ascii="Times New Roman" w:eastAsia="MS Mincho" w:hAnsi="Times New Roman" w:cs="Times New Roman"/>
          <w:color w:val="000000" w:themeColor="text1"/>
          <w:sz w:val="22"/>
          <w:szCs w:val="22"/>
        </w:rPr>
        <w:t xml:space="preserve"> Lee</w:t>
      </w:r>
      <w:r w:rsidRPr="00462915">
        <w:rPr>
          <w:rFonts w:ascii="Times New Roman" w:eastAsia="MS Mincho" w:hAnsi="Times New Roman" w:cs="Times New Roman"/>
          <w:color w:val="000000" w:themeColor="text1"/>
          <w:sz w:val="22"/>
          <w:szCs w:val="22"/>
          <w:vertAlign w:val="superscript"/>
        </w:rPr>
        <w:t>1</w:t>
      </w:r>
      <w:r w:rsidRPr="00462915">
        <w:rPr>
          <w:rFonts w:ascii="Times New Roman" w:eastAsia="MS Mincho" w:hAnsi="Times New Roman" w:cs="Times New Roman"/>
          <w:color w:val="000000" w:themeColor="text1"/>
          <w:sz w:val="22"/>
          <w:szCs w:val="22"/>
        </w:rPr>
        <w:t>, Catherine Xue</w:t>
      </w:r>
      <w:r w:rsidRPr="00462915">
        <w:rPr>
          <w:rFonts w:ascii="Times New Roman" w:eastAsia="MS Mincho" w:hAnsi="Times New Roman" w:cs="Times New Roman"/>
          <w:color w:val="000000" w:themeColor="text1"/>
          <w:sz w:val="22"/>
          <w:szCs w:val="22"/>
          <w:vertAlign w:val="superscript"/>
        </w:rPr>
        <w:t>1</w:t>
      </w:r>
      <w:r w:rsidRPr="00462915">
        <w:rPr>
          <w:rFonts w:ascii="Times New Roman" w:eastAsia="MS Mincho" w:hAnsi="Times New Roman" w:cs="Times New Roman"/>
          <w:color w:val="000000" w:themeColor="text1"/>
          <w:sz w:val="22"/>
          <w:szCs w:val="22"/>
        </w:rPr>
        <w:t xml:space="preserve">, Seok </w:t>
      </w:r>
      <w:proofErr w:type="spellStart"/>
      <w:r w:rsidRPr="00462915">
        <w:rPr>
          <w:rFonts w:ascii="Times New Roman" w:eastAsia="MS Mincho" w:hAnsi="Times New Roman" w:cs="Times New Roman"/>
          <w:color w:val="000000" w:themeColor="text1"/>
          <w:sz w:val="22"/>
          <w:szCs w:val="22"/>
        </w:rPr>
        <w:t>Jin</w:t>
      </w:r>
      <w:proofErr w:type="spellEnd"/>
      <w:r w:rsidRPr="00462915">
        <w:rPr>
          <w:rFonts w:ascii="Times New Roman" w:eastAsia="MS Mincho" w:hAnsi="Times New Roman" w:cs="Times New Roman"/>
          <w:color w:val="000000" w:themeColor="text1"/>
          <w:sz w:val="22"/>
          <w:szCs w:val="22"/>
        </w:rPr>
        <w:t xml:space="preserve"> Kim</w:t>
      </w:r>
      <w:r w:rsidRPr="00462915">
        <w:rPr>
          <w:rFonts w:ascii="Times New Roman" w:eastAsia="MS Mincho" w:hAnsi="Times New Roman" w:cs="Times New Roman"/>
          <w:color w:val="000000" w:themeColor="text1"/>
          <w:sz w:val="22"/>
          <w:szCs w:val="22"/>
          <w:vertAlign w:val="superscript"/>
        </w:rPr>
        <w:t>5</w:t>
      </w:r>
      <w:r w:rsidRPr="00462915">
        <w:rPr>
          <w:rFonts w:ascii="Times New Roman" w:eastAsia="MS Mincho" w:hAnsi="Times New Roman" w:cs="Times New Roman"/>
          <w:color w:val="000000" w:themeColor="text1"/>
          <w:sz w:val="22"/>
          <w:szCs w:val="22"/>
        </w:rPr>
        <w:t xml:space="preserve">, </w:t>
      </w:r>
      <w:proofErr w:type="spellStart"/>
      <w:r w:rsidRPr="00462915">
        <w:rPr>
          <w:rFonts w:ascii="Times New Roman" w:eastAsia="MS Mincho" w:hAnsi="Times New Roman" w:cs="Times New Roman"/>
          <w:color w:val="000000" w:themeColor="text1"/>
          <w:sz w:val="22"/>
          <w:szCs w:val="22"/>
        </w:rPr>
        <w:t>Kihyun</w:t>
      </w:r>
      <w:proofErr w:type="spellEnd"/>
      <w:r w:rsidRPr="00462915">
        <w:rPr>
          <w:rFonts w:ascii="Times New Roman" w:eastAsia="MS Mincho" w:hAnsi="Times New Roman" w:cs="Times New Roman"/>
          <w:color w:val="000000" w:themeColor="text1"/>
          <w:sz w:val="22"/>
          <w:szCs w:val="22"/>
        </w:rPr>
        <w:t xml:space="preserve"> Kim</w:t>
      </w:r>
      <w:r w:rsidRPr="00462915">
        <w:rPr>
          <w:rFonts w:ascii="Times New Roman" w:eastAsia="MS Mincho" w:hAnsi="Times New Roman" w:cs="Times New Roman"/>
          <w:color w:val="000000" w:themeColor="text1"/>
          <w:sz w:val="22"/>
          <w:szCs w:val="22"/>
          <w:vertAlign w:val="superscript"/>
        </w:rPr>
        <w:t>5</w:t>
      </w:r>
      <w:r w:rsidRPr="00462915">
        <w:rPr>
          <w:rFonts w:ascii="Times New Roman" w:eastAsia="MS Mincho" w:hAnsi="Times New Roman" w:cs="Times New Roman"/>
          <w:color w:val="000000" w:themeColor="text1"/>
          <w:sz w:val="22"/>
          <w:szCs w:val="22"/>
        </w:rPr>
        <w:t xml:space="preserve">, </w:t>
      </w:r>
      <w:r w:rsidRPr="00EF355B">
        <w:rPr>
          <w:rFonts w:ascii="Times New Roman" w:hAnsi="Times New Roman" w:cs="Times New Roman"/>
          <w:sz w:val="22"/>
          <w:szCs w:val="22"/>
        </w:rPr>
        <w:t>Nikolaos Barkas</w:t>
      </w:r>
      <w:r w:rsidRPr="00462915">
        <w:rPr>
          <w:rFonts w:ascii="Times New Roman" w:eastAsia="MS Mincho" w:hAnsi="Times New Roman" w:cs="Times New Roman"/>
          <w:color w:val="000000" w:themeColor="text1"/>
          <w:sz w:val="22"/>
          <w:szCs w:val="22"/>
          <w:vertAlign w:val="superscript"/>
        </w:rPr>
        <w:t>1</w:t>
      </w:r>
      <w:r w:rsidRPr="00EF355B">
        <w:rPr>
          <w:rFonts w:ascii="Times New Roman" w:hAnsi="Times New Roman" w:cs="Times New Roman"/>
          <w:sz w:val="22"/>
          <w:szCs w:val="22"/>
        </w:rPr>
        <w:t xml:space="preserve">, </w:t>
      </w:r>
      <w:r w:rsidRPr="00462915">
        <w:rPr>
          <w:rFonts w:ascii="Times New Roman" w:eastAsia="MS Mincho" w:hAnsi="Times New Roman" w:cs="Times New Roman"/>
          <w:color w:val="000000" w:themeColor="text1"/>
          <w:sz w:val="22"/>
          <w:szCs w:val="22"/>
        </w:rPr>
        <w:t>Peter J. Park</w:t>
      </w:r>
      <w:r w:rsidRPr="00462915">
        <w:rPr>
          <w:rFonts w:ascii="Times New Roman" w:eastAsia="MS Mincho" w:hAnsi="Times New Roman" w:cs="Times New Roman"/>
          <w:color w:val="000000" w:themeColor="text1"/>
          <w:sz w:val="22"/>
          <w:szCs w:val="22"/>
          <w:vertAlign w:val="superscript"/>
        </w:rPr>
        <w:t>1</w:t>
      </w:r>
      <w:r w:rsidRPr="00462915">
        <w:rPr>
          <w:rFonts w:ascii="Times New Roman" w:eastAsia="MS Mincho" w:hAnsi="Times New Roman" w:cs="Times New Roman"/>
          <w:color w:val="000000" w:themeColor="text1"/>
          <w:sz w:val="22"/>
          <w:szCs w:val="22"/>
        </w:rPr>
        <w:t xml:space="preserve">, </w:t>
      </w:r>
      <w:proofErr w:type="spellStart"/>
      <w:r w:rsidRPr="00462915">
        <w:rPr>
          <w:rFonts w:ascii="Times New Roman" w:eastAsia="MS Mincho" w:hAnsi="Times New Roman" w:cs="Times New Roman"/>
          <w:color w:val="000000" w:themeColor="text1"/>
          <w:sz w:val="22"/>
          <w:szCs w:val="22"/>
        </w:rPr>
        <w:t>Woong</w:t>
      </w:r>
      <w:proofErr w:type="spellEnd"/>
      <w:r w:rsidRPr="00462915">
        <w:rPr>
          <w:rFonts w:ascii="Times New Roman" w:eastAsia="MS Mincho" w:hAnsi="Times New Roman" w:cs="Times New Roman"/>
          <w:color w:val="000000" w:themeColor="text1"/>
          <w:sz w:val="22"/>
          <w:szCs w:val="22"/>
        </w:rPr>
        <w:t>-Yang Park</w:t>
      </w:r>
      <w:r w:rsidRPr="00462915">
        <w:rPr>
          <w:rFonts w:ascii="Times New Roman" w:eastAsia="MS Mincho" w:hAnsi="Times New Roman" w:cs="Times New Roman"/>
          <w:color w:val="000000" w:themeColor="text1"/>
          <w:sz w:val="22"/>
          <w:szCs w:val="22"/>
          <w:vertAlign w:val="superscript"/>
        </w:rPr>
        <w:t>2</w:t>
      </w:r>
      <w:r w:rsidRPr="00DC7A59">
        <w:rPr>
          <w:rFonts w:ascii="Times New Roman" w:eastAsia="MS Mincho" w:hAnsi="Times New Roman" w:cs="Times New Roman"/>
          <w:color w:val="000000" w:themeColor="text1"/>
          <w:sz w:val="22"/>
          <w:szCs w:val="22"/>
          <w:vertAlign w:val="superscript"/>
        </w:rPr>
        <w:t>,</w:t>
      </w:r>
      <w:r w:rsidRPr="00DC7A59">
        <w:rPr>
          <w:rFonts w:ascii="Times New Roman" w:hAnsi="Times New Roman" w:cs="Times New Roman"/>
          <w:color w:val="000000" w:themeColor="text1"/>
          <w:sz w:val="22"/>
          <w:szCs w:val="22"/>
          <w:vertAlign w:val="superscript"/>
        </w:rPr>
        <w:t>§</w:t>
      </w:r>
      <w:r w:rsidRPr="00DC7A59">
        <w:rPr>
          <w:rFonts w:ascii="Times New Roman" w:eastAsia="MS Mincho" w:hAnsi="Times New Roman" w:cs="Times New Roman"/>
          <w:color w:val="000000" w:themeColor="text1"/>
          <w:sz w:val="22"/>
          <w:szCs w:val="22"/>
        </w:rPr>
        <w:t>, Peter V. Kharchenko</w:t>
      </w:r>
      <w:r w:rsidRPr="00DC7A59">
        <w:rPr>
          <w:rFonts w:ascii="Times New Roman" w:eastAsia="MS Mincho" w:hAnsi="Times New Roman" w:cs="Times New Roman"/>
          <w:color w:val="000000" w:themeColor="text1"/>
          <w:sz w:val="22"/>
          <w:szCs w:val="22"/>
          <w:vertAlign w:val="superscript"/>
        </w:rPr>
        <w:t>1,3,4,</w:t>
      </w:r>
      <w:r w:rsidRPr="00DC7A59">
        <w:rPr>
          <w:rFonts w:ascii="Times New Roman" w:hAnsi="Times New Roman" w:cs="Times New Roman"/>
          <w:color w:val="000000" w:themeColor="text1"/>
          <w:sz w:val="22"/>
          <w:szCs w:val="22"/>
          <w:vertAlign w:val="superscript"/>
        </w:rPr>
        <w:t>§</w:t>
      </w:r>
    </w:p>
    <w:p w:rsidR="00951D11" w:rsidRPr="002F22EB" w:rsidRDefault="00951D11" w:rsidP="00951D11">
      <w:pPr>
        <w:rPr>
          <w:rFonts w:ascii="Times New Roman" w:hAnsi="Times New Roman" w:cs="Times New Roman"/>
          <w:b/>
          <w:sz w:val="26"/>
          <w:szCs w:val="26"/>
          <w:u w:val="single"/>
        </w:rPr>
      </w:pPr>
    </w:p>
    <w:p w:rsidR="00951D11" w:rsidRDefault="00951D11" w:rsidP="00951D11">
      <w:pPr>
        <w:outlineLvl w:val="0"/>
        <w:rPr>
          <w:rFonts w:ascii="Times New Roman" w:hAnsi="Times New Roman" w:cs="Times New Roman"/>
          <w:b/>
          <w:sz w:val="22"/>
          <w:szCs w:val="22"/>
        </w:rPr>
      </w:pPr>
    </w:p>
    <w:p w:rsidR="00951D11" w:rsidRPr="002F22EB" w:rsidRDefault="00951D11" w:rsidP="00951D11">
      <w:pPr>
        <w:outlineLvl w:val="0"/>
        <w:rPr>
          <w:rFonts w:ascii="Times New Roman" w:hAnsi="Times New Roman" w:cs="Times New Roman"/>
          <w:b/>
          <w:sz w:val="22"/>
          <w:szCs w:val="22"/>
        </w:rPr>
      </w:pPr>
      <w:r w:rsidRPr="002F22EB">
        <w:rPr>
          <w:rFonts w:ascii="Times New Roman" w:hAnsi="Times New Roman" w:cs="Times New Roman"/>
          <w:b/>
          <w:sz w:val="22"/>
          <w:szCs w:val="22"/>
        </w:rPr>
        <w:t xml:space="preserve">Supplemental Tables </w:t>
      </w:r>
    </w:p>
    <w:p w:rsidR="00951D11" w:rsidRPr="002F22EB" w:rsidRDefault="00951D11" w:rsidP="00951D11">
      <w:pPr>
        <w:rPr>
          <w:rFonts w:ascii="Times New Roman" w:hAnsi="Times New Roman" w:cs="Times New Roman"/>
          <w:bCs/>
          <w:sz w:val="22"/>
          <w:szCs w:val="22"/>
        </w:rPr>
      </w:pPr>
      <w:r w:rsidRPr="002F22EB">
        <w:rPr>
          <w:rFonts w:ascii="Times New Roman" w:hAnsi="Times New Roman" w:cs="Times New Roman"/>
          <w:bCs/>
          <w:sz w:val="22"/>
          <w:szCs w:val="22"/>
        </w:rPr>
        <w:t xml:space="preserve">Supplemental Table S1. CNV regions identified by </w:t>
      </w:r>
      <w:proofErr w:type="spellStart"/>
      <w:r w:rsidRPr="002F22EB">
        <w:rPr>
          <w:rFonts w:ascii="Times New Roman" w:hAnsi="Times New Roman" w:cs="Times New Roman"/>
          <w:bCs/>
          <w:sz w:val="22"/>
          <w:szCs w:val="22"/>
        </w:rPr>
        <w:t>HoneyBADGER</w:t>
      </w:r>
      <w:proofErr w:type="spellEnd"/>
      <w:r w:rsidRPr="002F22EB">
        <w:rPr>
          <w:rFonts w:ascii="Times New Roman" w:hAnsi="Times New Roman" w:cs="Times New Roman"/>
          <w:bCs/>
          <w:sz w:val="22"/>
          <w:szCs w:val="22"/>
        </w:rPr>
        <w:t xml:space="preserve"> and associated posterior probabilities for all cells for MGH31.</w:t>
      </w:r>
    </w:p>
    <w:p w:rsidR="00951D11" w:rsidRPr="002F22EB" w:rsidRDefault="00951D11" w:rsidP="00951D11">
      <w:pPr>
        <w:outlineLvl w:val="0"/>
        <w:rPr>
          <w:rFonts w:ascii="Times New Roman" w:hAnsi="Times New Roman" w:cs="Times New Roman"/>
          <w:bCs/>
          <w:sz w:val="22"/>
          <w:szCs w:val="22"/>
        </w:rPr>
      </w:pPr>
      <w:r w:rsidRPr="002F22EB">
        <w:rPr>
          <w:rFonts w:ascii="Times New Roman" w:hAnsi="Times New Roman" w:cs="Times New Roman"/>
          <w:bCs/>
          <w:sz w:val="22"/>
          <w:szCs w:val="22"/>
        </w:rPr>
        <w:t xml:space="preserve">Supplemental Table S2. </w:t>
      </w:r>
      <w:r>
        <w:rPr>
          <w:rFonts w:ascii="Times New Roman" w:hAnsi="Times New Roman" w:cs="Times New Roman"/>
          <w:bCs/>
          <w:sz w:val="22"/>
          <w:szCs w:val="22"/>
        </w:rPr>
        <w:t xml:space="preserve">Mutation </w:t>
      </w:r>
      <w:r w:rsidRPr="002F22EB">
        <w:rPr>
          <w:rFonts w:ascii="Times New Roman" w:hAnsi="Times New Roman" w:cs="Times New Roman"/>
          <w:bCs/>
          <w:sz w:val="22"/>
          <w:szCs w:val="22"/>
        </w:rPr>
        <w:t>calling and WES results for BC09</w:t>
      </w:r>
      <w:r>
        <w:rPr>
          <w:rFonts w:ascii="Times New Roman" w:hAnsi="Times New Roman" w:cs="Times New Roman"/>
          <w:bCs/>
          <w:sz w:val="22"/>
          <w:szCs w:val="22"/>
        </w:rPr>
        <w:t>.</w:t>
      </w:r>
    </w:p>
    <w:p w:rsidR="00951D11" w:rsidRPr="002F22EB" w:rsidRDefault="00951D11" w:rsidP="00951D11">
      <w:pPr>
        <w:rPr>
          <w:rFonts w:ascii="Times New Roman" w:hAnsi="Times New Roman" w:cs="Times New Roman"/>
          <w:bCs/>
          <w:sz w:val="22"/>
          <w:szCs w:val="22"/>
        </w:rPr>
      </w:pPr>
      <w:r w:rsidRPr="002F22EB">
        <w:rPr>
          <w:rFonts w:ascii="Times New Roman" w:hAnsi="Times New Roman" w:cs="Times New Roman"/>
          <w:bCs/>
          <w:sz w:val="22"/>
          <w:szCs w:val="22"/>
        </w:rPr>
        <w:t xml:space="preserve">Supplemental Table S3. Karyotyping information and CNV regions identified by </w:t>
      </w:r>
      <w:proofErr w:type="spellStart"/>
      <w:r w:rsidRPr="002F22EB">
        <w:rPr>
          <w:rFonts w:ascii="Times New Roman" w:hAnsi="Times New Roman" w:cs="Times New Roman"/>
          <w:bCs/>
          <w:sz w:val="22"/>
          <w:szCs w:val="22"/>
        </w:rPr>
        <w:t>HoneyBADGER</w:t>
      </w:r>
      <w:proofErr w:type="spellEnd"/>
      <w:r w:rsidRPr="002F22EB">
        <w:rPr>
          <w:rFonts w:ascii="Times New Roman" w:hAnsi="Times New Roman" w:cs="Times New Roman"/>
          <w:bCs/>
          <w:sz w:val="22"/>
          <w:szCs w:val="22"/>
        </w:rPr>
        <w:t xml:space="preserve"> for MM135.</w:t>
      </w:r>
    </w:p>
    <w:p w:rsidR="00951D11" w:rsidRPr="002F22EB" w:rsidRDefault="00951D11" w:rsidP="00951D11">
      <w:pPr>
        <w:rPr>
          <w:rFonts w:ascii="Times New Roman" w:hAnsi="Times New Roman" w:cs="Times New Roman"/>
          <w:bCs/>
          <w:sz w:val="22"/>
          <w:szCs w:val="22"/>
        </w:rPr>
      </w:pPr>
      <w:r w:rsidRPr="002F22EB">
        <w:rPr>
          <w:rFonts w:ascii="Times New Roman" w:hAnsi="Times New Roman" w:cs="Times New Roman"/>
          <w:bCs/>
          <w:sz w:val="22"/>
          <w:szCs w:val="22"/>
        </w:rPr>
        <w:t xml:space="preserve">Supplemental Table S4. CNV regions identified by </w:t>
      </w:r>
      <w:proofErr w:type="spellStart"/>
      <w:r w:rsidRPr="002F22EB">
        <w:rPr>
          <w:rFonts w:ascii="Times New Roman" w:hAnsi="Times New Roman" w:cs="Times New Roman"/>
          <w:bCs/>
          <w:sz w:val="22"/>
          <w:szCs w:val="22"/>
        </w:rPr>
        <w:t>HoneyBADGER</w:t>
      </w:r>
      <w:proofErr w:type="spellEnd"/>
      <w:r w:rsidRPr="002F22EB">
        <w:rPr>
          <w:rFonts w:ascii="Times New Roman" w:hAnsi="Times New Roman" w:cs="Times New Roman"/>
          <w:bCs/>
          <w:sz w:val="22"/>
          <w:szCs w:val="22"/>
        </w:rPr>
        <w:t xml:space="preserve"> and associated posterior probabilities for all cells for MM34A.</w:t>
      </w:r>
    </w:p>
    <w:p w:rsidR="00951D11" w:rsidRPr="002F22EB" w:rsidRDefault="00951D11" w:rsidP="00951D11">
      <w:pPr>
        <w:rPr>
          <w:rFonts w:ascii="Times New Roman" w:hAnsi="Times New Roman" w:cs="Times New Roman"/>
          <w:bCs/>
          <w:sz w:val="22"/>
          <w:szCs w:val="22"/>
        </w:rPr>
      </w:pPr>
      <w:r w:rsidRPr="002F22EB">
        <w:rPr>
          <w:rFonts w:ascii="Times New Roman" w:hAnsi="Times New Roman" w:cs="Times New Roman"/>
          <w:bCs/>
          <w:sz w:val="22"/>
          <w:szCs w:val="22"/>
        </w:rPr>
        <w:t xml:space="preserve">Supplemental Table S5. </w:t>
      </w:r>
      <w:r w:rsidRPr="002F22EB">
        <w:rPr>
          <w:rFonts w:ascii="Times New Roman" w:hAnsi="Times New Roman" w:cs="Times New Roman"/>
          <w:sz w:val="22"/>
          <w:szCs w:val="22"/>
        </w:rPr>
        <w:t xml:space="preserve">Differential expression characterization of extramedullary-like </w:t>
      </w:r>
      <w:proofErr w:type="spellStart"/>
      <w:r w:rsidRPr="002F22EB">
        <w:rPr>
          <w:rFonts w:ascii="Times New Roman" w:hAnsi="Times New Roman" w:cs="Times New Roman"/>
          <w:sz w:val="22"/>
          <w:szCs w:val="22"/>
        </w:rPr>
        <w:t>subclone</w:t>
      </w:r>
      <w:proofErr w:type="spellEnd"/>
      <w:r w:rsidRPr="002F22EB">
        <w:rPr>
          <w:rFonts w:ascii="Times New Roman" w:hAnsi="Times New Roman" w:cs="Times New Roman"/>
          <w:sz w:val="22"/>
          <w:szCs w:val="22"/>
        </w:rPr>
        <w:t xml:space="preserve"> in MM34. </w:t>
      </w:r>
    </w:p>
    <w:p w:rsidR="00951D11" w:rsidRDefault="00951D11" w:rsidP="00951D11">
      <w:pPr>
        <w:rPr>
          <w:rFonts w:ascii="Times New Roman" w:hAnsi="Times New Roman" w:cs="Times New Roman"/>
          <w:bCs/>
          <w:sz w:val="22"/>
          <w:szCs w:val="22"/>
        </w:rPr>
      </w:pPr>
      <w:r w:rsidRPr="00122A33">
        <w:rPr>
          <w:rFonts w:ascii="Times New Roman" w:hAnsi="Times New Roman" w:cs="Times New Roman"/>
          <w:bCs/>
          <w:sz w:val="22"/>
          <w:szCs w:val="22"/>
        </w:rPr>
        <w:t xml:space="preserve">Supplemental Table S6. Gene set enrichment analysis to characterize the extramedullary-like </w:t>
      </w:r>
      <w:proofErr w:type="spellStart"/>
      <w:r w:rsidRPr="00122A33">
        <w:rPr>
          <w:rFonts w:ascii="Times New Roman" w:hAnsi="Times New Roman" w:cs="Times New Roman"/>
          <w:bCs/>
          <w:sz w:val="22"/>
          <w:szCs w:val="22"/>
        </w:rPr>
        <w:t>subclone</w:t>
      </w:r>
      <w:proofErr w:type="spellEnd"/>
      <w:r w:rsidRPr="00122A33">
        <w:rPr>
          <w:rFonts w:ascii="Times New Roman" w:hAnsi="Times New Roman" w:cs="Times New Roman"/>
          <w:bCs/>
          <w:sz w:val="22"/>
          <w:szCs w:val="22"/>
        </w:rPr>
        <w:t xml:space="preserve"> in MM34. </w:t>
      </w:r>
    </w:p>
    <w:p w:rsidR="001D540C" w:rsidRDefault="00951D11"/>
    <w:p w:rsidR="00951D11" w:rsidRDefault="00951D11">
      <w:r>
        <w:br w:type="page"/>
      </w:r>
    </w:p>
    <w:p w:rsidR="00951D11" w:rsidRDefault="00951D11" w:rsidP="00951D11">
      <w:pPr>
        <w:outlineLvl w:val="0"/>
        <w:rPr>
          <w:rFonts w:ascii="Times New Roman" w:hAnsi="Times New Roman" w:cs="Times New Roman"/>
          <w:b/>
          <w:sz w:val="22"/>
          <w:szCs w:val="22"/>
        </w:rPr>
      </w:pPr>
      <w:bookmarkStart w:id="0" w:name="_GoBack"/>
      <w:bookmarkEnd w:id="0"/>
      <w:r w:rsidRPr="002F22EB">
        <w:rPr>
          <w:rFonts w:ascii="Times New Roman" w:hAnsi="Times New Roman" w:cs="Times New Roman"/>
          <w:b/>
          <w:sz w:val="22"/>
          <w:szCs w:val="22"/>
        </w:rPr>
        <w:lastRenderedPageBreak/>
        <w:t xml:space="preserve">Supplemental Tables </w:t>
      </w:r>
    </w:p>
    <w:p w:rsidR="00951D11" w:rsidRPr="002F22EB" w:rsidRDefault="00951D11" w:rsidP="00951D11">
      <w:pPr>
        <w:outlineLvl w:val="0"/>
        <w:rPr>
          <w:rFonts w:ascii="Times New Roman" w:hAnsi="Times New Roman" w:cs="Times New Roman"/>
          <w:b/>
          <w:sz w:val="22"/>
          <w:szCs w:val="22"/>
        </w:rPr>
      </w:pPr>
    </w:p>
    <w:p w:rsidR="00951D11" w:rsidRDefault="00951D11" w:rsidP="00951D11">
      <w:pPr>
        <w:rPr>
          <w:rFonts w:ascii="Times New Roman" w:hAnsi="Times New Roman" w:cs="Times New Roman"/>
          <w:bCs/>
          <w:sz w:val="22"/>
          <w:szCs w:val="22"/>
        </w:rPr>
      </w:pPr>
      <w:r w:rsidRPr="00F06A3A">
        <w:rPr>
          <w:rFonts w:ascii="Times New Roman" w:hAnsi="Times New Roman" w:cs="Times New Roman"/>
          <w:b/>
          <w:bCs/>
          <w:sz w:val="22"/>
          <w:szCs w:val="22"/>
        </w:rPr>
        <w:t xml:space="preserve">Supplemental Table S1. CNV regions identified by </w:t>
      </w:r>
      <w:proofErr w:type="spellStart"/>
      <w:r w:rsidRPr="00F06A3A">
        <w:rPr>
          <w:rFonts w:ascii="Times New Roman" w:hAnsi="Times New Roman" w:cs="Times New Roman"/>
          <w:b/>
          <w:bCs/>
          <w:sz w:val="22"/>
          <w:szCs w:val="22"/>
        </w:rPr>
        <w:t>HoneyBADGER</w:t>
      </w:r>
      <w:proofErr w:type="spellEnd"/>
      <w:r w:rsidRPr="00F06A3A">
        <w:rPr>
          <w:rFonts w:ascii="Times New Roman" w:hAnsi="Times New Roman" w:cs="Times New Roman"/>
          <w:b/>
          <w:bCs/>
          <w:sz w:val="22"/>
          <w:szCs w:val="22"/>
        </w:rPr>
        <w:t xml:space="preserve"> and associated posterior probabilities for all cells for MGH31.</w:t>
      </w:r>
      <w:r>
        <w:rPr>
          <w:rFonts w:ascii="Times New Roman" w:hAnsi="Times New Roman" w:cs="Times New Roman"/>
          <w:bCs/>
          <w:sz w:val="22"/>
          <w:szCs w:val="22"/>
        </w:rPr>
        <w:t xml:space="preserve"> Sheet 1) From allele-based model. Sheet 2) From expressed-based model. Genomic coordinates provided for each CNV along with posterior probabilities of having the CNV for each cell. </w:t>
      </w:r>
    </w:p>
    <w:p w:rsidR="00951D11" w:rsidRPr="002F22EB" w:rsidRDefault="00951D11" w:rsidP="00951D11">
      <w:pPr>
        <w:rPr>
          <w:rFonts w:ascii="Times New Roman" w:hAnsi="Times New Roman" w:cs="Times New Roman"/>
          <w:bCs/>
          <w:sz w:val="22"/>
          <w:szCs w:val="22"/>
        </w:rPr>
      </w:pPr>
    </w:p>
    <w:p w:rsidR="00951D11" w:rsidRDefault="00951D11" w:rsidP="00951D11">
      <w:pPr>
        <w:outlineLvl w:val="0"/>
        <w:rPr>
          <w:rFonts w:ascii="Times New Roman" w:hAnsi="Times New Roman" w:cs="Times New Roman"/>
          <w:color w:val="000000" w:themeColor="text1"/>
          <w:sz w:val="22"/>
          <w:szCs w:val="22"/>
        </w:rPr>
      </w:pPr>
      <w:r w:rsidRPr="00F06A3A">
        <w:rPr>
          <w:rFonts w:ascii="Times New Roman" w:hAnsi="Times New Roman" w:cs="Times New Roman"/>
          <w:b/>
          <w:bCs/>
          <w:sz w:val="22"/>
          <w:szCs w:val="22"/>
        </w:rPr>
        <w:t xml:space="preserve">Supplemental Table S2. Mutation calling and WES results for BC09. </w:t>
      </w:r>
      <w:r>
        <w:rPr>
          <w:rFonts w:ascii="Times New Roman" w:hAnsi="Times New Roman" w:cs="Times New Roman"/>
          <w:bCs/>
          <w:sz w:val="22"/>
          <w:szCs w:val="22"/>
        </w:rPr>
        <w:t xml:space="preserve">Sheet 1) Summary of previous results from </w:t>
      </w:r>
      <w:r w:rsidRPr="009D66A9">
        <w:rPr>
          <w:rFonts w:ascii="Times New Roman" w:hAnsi="Times New Roman" w:cs="Times New Roman"/>
          <w:color w:val="000000" w:themeColor="text1"/>
          <w:sz w:val="22"/>
          <w:szCs w:val="22"/>
        </w:rPr>
        <w:t xml:space="preserve">Chung </w:t>
      </w:r>
      <w:r w:rsidRPr="009D66A9">
        <w:rPr>
          <w:rFonts w:ascii="Times New Roman" w:hAnsi="Times New Roman" w:cs="Times New Roman"/>
          <w:i/>
          <w:color w:val="000000" w:themeColor="text1"/>
          <w:sz w:val="22"/>
          <w:szCs w:val="22"/>
        </w:rPr>
        <w:t>et al.</w:t>
      </w:r>
      <w:r w:rsidRPr="009D66A9">
        <w:rPr>
          <w:rFonts w:ascii="Times New Roman" w:hAnsi="Times New Roman" w:cs="Times New Roman"/>
          <w:color w:val="000000" w:themeColor="text1"/>
          <w:sz w:val="22"/>
          <w:szCs w:val="22"/>
        </w:rPr>
        <w:fldChar w:fldCharType="begin" w:fldLock="1"/>
      </w:r>
      <w:r>
        <w:rPr>
          <w:rFonts w:ascii="Times New Roman" w:hAnsi="Times New Roman" w:cs="Times New Roman"/>
          <w:color w:val="000000" w:themeColor="text1"/>
          <w:sz w:val="22"/>
          <w:szCs w:val="22"/>
        </w:rPr>
        <w:instrText>ADDIN CSL_CITATION { "citationItems" : [ { "id" : "ITEM-1", "itemData" : { "DOI" : "10.1038/ncomms15081", "ISSN" : "2041-1723", "author" : [ { "dropping-particle" : "", "family" : "Chung", "given" : "Woosung", "non-dropping-particle" : "", "parse-names" : false, "suffix" : "" }, { "dropping-particle" : "", "family" : "Eum", "given" : "Hye Hyeon", "non-dropping-particle" : "", "parse-names" : false, "suffix" : "" }, { "dropping-particle" : "", "family" : "Lee", "given" : "Hae-Ock", "non-dropping-particle" : "", "parse-names" : false, "suffix" : "" }, { "dropping-particle" : "", "family" : "Lee", "given" : "Kyung-Min", "non-dropping-particle" : "", "parse-names" : false, "suffix" : "" }, { "dropping-particle" : "", "family" : "Lee", "given" : "Han-Byoel", "non-dropping-particle" : "", "parse-names" : false, "suffix" : "" }, { "dropping-particle" : "", "family" : "Kim", "given" : "Kyu-Tae", "non-dropping-particle" : "", "parse-names" : false, "suffix" : "" }, { "dropping-particle" : "", "family" : "Ryu", "given" : "Han Suk", "non-dropping-particle" : "", "parse-names" : false, "suffix" : "" }, { "dropping-particle" : "", "family" : "Kim", "given" : "Sangmin", "non-dropping-particle" : "", "parse-names" : false, "suffix" : "" }, { "dropping-particle" : "", "family" : "Lee", "given" : "Jeong Eon", "non-dropping-particle" : "", "parse-names" : false, "suffix" : "" }, { "dropping-particle" : "", "family" : "Park", "given" : "Yeon Hee", "non-dropping-particle" : "", "parse-names" : false, "suffix" : "" }, { "dropping-particle" : "", "family" : "Kan", "given" : "Zhengyan", "non-dropping-particle" : "", "parse-names" : false, "suffix" : "" }, { "dropping-particle" : "", "family" : "Han", "given" : "Wonshik", "non-dropping-particle" : "", "parse-names" : false, "suffix" : "" }, { "dropping-particle" : "", "family" : "Park", "given" : "Woong-Yang", "non-dropping-particle" : "", "parse-names" : false, "suffix" : "" } ], "container-title" : "Nature Communications", "id" : "ITEM-1", "issued" : { "date-parts" : [ [ "2017", "5", "5" ] ] }, "page" : "15081", "publisher" : "Nature Publishing Group", "title" : "Single-cell RNA-seq enables comprehensive tumour and immune cell profiling in primary breast cancer", "type" : "article-journal", "volume" : "8" }, "uris" : [ "http://www.mendeley.com/documents/?uuid=4154a353-4f99-3329-a4bb-0aae0d5198b9" ] } ], "mendeley" : { "formattedCitation" : "(Chung et al. 2017)", "manualFormatting" : " (Chung et al. 2017)", "plainTextFormattedCitation" : "(Chung et al. 2017)", "previouslyFormattedCitation" : "(Chung et al. 2017)" }, "properties" : {  }, "schema" : "https://github.com/citation-style-language/schema/raw/master/csl-citation.json" }</w:instrText>
      </w:r>
      <w:r w:rsidRPr="009D66A9">
        <w:rPr>
          <w:rFonts w:ascii="Times New Roman" w:hAnsi="Times New Roman" w:cs="Times New Roman"/>
          <w:color w:val="000000" w:themeColor="text1"/>
          <w:sz w:val="22"/>
          <w:szCs w:val="22"/>
        </w:rPr>
        <w:fldChar w:fldCharType="separate"/>
      </w:r>
      <w:r w:rsidRPr="009D66A9">
        <w:rPr>
          <w:rFonts w:ascii="Times New Roman" w:hAnsi="Times New Roman" w:cs="Times New Roman"/>
          <w:noProof/>
          <w:color w:val="000000" w:themeColor="text1"/>
          <w:sz w:val="22"/>
          <w:szCs w:val="22"/>
        </w:rPr>
        <w:t xml:space="preserve"> (</w:t>
      </w:r>
      <w:r w:rsidRPr="00B301E7">
        <w:rPr>
          <w:rFonts w:ascii="Times New Roman" w:hAnsi="Times New Roman" w:cs="Times New Roman"/>
          <w:noProof/>
          <w:color w:val="000000" w:themeColor="text1"/>
          <w:sz w:val="22"/>
          <w:szCs w:val="22"/>
        </w:rPr>
        <w:t>Chung et al. 2017)</w:t>
      </w:r>
      <w:r w:rsidRPr="009D66A9">
        <w:rPr>
          <w:rFonts w:ascii="Times New Roman" w:hAnsi="Times New Roman" w:cs="Times New Roman"/>
          <w:color w:val="000000" w:themeColor="text1"/>
          <w:sz w:val="22"/>
          <w:szCs w:val="22"/>
        </w:rPr>
        <w:fldChar w:fldCharType="end"/>
      </w:r>
      <w:r>
        <w:rPr>
          <w:rFonts w:ascii="Times New Roman" w:hAnsi="Times New Roman" w:cs="Times New Roman"/>
          <w:color w:val="000000" w:themeColor="text1"/>
          <w:sz w:val="22"/>
          <w:szCs w:val="22"/>
        </w:rPr>
        <w:t xml:space="preserve">. Sheet 2) WES CNV calls. Sheet 3 and 4) WES mutation calls. </w:t>
      </w:r>
    </w:p>
    <w:p w:rsidR="00951D11" w:rsidRPr="002F22EB" w:rsidRDefault="00951D11" w:rsidP="00951D11">
      <w:pPr>
        <w:outlineLvl w:val="0"/>
        <w:rPr>
          <w:rFonts w:ascii="Times New Roman" w:hAnsi="Times New Roman" w:cs="Times New Roman"/>
          <w:bCs/>
          <w:sz w:val="22"/>
          <w:szCs w:val="22"/>
        </w:rPr>
      </w:pPr>
      <w:r>
        <w:rPr>
          <w:rFonts w:ascii="Times New Roman" w:hAnsi="Times New Roman" w:cs="Times New Roman"/>
          <w:color w:val="000000" w:themeColor="text1"/>
          <w:sz w:val="22"/>
          <w:szCs w:val="22"/>
        </w:rPr>
        <w:t xml:space="preserve">  </w:t>
      </w:r>
    </w:p>
    <w:p w:rsidR="00951D11" w:rsidRDefault="00951D11" w:rsidP="00951D11">
      <w:pPr>
        <w:rPr>
          <w:rFonts w:ascii="Times New Roman" w:hAnsi="Times New Roman" w:cs="Times New Roman"/>
          <w:bCs/>
          <w:sz w:val="22"/>
          <w:szCs w:val="22"/>
        </w:rPr>
      </w:pPr>
      <w:r w:rsidRPr="00122A33">
        <w:rPr>
          <w:rFonts w:ascii="Times New Roman" w:hAnsi="Times New Roman" w:cs="Times New Roman"/>
          <w:b/>
          <w:bCs/>
          <w:sz w:val="22"/>
          <w:szCs w:val="22"/>
        </w:rPr>
        <w:t xml:space="preserve">Supplemental Table S3. Karyotyping information and CNV regions identified by </w:t>
      </w:r>
      <w:proofErr w:type="spellStart"/>
      <w:r w:rsidRPr="00122A33">
        <w:rPr>
          <w:rFonts w:ascii="Times New Roman" w:hAnsi="Times New Roman" w:cs="Times New Roman"/>
          <w:b/>
          <w:bCs/>
          <w:sz w:val="22"/>
          <w:szCs w:val="22"/>
        </w:rPr>
        <w:t>HoneyBADGER</w:t>
      </w:r>
      <w:proofErr w:type="spellEnd"/>
      <w:r w:rsidRPr="00122A33">
        <w:rPr>
          <w:rFonts w:ascii="Times New Roman" w:hAnsi="Times New Roman" w:cs="Times New Roman"/>
          <w:b/>
          <w:bCs/>
          <w:sz w:val="22"/>
          <w:szCs w:val="22"/>
        </w:rPr>
        <w:t xml:space="preserve"> for MM135. </w:t>
      </w:r>
      <w:r>
        <w:rPr>
          <w:rFonts w:ascii="Times New Roman" w:hAnsi="Times New Roman" w:cs="Times New Roman"/>
          <w:bCs/>
          <w:sz w:val="22"/>
          <w:szCs w:val="22"/>
        </w:rPr>
        <w:t xml:space="preserve">Sheet 1) FISH and cytogenetic karyotyping results. Sheet 2) </w:t>
      </w:r>
      <w:r w:rsidRPr="002F22EB">
        <w:rPr>
          <w:rFonts w:ascii="Times New Roman" w:hAnsi="Times New Roman" w:cs="Times New Roman"/>
          <w:bCs/>
          <w:sz w:val="22"/>
          <w:szCs w:val="22"/>
        </w:rPr>
        <w:t xml:space="preserve">CNV regions identified by </w:t>
      </w:r>
      <w:proofErr w:type="spellStart"/>
      <w:r w:rsidRPr="002F22EB">
        <w:rPr>
          <w:rFonts w:ascii="Times New Roman" w:hAnsi="Times New Roman" w:cs="Times New Roman"/>
          <w:bCs/>
          <w:sz w:val="22"/>
          <w:szCs w:val="22"/>
        </w:rPr>
        <w:t>HoneyBADGER</w:t>
      </w:r>
      <w:proofErr w:type="spellEnd"/>
      <w:r>
        <w:rPr>
          <w:rFonts w:ascii="Times New Roman" w:hAnsi="Times New Roman" w:cs="Times New Roman"/>
          <w:bCs/>
          <w:sz w:val="22"/>
          <w:szCs w:val="22"/>
        </w:rPr>
        <w:t>.</w:t>
      </w:r>
    </w:p>
    <w:p w:rsidR="00951D11" w:rsidRPr="002F22EB" w:rsidRDefault="00951D11" w:rsidP="00951D11">
      <w:pPr>
        <w:rPr>
          <w:rFonts w:ascii="Times New Roman" w:hAnsi="Times New Roman" w:cs="Times New Roman"/>
          <w:bCs/>
          <w:sz w:val="22"/>
          <w:szCs w:val="22"/>
        </w:rPr>
      </w:pPr>
    </w:p>
    <w:p w:rsidR="00951D11" w:rsidRPr="00122A33" w:rsidRDefault="00951D11" w:rsidP="00951D11">
      <w:pPr>
        <w:rPr>
          <w:rFonts w:ascii="Times New Roman" w:hAnsi="Times New Roman" w:cs="Times New Roman"/>
          <w:b/>
          <w:bCs/>
          <w:sz w:val="22"/>
          <w:szCs w:val="22"/>
        </w:rPr>
      </w:pPr>
      <w:r w:rsidRPr="00122A33">
        <w:rPr>
          <w:rFonts w:ascii="Times New Roman" w:hAnsi="Times New Roman" w:cs="Times New Roman"/>
          <w:b/>
          <w:bCs/>
          <w:sz w:val="22"/>
          <w:szCs w:val="22"/>
        </w:rPr>
        <w:t xml:space="preserve">Supplemental Table S4. CNV regions identified by </w:t>
      </w:r>
      <w:proofErr w:type="spellStart"/>
      <w:r w:rsidRPr="00122A33">
        <w:rPr>
          <w:rFonts w:ascii="Times New Roman" w:hAnsi="Times New Roman" w:cs="Times New Roman"/>
          <w:b/>
          <w:bCs/>
          <w:sz w:val="22"/>
          <w:szCs w:val="22"/>
        </w:rPr>
        <w:t>HoneyBADGER</w:t>
      </w:r>
      <w:proofErr w:type="spellEnd"/>
      <w:r w:rsidRPr="00122A33">
        <w:rPr>
          <w:rFonts w:ascii="Times New Roman" w:hAnsi="Times New Roman" w:cs="Times New Roman"/>
          <w:b/>
          <w:bCs/>
          <w:sz w:val="22"/>
          <w:szCs w:val="22"/>
        </w:rPr>
        <w:t xml:space="preserve"> and associated posterior probabilities for all cells for MM34A.</w:t>
      </w:r>
    </w:p>
    <w:p w:rsidR="00951D11" w:rsidRPr="002F22EB" w:rsidRDefault="00951D11" w:rsidP="00951D11">
      <w:pPr>
        <w:rPr>
          <w:rFonts w:ascii="Times New Roman" w:hAnsi="Times New Roman" w:cs="Times New Roman"/>
          <w:bCs/>
          <w:sz w:val="22"/>
          <w:szCs w:val="22"/>
        </w:rPr>
      </w:pPr>
    </w:p>
    <w:p w:rsidR="00951D11" w:rsidRDefault="00951D11" w:rsidP="00951D11">
      <w:pPr>
        <w:rPr>
          <w:rFonts w:ascii="Times New Roman" w:hAnsi="Times New Roman" w:cs="Times New Roman"/>
          <w:sz w:val="22"/>
          <w:szCs w:val="22"/>
        </w:rPr>
      </w:pPr>
      <w:r w:rsidRPr="00122A33">
        <w:rPr>
          <w:rFonts w:ascii="Times New Roman" w:hAnsi="Times New Roman" w:cs="Times New Roman"/>
          <w:b/>
          <w:bCs/>
          <w:sz w:val="22"/>
          <w:szCs w:val="22"/>
        </w:rPr>
        <w:t xml:space="preserve">Supplemental Table S5. </w:t>
      </w:r>
      <w:r w:rsidRPr="00122A33">
        <w:rPr>
          <w:rFonts w:ascii="Times New Roman" w:hAnsi="Times New Roman" w:cs="Times New Roman"/>
          <w:b/>
          <w:sz w:val="22"/>
          <w:szCs w:val="22"/>
        </w:rPr>
        <w:t xml:space="preserve">Differential expression characterization of extramedullary-like </w:t>
      </w:r>
      <w:proofErr w:type="spellStart"/>
      <w:r w:rsidRPr="00122A33">
        <w:rPr>
          <w:rFonts w:ascii="Times New Roman" w:hAnsi="Times New Roman" w:cs="Times New Roman"/>
          <w:b/>
          <w:sz w:val="22"/>
          <w:szCs w:val="22"/>
        </w:rPr>
        <w:t>subclone</w:t>
      </w:r>
      <w:proofErr w:type="spellEnd"/>
      <w:r w:rsidRPr="00122A33">
        <w:rPr>
          <w:rFonts w:ascii="Times New Roman" w:hAnsi="Times New Roman" w:cs="Times New Roman"/>
          <w:b/>
          <w:sz w:val="22"/>
          <w:szCs w:val="22"/>
        </w:rPr>
        <w:t xml:space="preserve"> in MM34.</w:t>
      </w:r>
      <w:r>
        <w:rPr>
          <w:rFonts w:ascii="Times New Roman" w:hAnsi="Times New Roman" w:cs="Times New Roman"/>
          <w:b/>
          <w:sz w:val="22"/>
          <w:szCs w:val="22"/>
        </w:rPr>
        <w:t xml:space="preserve"> </w:t>
      </w:r>
      <w:r w:rsidRPr="000508C9">
        <w:rPr>
          <w:rFonts w:ascii="Times New Roman" w:hAnsi="Times New Roman" w:cs="Times New Roman"/>
          <w:sz w:val="22"/>
          <w:szCs w:val="22"/>
        </w:rPr>
        <w:t>Sheet 1)</w:t>
      </w:r>
      <w:r w:rsidRPr="002F22EB">
        <w:rPr>
          <w:rFonts w:ascii="Times New Roman" w:hAnsi="Times New Roman" w:cs="Times New Roman"/>
          <w:sz w:val="22"/>
          <w:szCs w:val="22"/>
        </w:rPr>
        <w:t xml:space="preserve"> </w:t>
      </w:r>
      <w:r>
        <w:rPr>
          <w:rFonts w:ascii="Times New Roman" w:hAnsi="Times New Roman" w:cs="Times New Roman"/>
          <w:sz w:val="22"/>
          <w:szCs w:val="22"/>
        </w:rPr>
        <w:t xml:space="preserve">Genes in heatmap from Fig. 5B. Sheet 2) </w:t>
      </w:r>
      <w:r w:rsidRPr="002F22EB">
        <w:rPr>
          <w:rFonts w:ascii="Times New Roman" w:hAnsi="Times New Roman" w:cs="Times New Roman"/>
          <w:sz w:val="22"/>
          <w:szCs w:val="22"/>
        </w:rPr>
        <w:t>Significantly differentially expressed genes (Z &lt; 1.96) id</w:t>
      </w:r>
      <w:r>
        <w:rPr>
          <w:rFonts w:ascii="Times New Roman" w:hAnsi="Times New Roman" w:cs="Times New Roman"/>
          <w:sz w:val="22"/>
          <w:szCs w:val="22"/>
        </w:rPr>
        <w:t xml:space="preserve">entified using MM34 cells only. Genes in heatmap from Supp. Fig. 8A..Sheet 3) </w:t>
      </w:r>
      <w:r w:rsidRPr="002F22EB">
        <w:rPr>
          <w:rFonts w:ascii="Times New Roman" w:hAnsi="Times New Roman" w:cs="Times New Roman"/>
          <w:sz w:val="22"/>
          <w:szCs w:val="22"/>
        </w:rPr>
        <w:t>Significantly differentially expressed genes (Z &lt; 1.96) id</w:t>
      </w:r>
      <w:r>
        <w:rPr>
          <w:rFonts w:ascii="Times New Roman" w:hAnsi="Times New Roman" w:cs="Times New Roman"/>
          <w:sz w:val="22"/>
          <w:szCs w:val="22"/>
        </w:rPr>
        <w:t xml:space="preserve">entified in combination with MM34A. Genes in heatmap from Supp. Fig. 8B. </w:t>
      </w:r>
      <w:proofErr w:type="spellStart"/>
      <w:r w:rsidRPr="00EA1F44">
        <w:rPr>
          <w:rFonts w:ascii="Times New Roman" w:hAnsi="Times New Roman" w:cs="Times New Roman"/>
          <w:sz w:val="22"/>
          <w:szCs w:val="22"/>
        </w:rPr>
        <w:t>lb</w:t>
      </w:r>
      <w:proofErr w:type="spellEnd"/>
      <w:r w:rsidRPr="00EA1F44">
        <w:rPr>
          <w:rFonts w:ascii="Times New Roman" w:hAnsi="Times New Roman" w:cs="Times New Roman"/>
          <w:sz w:val="22"/>
          <w:szCs w:val="22"/>
        </w:rPr>
        <w:t xml:space="preserve">, </w:t>
      </w:r>
      <w:proofErr w:type="spellStart"/>
      <w:r w:rsidRPr="00EA1F44">
        <w:rPr>
          <w:rFonts w:ascii="Times New Roman" w:hAnsi="Times New Roman" w:cs="Times New Roman"/>
          <w:sz w:val="22"/>
          <w:szCs w:val="22"/>
        </w:rPr>
        <w:t>mle</w:t>
      </w:r>
      <w:proofErr w:type="spellEnd"/>
      <w:r w:rsidRPr="00EA1F44">
        <w:rPr>
          <w:rFonts w:ascii="Times New Roman" w:hAnsi="Times New Roman" w:cs="Times New Roman"/>
          <w:sz w:val="22"/>
          <w:szCs w:val="22"/>
        </w:rPr>
        <w:t xml:space="preserve">, </w:t>
      </w:r>
      <w:proofErr w:type="spellStart"/>
      <w:r w:rsidRPr="00EA1F44">
        <w:rPr>
          <w:rFonts w:ascii="Times New Roman" w:hAnsi="Times New Roman" w:cs="Times New Roman"/>
          <w:sz w:val="22"/>
          <w:szCs w:val="22"/>
        </w:rPr>
        <w:t>ub</w:t>
      </w:r>
      <w:proofErr w:type="spellEnd"/>
      <w:r w:rsidRPr="00EA1F44">
        <w:rPr>
          <w:rFonts w:ascii="Times New Roman" w:hAnsi="Times New Roman" w:cs="Times New Roman"/>
          <w:sz w:val="22"/>
          <w:szCs w:val="22"/>
        </w:rPr>
        <w:t xml:space="preserve"> represent the lower bound, maximum likelihood estimate, and upper bound of the 95% confidence interval for the expre</w:t>
      </w:r>
      <w:r>
        <w:rPr>
          <w:rFonts w:ascii="Times New Roman" w:hAnsi="Times New Roman" w:cs="Times New Roman"/>
          <w:sz w:val="22"/>
          <w:szCs w:val="22"/>
        </w:rPr>
        <w:t xml:space="preserve">ssion fold change on log2 scale outputted from the SCDE package </w:t>
      </w:r>
      <w:r>
        <w:rPr>
          <w:rFonts w:ascii="Times New Roman" w:hAnsi="Times New Roman" w:cs="Times New Roman"/>
          <w:sz w:val="22"/>
          <w:szCs w:val="22"/>
        </w:rPr>
        <w:fldChar w:fldCharType="begin" w:fldLock="1"/>
      </w:r>
      <w:r>
        <w:rPr>
          <w:rFonts w:ascii="Times New Roman" w:hAnsi="Times New Roman" w:cs="Times New Roman"/>
          <w:sz w:val="22"/>
          <w:szCs w:val="22"/>
        </w:rPr>
        <w:instrText>ADDIN CSL_CITATION { "citationItems" : [ { "id" : "ITEM-1", "itemData" : { "DOI" : "10.1038/nmeth.2967", "ISBN" : "1548-7091", "ISSN" : "1548-7105", "PMID" : "24836921", "abstract" : "Single-cell data provide a means to dissect the composition of complex tissues and specialized cellular environments. However, the analysis of such measurements is complicated by high levels of technical noise and intrinsic biological variability. We describe a probabilistic model of expression-magnitude distortions typical of single-cell RNA-sequencing measurements, which enables detection of differential expression signatures and identification of subpopulations of cells in a way that is more tolerant of noise.", "author" : [ { "dropping-particle" : "V", "family" : "Kharchenko", "given" : "Peter", "non-dropping-particle" : "", "parse-names" : false, "suffix" : "" }, { "dropping-particle" : "", "family" : "Silberstein", "given" : "Lev", "non-dropping-particle" : "", "parse-names" : false, "suffix" : "" }, { "dropping-particle" : "", "family" : "Scadden", "given" : "David T", "non-dropping-particle" : "", "parse-names" : false, "suffix" : "" } ], "container-title" : "Nature methods", "id" : "ITEM-1", "issue" : "7", "issued" : { "date-parts" : [ [ "2014" ] ] }, "page" : "740-2", "title" : "Bayesian approach to single-cell differential expression analysis.", "type" : "article-journal", "volume" : "11" }, "uris" : [ "http://www.mendeley.com/documents/?uuid=02d744cb-c7a3-4fd8-8917-a9a49517f63f" ] } ], "mendeley" : { "formattedCitation" : "(Kharchenko et al. 2014)", "plainTextFormattedCitation" : "(Kharchenko et al. 2014)", "previouslyFormattedCitation" : "(Kharchenko et al. 2014)" }, "properties" : {  }, "schema" : "https://github.com/citation-style-language/schema/raw/master/csl-citation.json" }</w:instrText>
      </w:r>
      <w:r>
        <w:rPr>
          <w:rFonts w:ascii="Times New Roman" w:hAnsi="Times New Roman" w:cs="Times New Roman"/>
          <w:sz w:val="22"/>
          <w:szCs w:val="22"/>
        </w:rPr>
        <w:fldChar w:fldCharType="separate"/>
      </w:r>
      <w:r w:rsidRPr="00EA1F44">
        <w:rPr>
          <w:rFonts w:ascii="Times New Roman" w:hAnsi="Times New Roman" w:cs="Times New Roman"/>
          <w:noProof/>
          <w:sz w:val="22"/>
          <w:szCs w:val="22"/>
        </w:rPr>
        <w:t>(Kharchenko et al. 2014)</w:t>
      </w:r>
      <w:r>
        <w:rPr>
          <w:rFonts w:ascii="Times New Roman" w:hAnsi="Times New Roman" w:cs="Times New Roman"/>
          <w:sz w:val="22"/>
          <w:szCs w:val="22"/>
        </w:rPr>
        <w:fldChar w:fldCharType="end"/>
      </w:r>
      <w:r>
        <w:rPr>
          <w:rFonts w:ascii="Times New Roman" w:hAnsi="Times New Roman" w:cs="Times New Roman"/>
          <w:sz w:val="22"/>
          <w:szCs w:val="22"/>
        </w:rPr>
        <w:t>.</w:t>
      </w:r>
    </w:p>
    <w:p w:rsidR="00951D11" w:rsidRPr="002F22EB" w:rsidRDefault="00951D11" w:rsidP="00951D11">
      <w:pPr>
        <w:rPr>
          <w:rFonts w:ascii="Times New Roman" w:hAnsi="Times New Roman" w:cs="Times New Roman"/>
          <w:bCs/>
          <w:sz w:val="22"/>
          <w:szCs w:val="22"/>
        </w:rPr>
      </w:pPr>
    </w:p>
    <w:p w:rsidR="00951D11" w:rsidRPr="002F22EB" w:rsidRDefault="00951D11" w:rsidP="00951D11">
      <w:pPr>
        <w:rPr>
          <w:rFonts w:ascii="Times New Roman" w:hAnsi="Times New Roman" w:cs="Times New Roman"/>
          <w:sz w:val="22"/>
          <w:szCs w:val="22"/>
        </w:rPr>
      </w:pPr>
      <w:r w:rsidRPr="00122A33">
        <w:rPr>
          <w:rFonts w:ascii="Times New Roman" w:hAnsi="Times New Roman" w:cs="Times New Roman"/>
          <w:b/>
          <w:bCs/>
          <w:sz w:val="22"/>
          <w:szCs w:val="22"/>
        </w:rPr>
        <w:t xml:space="preserve">Supplemental Table S6. Gene set enrichment analysis to </w:t>
      </w:r>
      <w:r w:rsidRPr="00122A33">
        <w:rPr>
          <w:rFonts w:ascii="Times New Roman" w:hAnsi="Times New Roman" w:cs="Times New Roman"/>
          <w:b/>
          <w:sz w:val="22"/>
          <w:szCs w:val="22"/>
        </w:rPr>
        <w:t xml:space="preserve">characterize the extramedullary-like </w:t>
      </w:r>
      <w:proofErr w:type="spellStart"/>
      <w:r w:rsidRPr="00122A33">
        <w:rPr>
          <w:rFonts w:ascii="Times New Roman" w:hAnsi="Times New Roman" w:cs="Times New Roman"/>
          <w:b/>
          <w:sz w:val="22"/>
          <w:szCs w:val="22"/>
        </w:rPr>
        <w:t>subclone</w:t>
      </w:r>
      <w:proofErr w:type="spellEnd"/>
      <w:r w:rsidRPr="00122A33">
        <w:rPr>
          <w:rFonts w:ascii="Times New Roman" w:hAnsi="Times New Roman" w:cs="Times New Roman"/>
          <w:b/>
          <w:sz w:val="22"/>
          <w:szCs w:val="22"/>
        </w:rPr>
        <w:t xml:space="preserve"> in MM34</w:t>
      </w:r>
      <w:r w:rsidRPr="00122A33">
        <w:rPr>
          <w:rFonts w:ascii="Times New Roman" w:hAnsi="Times New Roman" w:cs="Times New Roman"/>
          <w:b/>
          <w:bCs/>
          <w:sz w:val="22"/>
          <w:szCs w:val="22"/>
        </w:rPr>
        <w:t xml:space="preserve">. </w:t>
      </w:r>
      <w:r>
        <w:rPr>
          <w:rFonts w:ascii="Times New Roman" w:hAnsi="Times New Roman" w:cs="Times New Roman"/>
          <w:bCs/>
          <w:sz w:val="22"/>
          <w:szCs w:val="22"/>
        </w:rPr>
        <w:t>Sheet 1) U</w:t>
      </w:r>
      <w:r w:rsidRPr="002F22EB">
        <w:rPr>
          <w:rFonts w:ascii="Times New Roman" w:hAnsi="Times New Roman" w:cs="Times New Roman"/>
          <w:bCs/>
          <w:sz w:val="22"/>
          <w:szCs w:val="22"/>
        </w:rPr>
        <w:t>sing gene sets from MSIGDB</w:t>
      </w:r>
      <w:r>
        <w:rPr>
          <w:rFonts w:ascii="Times New Roman" w:hAnsi="Times New Roman" w:cs="Times New Roman"/>
          <w:bCs/>
          <w:sz w:val="22"/>
          <w:szCs w:val="22"/>
        </w:rPr>
        <w:t>. Sheet 2) Using gene sets from</w:t>
      </w:r>
      <w:r w:rsidRPr="002F22EB">
        <w:rPr>
          <w:rFonts w:ascii="Times New Roman" w:hAnsi="Times New Roman" w:cs="Times New Roman"/>
          <w:bCs/>
          <w:sz w:val="22"/>
          <w:szCs w:val="22"/>
        </w:rPr>
        <w:t xml:space="preserve"> GO</w:t>
      </w:r>
      <w:r>
        <w:rPr>
          <w:rFonts w:ascii="Times New Roman" w:hAnsi="Times New Roman" w:cs="Times New Roman"/>
          <w:bCs/>
          <w:sz w:val="22"/>
          <w:szCs w:val="22"/>
        </w:rPr>
        <w:t>.</w:t>
      </w:r>
      <w:r w:rsidRPr="002F22EB">
        <w:rPr>
          <w:rFonts w:ascii="Times New Roman" w:hAnsi="Times New Roman" w:cs="Times New Roman"/>
          <w:bCs/>
          <w:sz w:val="22"/>
          <w:szCs w:val="22"/>
        </w:rPr>
        <w:t xml:space="preserve"> </w:t>
      </w:r>
    </w:p>
    <w:p w:rsidR="00951D11" w:rsidRDefault="00951D11" w:rsidP="00951D11">
      <w:pPr>
        <w:widowControl w:val="0"/>
        <w:autoSpaceDE w:val="0"/>
        <w:autoSpaceDN w:val="0"/>
        <w:adjustRightInd w:val="0"/>
        <w:spacing w:after="240"/>
        <w:rPr>
          <w:rFonts w:ascii="Times New Roman" w:hAnsi="Times New Roman" w:cs="Times New Roman"/>
          <w:sz w:val="22"/>
          <w:szCs w:val="22"/>
        </w:rPr>
      </w:pPr>
    </w:p>
    <w:p w:rsidR="00951D11" w:rsidRDefault="00951D11"/>
    <w:sectPr w:rsidR="00951D11" w:rsidSect="003F46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D11"/>
    <w:rsid w:val="000908DB"/>
    <w:rsid w:val="003F46A3"/>
    <w:rsid w:val="00951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35D59D"/>
  <w15:chartTrackingRefBased/>
  <w15:docId w15:val="{0C49D7E7-4F07-814E-81B0-FC9FD07C3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1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951D11"/>
    <w:rPr>
      <w:rFonts w:ascii="Courier New" w:eastAsia="Times New Roman" w:hAnsi="Courier New" w:cs="Courier New"/>
      <w:sz w:val="20"/>
      <w:szCs w:val="20"/>
    </w:rPr>
  </w:style>
  <w:style w:type="character" w:customStyle="1" w:styleId="PlainTextChar">
    <w:name w:val="Plain Text Char"/>
    <w:basedOn w:val="DefaultParagraphFont"/>
    <w:link w:val="PlainText"/>
    <w:rsid w:val="00951D1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1073</Words>
  <Characters>6121</Characters>
  <Application>Microsoft Office Word</Application>
  <DocSecurity>0</DocSecurity>
  <Lines>51</Lines>
  <Paragraphs>14</Paragraphs>
  <ScaleCrop>false</ScaleCrop>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Fan</dc:creator>
  <cp:keywords/>
  <dc:description/>
  <cp:lastModifiedBy>Jean Fan</cp:lastModifiedBy>
  <cp:revision>1</cp:revision>
  <dcterms:created xsi:type="dcterms:W3CDTF">2018-05-29T13:19:00Z</dcterms:created>
  <dcterms:modified xsi:type="dcterms:W3CDTF">2018-05-29T13:20:00Z</dcterms:modified>
</cp:coreProperties>
</file>