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spacing w:line="480" w:lineRule="auto"/>
        <w:contextualSpacing w:val="0"/>
        <w:jc w:val="both"/>
        <w:rPr>
          <w:rFonts w:ascii="Times New Roman" w:cs="Times New Roman" w:eastAsia="Times New Roman" w:hAnsi="Times New Roman"/>
        </w:rPr>
      </w:pPr>
      <w:bookmarkStart w:colFirst="0" w:colLast="0" w:name="_hfokspz9kqlx" w:id="0"/>
      <w:bookmarkEnd w:id="0"/>
      <w:r w:rsidDel="00000000" w:rsidR="00000000" w:rsidRPr="00000000">
        <w:rPr>
          <w:rtl w:val="0"/>
        </w:rPr>
        <w:t xml:space="preserve">Supplementary Figures</w:t>
      </w:r>
      <w:r w:rsidDel="00000000" w:rsidR="00000000" w:rsidRPr="00000000">
        <w:rPr>
          <w:rtl w:val="0"/>
        </w:rPr>
      </w:r>
    </w:p>
    <w:p w:rsidR="00000000" w:rsidDel="00000000" w:rsidP="00000000" w:rsidRDefault="00000000" w:rsidRPr="00000000" w14:paraId="00000001">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Fig. 1. gDNA library and construct. (A) </w:t>
      </w:r>
      <w:r w:rsidDel="00000000" w:rsidR="00000000" w:rsidRPr="00000000">
        <w:rPr>
          <w:rFonts w:ascii="Times New Roman" w:cs="Times New Roman" w:eastAsia="Times New Roman" w:hAnsi="Times New Roman"/>
          <w:rtl w:val="0"/>
        </w:rPr>
        <w:t xml:space="preserve">Sequence details of the ClaI restriction site (dark blue) where fragments of the yeast genome are cloned. The construct contains a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promoter (left-bottom blue) a designed region where the ClaI site is located (bottom purple annotation) and the </w:t>
      </w:r>
      <w:r w:rsidDel="00000000" w:rsidR="00000000" w:rsidRPr="00000000">
        <w:rPr>
          <w:rFonts w:ascii="Times New Roman" w:cs="Times New Roman" w:eastAsia="Times New Roman" w:hAnsi="Times New Roman"/>
          <w:i w:val="1"/>
          <w:rtl w:val="0"/>
        </w:rPr>
        <w:t xml:space="preserve">CYC1</w:t>
      </w:r>
      <w:r w:rsidDel="00000000" w:rsidR="00000000" w:rsidRPr="00000000">
        <w:rPr>
          <w:rFonts w:ascii="Times New Roman" w:cs="Times New Roman" w:eastAsia="Times New Roman" w:hAnsi="Times New Roman"/>
          <w:rtl w:val="0"/>
        </w:rPr>
        <w:t xml:space="preserve"> terminator (bottom yellow annotation). The designed region contains a start codon ATG (green), followed by the ClaI site and finishing with three stop codons (red) separated by one nucleotide to cover all possible reading frames. </w:t>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Top: distribution of the genomic fragments inserted in the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library. Bottom: two example resulting strains after insertion of two chromosome I fragments. </w:t>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Expression measurements across replicates are reproducible. Shown are two independent creations of the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promoter library, and one of the RPL4A library. We note that if differences in signal (experimental error) were responsible for the results, then we would expect the codon bias and NMD effects to be stronger in the experiments with a higher correlation between replicates. The opposite is true; both signals are also higher in the </w:t>
      </w:r>
      <w:r w:rsidDel="00000000" w:rsidR="00000000" w:rsidRPr="00000000">
        <w:rPr>
          <w:rFonts w:ascii="Times New Roman" w:cs="Times New Roman" w:eastAsia="Times New Roman" w:hAnsi="Times New Roman"/>
          <w:i w:val="1"/>
          <w:rtl w:val="0"/>
        </w:rPr>
        <w:t xml:space="preserve">RPL4A</w:t>
      </w:r>
      <w:r w:rsidDel="00000000" w:rsidR="00000000" w:rsidRPr="00000000">
        <w:rPr>
          <w:rFonts w:ascii="Times New Roman" w:cs="Times New Roman" w:eastAsia="Times New Roman" w:hAnsi="Times New Roman"/>
          <w:rtl w:val="0"/>
        </w:rPr>
        <w:t xml:space="preserve"> library than in the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library #2 (see </w:t>
      </w:r>
      <w:r w:rsidDel="00000000" w:rsidR="00000000" w:rsidRPr="00000000">
        <w:rPr>
          <w:rFonts w:ascii="Times New Roman" w:cs="Times New Roman" w:eastAsia="Times New Roman" w:hAnsi="Times New Roman"/>
          <w:b w:val="1"/>
          <w:rtl w:val="0"/>
        </w:rPr>
        <w:t xml:space="preserve">Supplemental Fig. 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rtl w:val="0"/>
        </w:rPr>
        <w:t xml:space="preserve">Shown are the length and expression distribution for the entire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library (blue) and a small subset with similar insert length (133-153 nt) and GC content (0.35-0.45% GC). In this subset with expression varies by 4 orders of magnitude. </w:t>
      </w:r>
    </w:p>
    <w:p w:rsidR="00000000" w:rsidDel="00000000" w:rsidP="00000000" w:rsidRDefault="00000000" w:rsidRPr="00000000" w14:paraId="00000002">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Fig. 2. Breakdown of expression by insert origin. </w:t>
      </w:r>
      <w:r w:rsidDel="00000000" w:rsidR="00000000" w:rsidRPr="00000000">
        <w:rPr>
          <w:rFonts w:ascii="Times New Roman" w:cs="Times New Roman" w:eastAsia="Times New Roman" w:hAnsi="Times New Roman"/>
          <w:rtl w:val="0"/>
        </w:rPr>
        <w:t xml:space="preserve">Inserts were classified according to (A) absence/presence of a PTC, (B) if they came from within an ORF or not, and (C) if the translational reading frame in our system is the same as the reading frame in the native gene. </w:t>
      </w:r>
    </w:p>
    <w:p w:rsidR="00000000" w:rsidDel="00000000" w:rsidP="00000000" w:rsidRDefault="00000000" w:rsidRPr="00000000" w14:paraId="00000004">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48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Fig. 3. Flowchart of the steps followed to select the predictors of the ORF-expression model.  </w:t>
      </w:r>
      <w:r w:rsidDel="00000000" w:rsidR="00000000" w:rsidRPr="00000000">
        <w:rPr>
          <w:rFonts w:ascii="Times New Roman" w:cs="Times New Roman" w:eastAsia="Times New Roman" w:hAnsi="Times New Roman"/>
          <w:rtl w:val="0"/>
        </w:rPr>
        <w:t xml:space="preserve">AUC = Area Under the Curve, GLM = Generalized Linear Model, Lasso = Least absolute shrinkage and selection operator, AG1 = Containing an A or a G in codon position 1, TC3 = Containing a T or A in codon position 3, A2 = Containing an A in codon position 2, AC2 = Containing an A or C in codon position 2. </w:t>
      </w:r>
    </w:p>
    <w:p w:rsidR="00000000" w:rsidDel="00000000" w:rsidP="00000000" w:rsidRDefault="00000000" w:rsidRPr="00000000" w14:paraId="00000007">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Fig. 4. Several parameters of constitutive and regulated genes.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mCherry expression of the NMD reporter constructs lacking a premature termination codon (PTC) between mCherry and YFP (see </w:t>
      </w:r>
      <w:r w:rsidDel="00000000" w:rsidR="00000000" w:rsidRPr="00000000">
        <w:rPr>
          <w:rFonts w:ascii="Times New Roman" w:cs="Times New Roman" w:eastAsia="Times New Roman" w:hAnsi="Times New Roman"/>
          <w:b w:val="1"/>
          <w:rtl w:val="0"/>
        </w:rPr>
        <w:t xml:space="preserve">Fig. 3D</w:t>
      </w:r>
      <w:r w:rsidDel="00000000" w:rsidR="00000000" w:rsidRPr="00000000">
        <w:rPr>
          <w:rFonts w:ascii="Times New Roman" w:cs="Times New Roman" w:eastAsia="Times New Roman" w:hAnsi="Times New Roman"/>
          <w:rtl w:val="0"/>
        </w:rPr>
        <w:t xml:space="preserve">), driven by the constitutive (blue) and regulated (red) promoter. Each construct was measured in wild-type, </w:t>
      </w:r>
      <w:r w:rsidDel="00000000" w:rsidR="00000000" w:rsidRPr="00000000">
        <w:rPr>
          <w:rFonts w:ascii="Times New Roman" w:cs="Times New Roman" w:eastAsia="Times New Roman" w:hAnsi="Times New Roman"/>
          <w:i w:val="1"/>
          <w:rtl w:val="0"/>
        </w:rPr>
        <w:t xml:space="preserve">upf1Δ</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dbp2Δ </w:t>
      </w:r>
      <w:r w:rsidDel="00000000" w:rsidR="00000000" w:rsidRPr="00000000">
        <w:rPr>
          <w:rFonts w:ascii="Times New Roman" w:cs="Times New Roman" w:eastAsia="Times New Roman" w:hAnsi="Times New Roman"/>
          <w:rtl w:val="0"/>
        </w:rPr>
        <w:t xml:space="preserve">strains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Each point is from a different biological replicate.</w:t>
      </w:r>
      <w:r w:rsidDel="00000000" w:rsidR="00000000" w:rsidRPr="00000000">
        <w:rPr>
          <w:rFonts w:ascii="Times New Roman" w:cs="Times New Roman" w:eastAsia="Times New Roman" w:hAnsi="Times New Roman"/>
          <w:b w:val="1"/>
          <w:rtl w:val="0"/>
        </w:rPr>
        <w:t xml:space="preserve"> (B) </w:t>
      </w:r>
      <w:r w:rsidDel="00000000" w:rsidR="00000000" w:rsidRPr="00000000">
        <w:rPr>
          <w:rFonts w:ascii="Times New Roman" w:cs="Times New Roman" w:eastAsia="Times New Roman" w:hAnsi="Times New Roman"/>
          <w:rtl w:val="0"/>
        </w:rPr>
        <w:t xml:space="preserve">The same as in (A), but for constructs bearing a PTC in the intervening </w:t>
      </w:r>
      <w:r w:rsidDel="00000000" w:rsidR="00000000" w:rsidRPr="00000000">
        <w:rPr>
          <w:rFonts w:ascii="Times New Roman" w:cs="Times New Roman" w:eastAsia="Times New Roman" w:hAnsi="Times New Roman"/>
          <w:rtl w:val="0"/>
        </w:rPr>
        <w:t xml:space="preserve">mCherry-YFP</w:t>
      </w:r>
      <w:r w:rsidDel="00000000" w:rsidR="00000000" w:rsidRPr="00000000">
        <w:rPr>
          <w:rFonts w:ascii="Times New Roman" w:cs="Times New Roman" w:eastAsia="Times New Roman" w:hAnsi="Times New Roman"/>
          <w:rtl w:val="0"/>
        </w:rPr>
        <w:t xml:space="preserve"> linker. </w:t>
      </w:r>
      <w:r w:rsidDel="00000000" w:rsidR="00000000" w:rsidRPr="00000000">
        <w:rPr>
          <w:rFonts w:ascii="Times New Roman" w:cs="Times New Roman" w:eastAsia="Times New Roman" w:hAnsi="Times New Roman"/>
          <w:b w:val="1"/>
          <w:rtl w:val="0"/>
        </w:rPr>
        <w:t xml:space="preserve">(C,D) </w:t>
      </w:r>
      <w:r w:rsidDel="00000000" w:rsidR="00000000" w:rsidRPr="00000000">
        <w:rPr>
          <w:rFonts w:ascii="Times New Roman" w:cs="Times New Roman" w:eastAsia="Times New Roman" w:hAnsi="Times New Roman"/>
          <w:rtl w:val="0"/>
        </w:rPr>
        <w:t xml:space="preserve">The same as (A,B), but showing</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YFP expression measurements. </w:t>
      </w:r>
      <w:r w:rsidDel="00000000" w:rsidR="00000000" w:rsidRPr="00000000">
        <w:rPr>
          <w:rFonts w:ascii="Times New Roman" w:cs="Times New Roman" w:eastAsia="Times New Roman" w:hAnsi="Times New Roman"/>
          <w:b w:val="1"/>
          <w:rtl w:val="0"/>
        </w:rPr>
        <w:t xml:space="preserve">(E) </w:t>
      </w:r>
      <w:r w:rsidDel="00000000" w:rsidR="00000000" w:rsidRPr="00000000">
        <w:rPr>
          <w:rFonts w:ascii="Times New Roman" w:cs="Times New Roman" w:eastAsia="Times New Roman" w:hAnsi="Times New Roman"/>
          <w:rtl w:val="0"/>
        </w:rPr>
        <w:t xml:space="preserve">Distribution of RNA half-life values reported Neymotin et al </w:t>
      </w:r>
      <w:hyperlink r:id="rId6">
        <w:r w:rsidDel="00000000" w:rsidR="00000000" w:rsidRPr="00000000">
          <w:rPr>
            <w:rFonts w:ascii="Times New Roman" w:cs="Times New Roman" w:eastAsia="Times New Roman" w:hAnsi="Times New Roman"/>
            <w:rtl w:val="0"/>
          </w:rPr>
          <w:t xml:space="preserve">(Neymotin et al. 2014)</w:t>
        </w:r>
      </w:hyperlink>
      <w:r w:rsidDel="00000000" w:rsidR="00000000" w:rsidRPr="00000000">
        <w:rPr>
          <w:rFonts w:ascii="Times New Roman" w:cs="Times New Roman" w:eastAsia="Times New Roman" w:hAnsi="Times New Roman"/>
          <w:rtl w:val="0"/>
        </w:rPr>
        <w:t xml:space="preserve">. Shown are these values for TATA (red) and TATA-less (blue) genes. The p value corresponds to a ttest. </w:t>
      </w:r>
      <w:r w:rsidDel="00000000" w:rsidR="00000000" w:rsidRPr="00000000">
        <w:rPr>
          <w:rFonts w:ascii="Times New Roman" w:cs="Times New Roman" w:eastAsia="Times New Roman" w:hAnsi="Times New Roman"/>
          <w:b w:val="1"/>
          <w:rtl w:val="0"/>
        </w:rPr>
        <w:t xml:space="preserve">(F)</w:t>
      </w:r>
      <w:r w:rsidDel="00000000" w:rsidR="00000000" w:rsidRPr="00000000">
        <w:rPr>
          <w:rFonts w:ascii="Times New Roman" w:cs="Times New Roman" w:eastAsia="Times New Roman" w:hAnsi="Times New Roman"/>
          <w:rtl w:val="0"/>
        </w:rPr>
        <w:t xml:space="preserve"> Distribution of mRNA expression levels (in log</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TPM) for the same groups as in (E). The inset shows the expression distributions after removing ribosomal proteins. </w:t>
      </w:r>
      <w:r w:rsidDel="00000000" w:rsidR="00000000" w:rsidRPr="00000000">
        <w:rPr>
          <w:rFonts w:ascii="Times New Roman" w:cs="Times New Roman" w:eastAsia="Times New Roman" w:hAnsi="Times New Roman"/>
          <w:b w:val="1"/>
          <w:rtl w:val="0"/>
        </w:rPr>
        <w:t xml:space="preserve">(G) </w:t>
      </w:r>
      <w:r w:rsidDel="00000000" w:rsidR="00000000" w:rsidRPr="00000000">
        <w:rPr>
          <w:rFonts w:ascii="Times New Roman" w:cs="Times New Roman" w:eastAsia="Times New Roman" w:hAnsi="Times New Roman"/>
          <w:rtl w:val="0"/>
        </w:rPr>
        <w:t xml:space="preserve">tRNA Adaptation Index (tAI) scores for for the same groups as in (E). The line refers to the threshold used in the analysis of how tAI affects expression in native genes (see Results). (</w:t>
      </w:r>
      <w:r w:rsidDel="00000000" w:rsidR="00000000" w:rsidRPr="00000000">
        <w:rPr>
          <w:rFonts w:ascii="Times New Roman" w:cs="Times New Roman" w:eastAsia="Times New Roman" w:hAnsi="Times New Roman"/>
          <w:b w:val="1"/>
          <w:rtl w:val="0"/>
        </w:rPr>
        <w:t xml:space="preserve">H</w:t>
      </w:r>
      <w:r w:rsidDel="00000000" w:rsidR="00000000" w:rsidRPr="00000000">
        <w:rPr>
          <w:rFonts w:ascii="Times New Roman" w:cs="Times New Roman" w:eastAsia="Times New Roman" w:hAnsi="Times New Roman"/>
          <w:rtl w:val="0"/>
        </w:rPr>
        <w:t xml:space="preserve">) Shown are all of the coefficients for features used in the linear model that predicts expression from sequence features. 3’UTR length for native genes is zero as only features in the ORF are considered. </w:t>
      </w:r>
    </w:p>
    <w:p w:rsidR="00000000" w:rsidDel="00000000" w:rsidP="00000000" w:rsidRDefault="00000000" w:rsidRPr="00000000" w14:paraId="00000009">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48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Supplemental Fig. 5. The tAI effect of in-frame fully-contained fragments and reproducibility across replicates of the gDNA library.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Shown are the correlation of tAI on insert length and GC content corrected expression for only the subset of inserts that lack a premature stop codon and that will be translated in the same reading frame in our library and in the native gene. </w:t>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rtl w:val="0"/>
        </w:rPr>
        <w:t xml:space="preserve">RPL4A</w:t>
      </w:r>
      <w:r w:rsidDel="00000000" w:rsidR="00000000" w:rsidRPr="00000000">
        <w:rPr>
          <w:rFonts w:ascii="Times New Roman" w:cs="Times New Roman" w:eastAsia="Times New Roman" w:hAnsi="Times New Roman"/>
          <w:rtl w:val="0"/>
        </w:rPr>
        <w:t xml:space="preserve"> promoter library compared to the two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promoter libraries. While the two </w:t>
      </w:r>
      <w:r w:rsidDel="00000000" w:rsidR="00000000" w:rsidRPr="00000000">
        <w:rPr>
          <w:rFonts w:ascii="Times New Roman" w:cs="Times New Roman" w:eastAsia="Times New Roman" w:hAnsi="Times New Roman"/>
          <w:i w:val="1"/>
          <w:rtl w:val="0"/>
        </w:rPr>
        <w:t xml:space="preserve">GALL</w:t>
      </w:r>
      <w:r w:rsidDel="00000000" w:rsidR="00000000" w:rsidRPr="00000000">
        <w:rPr>
          <w:rFonts w:ascii="Times New Roman" w:cs="Times New Roman" w:eastAsia="Times New Roman" w:hAnsi="Times New Roman"/>
          <w:rtl w:val="0"/>
        </w:rPr>
        <w:t xml:space="preserve"> promoter libraries have different correlations among replicates, the result is the same in both libraries. </w:t>
      </w:r>
      <w:r w:rsidDel="00000000" w:rsidR="00000000" w:rsidRPr="00000000">
        <w:rPr>
          <w:rtl w:val="0"/>
        </w:rPr>
      </w:r>
    </w:p>
    <w:p w:rsidR="00000000" w:rsidDel="00000000" w:rsidP="00000000" w:rsidRDefault="00000000" w:rsidRPr="00000000" w14:paraId="0000000B">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Fig. 6. TATA-less genes are more affected by NMD at native transcripts with both short 3’UTRs and long 3’UTRs.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(A,B) </w:t>
      </w:r>
      <w:r w:rsidDel="00000000" w:rsidR="00000000" w:rsidRPr="00000000">
        <w:rPr>
          <w:rFonts w:ascii="Times New Roman" w:cs="Times New Roman" w:eastAsia="Times New Roman" w:hAnsi="Times New Roman"/>
          <w:rtl w:val="0"/>
        </w:rPr>
        <w:t xml:space="preserve">NMD strength appears to have two regimes, transcripts with a 3’UTR length less than 250nt, and those with a longer 3’UTR. </w:t>
      </w:r>
      <w:r w:rsidDel="00000000" w:rsidR="00000000" w:rsidRPr="00000000">
        <w:rPr>
          <w:rFonts w:ascii="Times New Roman" w:cs="Times New Roman" w:eastAsia="Times New Roman" w:hAnsi="Times New Roman"/>
          <w:b w:val="1"/>
          <w:rtl w:val="0"/>
        </w:rPr>
        <w:t xml:space="preserve">(C,E)</w:t>
      </w:r>
      <w:r w:rsidDel="00000000" w:rsidR="00000000" w:rsidRPr="00000000">
        <w:rPr>
          <w:rFonts w:ascii="Times New Roman" w:cs="Times New Roman" w:eastAsia="Times New Roman" w:hAnsi="Times New Roman"/>
          <w:rtl w:val="0"/>
        </w:rPr>
        <w:t xml:space="preserve"> TATA-less transcripts have a stronger NMD effect (p-value for a t-test of mean NMD effect) for transcripts with both short and long 3’UTRs. </w:t>
      </w:r>
      <w:r w:rsidDel="00000000" w:rsidR="00000000" w:rsidRPr="00000000">
        <w:rPr>
          <w:rFonts w:ascii="Times New Roman" w:cs="Times New Roman" w:eastAsia="Times New Roman" w:hAnsi="Times New Roman"/>
          <w:b w:val="1"/>
          <w:rtl w:val="0"/>
        </w:rPr>
        <w:t xml:space="preserve">(B,D,F)</w:t>
      </w:r>
      <w:r w:rsidDel="00000000" w:rsidR="00000000" w:rsidRPr="00000000">
        <w:rPr>
          <w:rFonts w:ascii="Times New Roman" w:cs="Times New Roman" w:eastAsia="Times New Roman" w:hAnsi="Times New Roman"/>
          <w:rtl w:val="0"/>
        </w:rPr>
        <w:t xml:space="preserve"> Correlation between 3’UTR length and NMD strength for calculated from bootstrapped sampling of transcripts.   </w:t>
      </w:r>
    </w:p>
    <w:p w:rsidR="00000000" w:rsidDel="00000000" w:rsidP="00000000" w:rsidRDefault="00000000" w:rsidRPr="00000000" w14:paraId="0000000D">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48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Supplemental Fig. 7. Low </w:t>
      </w:r>
      <w:r w:rsidDel="00000000" w:rsidR="00000000" w:rsidRPr="00000000">
        <w:rPr>
          <w:rFonts w:ascii="Times New Roman" w:cs="Times New Roman" w:eastAsia="Times New Roman" w:hAnsi="Times New Roman"/>
          <w:b w:val="1"/>
          <w:i w:val="1"/>
          <w:rtl w:val="0"/>
        </w:rPr>
        <w:t xml:space="preserve">DBP2</w:t>
      </w:r>
      <w:r w:rsidDel="00000000" w:rsidR="00000000" w:rsidRPr="00000000">
        <w:rPr>
          <w:rFonts w:ascii="Times New Roman" w:cs="Times New Roman" w:eastAsia="Times New Roman" w:hAnsi="Times New Roman"/>
          <w:b w:val="1"/>
          <w:rtl w:val="0"/>
        </w:rPr>
        <w:t xml:space="preserve"> expression correlates with a high tAI effect in TATA+ but not TATA-less genes across all DEE datasets.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The calculated the tAI effect for all RNA-seq datasets in yeast compared with the measured DBP2 expression. Lines show the median tAI effect and shaded error bars the standard deviation from bootstrapping. Experiments are binned by </w:t>
      </w:r>
      <w:r w:rsidDel="00000000" w:rsidR="00000000" w:rsidRPr="00000000">
        <w:rPr>
          <w:rFonts w:ascii="Times New Roman" w:cs="Times New Roman" w:eastAsia="Times New Roman" w:hAnsi="Times New Roman"/>
          <w:i w:val="1"/>
          <w:rtl w:val="0"/>
        </w:rPr>
        <w:t xml:space="preserve">DBP2</w:t>
      </w:r>
      <w:r w:rsidDel="00000000" w:rsidR="00000000" w:rsidRPr="00000000">
        <w:rPr>
          <w:rFonts w:ascii="Times New Roman" w:cs="Times New Roman" w:eastAsia="Times New Roman" w:hAnsi="Times New Roman"/>
          <w:rtl w:val="0"/>
        </w:rPr>
        <w:t xml:space="preserve"> expression. Consistent with all our previous data, conditions and mutants with low DBP2 expression have a higher tAI effect for TATA+ genes and no change for TATA-less genes. </w:t>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Shown is the ability of tAI to predict steady-state mRNA levels for an RNA-seq experiment performed in a WT genotype </w:t>
      </w:r>
      <w:hyperlink r:id="rId7">
        <w:r w:rsidDel="00000000" w:rsidR="00000000" w:rsidRPr="00000000">
          <w:rPr>
            <w:rFonts w:ascii="Times New Roman" w:cs="Times New Roman" w:eastAsia="Times New Roman" w:hAnsi="Times New Roman"/>
            <w:rtl w:val="0"/>
          </w:rPr>
          <w:t xml:space="preserve">(Beck et al. 2014)</w:t>
        </w:r>
      </w:hyperlink>
      <w:r w:rsidDel="00000000" w:rsidR="00000000" w:rsidRPr="00000000">
        <w:rPr>
          <w:rFonts w:ascii="Times New Roman" w:cs="Times New Roman" w:eastAsia="Times New Roman" w:hAnsi="Times New Roman"/>
          <w:rtl w:val="0"/>
        </w:rPr>
        <w:t xml:space="preserve">. Two example genes with different promoters (TATA, and TATA-less) show different changes regarding the effect of tAI in a </w:t>
      </w:r>
      <w:r w:rsidDel="00000000" w:rsidR="00000000" w:rsidRPr="00000000">
        <w:rPr>
          <w:rFonts w:ascii="Times New Roman" w:cs="Times New Roman" w:eastAsia="Times New Roman" w:hAnsi="Times New Roman"/>
          <w:i w:val="1"/>
          <w:rtl w:val="0"/>
        </w:rPr>
        <w:t xml:space="preserve">dbp2Δ</w:t>
      </w:r>
      <w:r w:rsidDel="00000000" w:rsidR="00000000" w:rsidRPr="00000000">
        <w:rPr>
          <w:rFonts w:ascii="Times New Roman" w:cs="Times New Roman" w:eastAsia="Times New Roman" w:hAnsi="Times New Roman"/>
          <w:rtl w:val="0"/>
        </w:rPr>
        <w:t xml:space="preserve"> strain, performed under the same conditions.</w:t>
      </w:r>
      <w:r w:rsidDel="00000000" w:rsidR="00000000" w:rsidRPr="00000000">
        <w:rPr>
          <w:rtl w:val="0"/>
        </w:rPr>
      </w:r>
    </w:p>
    <w:p w:rsidR="00000000" w:rsidDel="00000000" w:rsidP="00000000" w:rsidRDefault="00000000" w:rsidRPr="00000000" w14:paraId="0000000F">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48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Supplemental Fig. 8. Dbp2 physically interacts with general transcription factors, chromatin, nuclear export machinery and translational machinery.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Dbp2 physical interactome of protein-protein interactions </w:t>
      </w:r>
      <w:hyperlink r:id="rId8">
        <w:r w:rsidDel="00000000" w:rsidR="00000000" w:rsidRPr="00000000">
          <w:rPr>
            <w:rFonts w:ascii="Times New Roman" w:cs="Times New Roman" w:eastAsia="Times New Roman" w:hAnsi="Times New Roman"/>
            <w:rtl w:val="0"/>
          </w:rPr>
          <w:t xml:space="preserve">(Cherry et al. 2012)</w:t>
        </w:r>
      </w:hyperlink>
      <w:r w:rsidDel="00000000" w:rsidR="00000000" w:rsidRPr="00000000">
        <w:rPr>
          <w:rFonts w:ascii="Times New Roman" w:cs="Times New Roman" w:eastAsia="Times New Roman" w:hAnsi="Times New Roman"/>
          <w:rtl w:val="0"/>
        </w:rPr>
        <w:t xml:space="preserve">. Dbp2 interacts with ribosomal, histone H3 and General Transcription Factors (GTFs) of Pol-II (TAF1 is the yeast ortholog of the mammalian TFIIE). </w:t>
      </w:r>
      <w:r w:rsidDel="00000000" w:rsidR="00000000" w:rsidRPr="00000000">
        <w:rPr>
          <w:rtl w:val="0"/>
        </w:rPr>
      </w:r>
    </w:p>
    <w:p w:rsidR="00000000" w:rsidDel="00000000" w:rsidP="00000000" w:rsidRDefault="00000000" w:rsidRPr="00000000" w14:paraId="00000011">
      <w:pPr>
        <w:spacing w:line="48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line="48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480" w:lineRule="auto"/>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pStyle w:val="Heading1"/>
        <w:spacing w:line="480" w:lineRule="auto"/>
        <w:contextualSpacing w:val="0"/>
        <w:jc w:val="both"/>
        <w:rPr/>
      </w:pPr>
      <w:bookmarkStart w:colFirst="0" w:colLast="0" w:name="_851fzw1j53ve" w:id="1"/>
      <w:bookmarkEnd w:id="1"/>
      <w:r w:rsidDel="00000000" w:rsidR="00000000" w:rsidRPr="00000000">
        <w:rPr>
          <w:rtl w:val="0"/>
        </w:rPr>
        <w:t xml:space="preserve">Supplementary Tables</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spacing w:line="480" w:lineRule="auto"/>
        <w:contextualSpacing w:val="0"/>
        <w:jc w:val="both"/>
        <w:rPr/>
      </w:pPr>
      <w:r w:rsidDel="00000000" w:rsidR="00000000" w:rsidRPr="00000000">
        <w:rPr>
          <w:rFonts w:ascii="Times New Roman" w:cs="Times New Roman" w:eastAsia="Times New Roman" w:hAnsi="Times New Roman"/>
          <w:b w:val="1"/>
          <w:rtl w:val="0"/>
        </w:rPr>
        <w:t xml:space="preserve">Supplemental Table 1: </w:t>
      </w:r>
      <w:r w:rsidDel="00000000" w:rsidR="00000000" w:rsidRPr="00000000">
        <w:rPr>
          <w:rFonts w:ascii="Times New Roman" w:cs="Times New Roman" w:eastAsia="Times New Roman" w:hAnsi="Times New Roman"/>
          <w:rtl w:val="0"/>
        </w:rPr>
        <w:t xml:space="preserve">Properties of the inserts in the ORF library</w:t>
      </w:r>
      <w:r w:rsidDel="00000000" w:rsidR="00000000" w:rsidRPr="00000000">
        <w:rPr>
          <w:rtl w:val="0"/>
        </w:rPr>
      </w:r>
    </w:p>
    <w:p w:rsidR="00000000" w:rsidDel="00000000" w:rsidP="00000000" w:rsidRDefault="00000000" w:rsidRPr="00000000" w14:paraId="00000017">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Table 2: </w:t>
      </w:r>
      <w:r w:rsidDel="00000000" w:rsidR="00000000" w:rsidRPr="00000000">
        <w:rPr>
          <w:rFonts w:ascii="Times New Roman" w:cs="Times New Roman" w:eastAsia="Times New Roman" w:hAnsi="Times New Roman"/>
          <w:rtl w:val="0"/>
        </w:rPr>
        <w:t xml:space="preserve">Results of Gene Ontology Analysis</w:t>
      </w:r>
    </w:p>
    <w:p w:rsidR="00000000" w:rsidDel="00000000" w:rsidP="00000000" w:rsidRDefault="00000000" w:rsidRPr="00000000" w14:paraId="00000018">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Table 3: </w:t>
      </w:r>
      <w:r w:rsidDel="00000000" w:rsidR="00000000" w:rsidRPr="00000000">
        <w:rPr>
          <w:rFonts w:ascii="Times New Roman" w:cs="Times New Roman" w:eastAsia="Times New Roman" w:hAnsi="Times New Roman"/>
          <w:rtl w:val="0"/>
        </w:rPr>
        <w:t xml:space="preserve">Table of strains and plasmids used in this study</w:t>
      </w:r>
    </w:p>
    <w:p w:rsidR="00000000" w:rsidDel="00000000" w:rsidP="00000000" w:rsidRDefault="00000000" w:rsidRPr="00000000" w14:paraId="00000019">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Table 4: </w:t>
      </w:r>
      <w:r w:rsidDel="00000000" w:rsidR="00000000" w:rsidRPr="00000000">
        <w:rPr>
          <w:rFonts w:ascii="Times New Roman" w:cs="Times New Roman" w:eastAsia="Times New Roman" w:hAnsi="Times New Roman"/>
          <w:rtl w:val="0"/>
        </w:rPr>
        <w:t xml:space="preserve">Table of used primers</w:t>
      </w:r>
    </w:p>
    <w:p w:rsidR="00000000" w:rsidDel="00000000" w:rsidP="00000000" w:rsidRDefault="00000000" w:rsidRPr="00000000" w14:paraId="0000001A">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Supplemental Table 5: </w:t>
      </w:r>
      <w:r w:rsidDel="00000000" w:rsidR="00000000" w:rsidRPr="00000000">
        <w:rPr>
          <w:rFonts w:ascii="Times New Roman" w:cs="Times New Roman" w:eastAsia="Times New Roman" w:hAnsi="Times New Roman"/>
          <w:rtl w:val="0"/>
        </w:rPr>
        <w:t xml:space="preserve">PCR Primer barcode combination</w:t>
      </w:r>
    </w:p>
    <w:p w:rsidR="00000000" w:rsidDel="00000000" w:rsidP="00000000" w:rsidRDefault="00000000" w:rsidRPr="00000000" w14:paraId="0000001B">
      <w:pPr>
        <w:spacing w:line="48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Supplemental Table 6: </w:t>
      </w:r>
      <w:r w:rsidDel="00000000" w:rsidR="00000000" w:rsidRPr="00000000">
        <w:rPr>
          <w:rFonts w:ascii="Times New Roman" w:cs="Times New Roman" w:eastAsia="Times New Roman" w:hAnsi="Times New Roman"/>
          <w:rtl w:val="0"/>
        </w:rPr>
        <w:t xml:space="preserve">Nucleotide sequences of 5' and 3' regions of random ORF library plasmid construct (5' to 3')</w:t>
      </w: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sectPr>
      <w:head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contextualSpacing w:val="0"/>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paperpile.com/c/Tap1cm/Y02No" TargetMode="External"/><Relationship Id="rId7" Type="http://schemas.openxmlformats.org/officeDocument/2006/relationships/hyperlink" Target="https://paperpile.com/c/Tap1cm/nwxb6" TargetMode="External"/><Relationship Id="rId8" Type="http://schemas.openxmlformats.org/officeDocument/2006/relationships/hyperlink" Target="https://paperpile.com/c/Tap1cm/8tT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