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7992B" w14:textId="28FE799B" w:rsidR="00187789" w:rsidRPr="00115DA0" w:rsidRDefault="00D563D1" w:rsidP="00131449">
      <w:pPr>
        <w:spacing w:line="480" w:lineRule="auto"/>
        <w:rPr>
          <w:rFonts w:ascii="Times New Roman" w:hAnsi="Times New Roman"/>
          <w:b/>
        </w:rPr>
      </w:pPr>
      <w:r w:rsidRPr="00115DA0">
        <w:rPr>
          <w:rFonts w:ascii="Times New Roman" w:hAnsi="Times New Roman"/>
          <w:b/>
        </w:rPr>
        <w:t>Human genic copy number variation</w:t>
      </w:r>
    </w:p>
    <w:p w14:paraId="3DD82B36" w14:textId="505EA3B8" w:rsidR="00D563D1" w:rsidRPr="00115DA0" w:rsidRDefault="00D563D1" w:rsidP="00131449">
      <w:pPr>
        <w:spacing w:line="480" w:lineRule="auto"/>
        <w:rPr>
          <w:rFonts w:ascii="Times New Roman" w:hAnsi="Times New Roman" w:cs="Times New Roman"/>
        </w:rPr>
      </w:pPr>
      <w:r w:rsidRPr="00115DA0">
        <w:rPr>
          <w:rFonts w:ascii="Times New Roman" w:hAnsi="Times New Roman" w:cs="Times New Roman"/>
        </w:rPr>
        <w:t xml:space="preserve">We downloaded </w:t>
      </w:r>
      <w:proofErr w:type="spellStart"/>
      <w:r w:rsidRPr="00115DA0">
        <w:rPr>
          <w:rFonts w:ascii="Times New Roman" w:hAnsi="Times New Roman" w:cs="Times New Roman"/>
        </w:rPr>
        <w:t>Exome</w:t>
      </w:r>
      <w:proofErr w:type="spellEnd"/>
      <w:r w:rsidRPr="00115DA0">
        <w:rPr>
          <w:rFonts w:ascii="Times New Roman" w:hAnsi="Times New Roman" w:cs="Times New Roman"/>
        </w:rPr>
        <w:t xml:space="preserve"> Aggregation Consortium (</w:t>
      </w:r>
      <w:proofErr w:type="spellStart"/>
      <w:r w:rsidRPr="00115DA0">
        <w:rPr>
          <w:rFonts w:ascii="Times New Roman" w:hAnsi="Times New Roman" w:cs="Times New Roman"/>
        </w:rPr>
        <w:t>ExAC</w:t>
      </w:r>
      <w:proofErr w:type="spellEnd"/>
      <w:r w:rsidRPr="00115DA0">
        <w:rPr>
          <w:rFonts w:ascii="Times New Roman" w:hAnsi="Times New Roman" w:cs="Times New Roman"/>
        </w:rPr>
        <w:t xml:space="preserve">) data from (ftp://ftp.broadinstitute.org/pub/ExAC_release/release0.3.1/cnv/). We used the publicly available genic deletion counts but re-computed genic duplication counts using only full duplications, reasoning that partial duplications are unlikely to result in increased dosage of the full gene product. We thus required that an individual duplication fully overlapped the longest protein-coding transcript (GENCODE v19) of a gene using </w:t>
      </w:r>
      <w:proofErr w:type="spellStart"/>
      <w:r w:rsidRPr="00115DA0">
        <w:rPr>
          <w:rFonts w:ascii="Times New Roman" w:hAnsi="Times New Roman" w:cs="Times New Roman"/>
        </w:rPr>
        <w:t>BEDtools</w:t>
      </w:r>
      <w:proofErr w:type="spellEnd"/>
      <w:r w:rsidRPr="00115DA0">
        <w:rPr>
          <w:rFonts w:ascii="Times New Roman" w:hAnsi="Times New Roman" w:cs="Times New Roman"/>
        </w:rPr>
        <w:t xml:space="preserve"> (RRID</w:t>
      </w:r>
      <w:proofErr w:type="gramStart"/>
      <w:r w:rsidRPr="00115DA0">
        <w:rPr>
          <w:rFonts w:ascii="Times New Roman" w:hAnsi="Times New Roman" w:cs="Times New Roman"/>
        </w:rPr>
        <w:t>:SCR</w:t>
      </w:r>
      <w:proofErr w:type="gramEnd"/>
      <w:r w:rsidRPr="00115DA0">
        <w:rPr>
          <w:rFonts w:ascii="Times New Roman" w:hAnsi="Times New Roman" w:cs="Times New Roman"/>
        </w:rPr>
        <w:t xml:space="preserve">_006646) </w:t>
      </w:r>
      <w:r w:rsidRPr="00115DA0">
        <w:rPr>
          <w:rFonts w:ascii="Times New Roman" w:hAnsi="Times New Roman" w:cs="Times New Roman"/>
        </w:rPr>
        <w:fldChar w:fldCharType="begin" w:fldLock="1"/>
      </w:r>
      <w:r w:rsidRPr="00115DA0">
        <w:rPr>
          <w:rFonts w:ascii="Times New Roman" w:hAnsi="Times New Roman" w:cs="Times New Roman"/>
        </w:rPr>
        <w:instrText>ADDIN CSL_CITATION { "citationItems" : [ { "id" : "ITEM-1", "itemData" : { "DOI" : "10.1093/bioinformatics/btq033", "ISBN" : "1367-4811 (Electronic)\\n1367-4803 (Linking)", "ISSN" : "13674803", "PMID" : "20110278", "abstract" :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 "author" : [ { "dropping-particle" : "", "family" : "Quinlan", "given" : "Aaron R.", "non-dropping-particle" : "", "parse-names" : false, "suffix" : "" }, { "dropping-particle" : "", "family" : "Hall", "given" : "Ira M.", "non-dropping-particle" : "", "parse-names" : false, "suffix" : "" } ], "container-title" : "Bioinformatics", "id" : "ITEM-1", "issue" : "6", "issued" : { "date-parts" : [ [ "2010" ] ] }, "page" : "841-842", "title" : "BEDTools: A flexible suite of utilities for comparing genomic features", "type" : "article-journal", "volume" : "26" }, "uris" : [ "http://www.mendeley.com/documents/?uuid=854c10fd-e9ac-4a10-a889-f5d0c51442f1", "http://www.mendeley.com/documents/?uuid=378371f1-10cd-46a9-89f5-90ca23671387" ] } ], "mendeley" : { "formattedCitation" : "(Quinlan &amp; Hall, 2010)", "plainTextFormattedCitation" : "(Quinlan &amp; Hall, 2010)", "previouslyFormattedCitation" : "(Quinlan &amp; Hall, 2010)" }, "properties" : { "noteIndex" : 0 }, "schema" : "https://github.com/citation-style-language/schema/raw/master/csl-citation.json" }</w:instrText>
      </w:r>
      <w:r w:rsidRPr="00115DA0">
        <w:rPr>
          <w:rFonts w:ascii="Times New Roman" w:hAnsi="Times New Roman" w:cs="Times New Roman"/>
        </w:rPr>
        <w:fldChar w:fldCharType="separate"/>
      </w:r>
      <w:r w:rsidRPr="00115DA0">
        <w:rPr>
          <w:rFonts w:ascii="Times New Roman" w:hAnsi="Times New Roman" w:cs="Times New Roman"/>
          <w:noProof/>
        </w:rPr>
        <w:t>(Quinlan &amp; Hall, 2010)</w:t>
      </w:r>
      <w:r w:rsidRPr="00115DA0">
        <w:rPr>
          <w:rFonts w:ascii="Times New Roman" w:hAnsi="Times New Roman" w:cs="Times New Roman"/>
        </w:rPr>
        <w:fldChar w:fldCharType="end"/>
      </w:r>
      <w:r w:rsidRPr="00115DA0">
        <w:rPr>
          <w:rFonts w:ascii="Times New Roman" w:hAnsi="Times New Roman" w:cs="Times New Roman"/>
        </w:rPr>
        <w:t xml:space="preserve">. We removed genes flagged by </w:t>
      </w:r>
      <w:proofErr w:type="spellStart"/>
      <w:r w:rsidRPr="00115DA0">
        <w:rPr>
          <w:rFonts w:ascii="Times New Roman" w:hAnsi="Times New Roman" w:cs="Times New Roman"/>
        </w:rPr>
        <w:t>ExAC</w:t>
      </w:r>
      <w:proofErr w:type="spellEnd"/>
      <w:r w:rsidRPr="00115DA0">
        <w:rPr>
          <w:rFonts w:ascii="Times New Roman" w:hAnsi="Times New Roman" w:cs="Times New Roman"/>
        </w:rPr>
        <w:t xml:space="preserve"> as lying in known regions of recurrent CNVs. This yielded 4,118 genes within duplications and deletions, 3,976 genes within deletions but not duplications, 2,916 genes within duplications but not deletions, and 3,510 genes not subject to duplication or deletion.</w:t>
      </w:r>
    </w:p>
    <w:p w14:paraId="639E71A8" w14:textId="77777777" w:rsidR="00D563D1" w:rsidRDefault="00D563D1" w:rsidP="00131449">
      <w:pPr>
        <w:spacing w:line="480" w:lineRule="auto"/>
        <w:rPr>
          <w:rFonts w:ascii="Times New Roman" w:hAnsi="Times New Roman" w:cs="Times New Roman"/>
        </w:rPr>
      </w:pPr>
    </w:p>
    <w:p w14:paraId="15F808D7" w14:textId="77777777" w:rsidR="00D563D1" w:rsidRDefault="00D563D1" w:rsidP="00D563D1">
      <w:pPr>
        <w:spacing w:line="480" w:lineRule="auto"/>
        <w:outlineLvl w:val="0"/>
        <w:rPr>
          <w:rFonts w:ascii="Times New Roman" w:hAnsi="Times New Roman" w:cs="Times New Roman"/>
          <w:b/>
        </w:rPr>
      </w:pPr>
      <w:r>
        <w:rPr>
          <w:rFonts w:ascii="Times New Roman" w:hAnsi="Times New Roman" w:cs="Times New Roman"/>
          <w:b/>
        </w:rPr>
        <w:t>X-linked gene sets</w:t>
      </w:r>
    </w:p>
    <w:p w14:paraId="6777ECFB" w14:textId="1C11B490" w:rsidR="00D563D1" w:rsidRDefault="00D563D1" w:rsidP="00D563D1">
      <w:pPr>
        <w:spacing w:line="480" w:lineRule="auto"/>
        <w:rPr>
          <w:rFonts w:ascii="Times New Roman" w:hAnsi="Times New Roman" w:cs="Times New Roman"/>
        </w:rPr>
      </w:pPr>
      <w:r>
        <w:rPr>
          <w:rFonts w:ascii="Times New Roman" w:hAnsi="Times New Roman" w:cs="Times New Roman"/>
        </w:rPr>
        <w:t xml:space="preserve">Analyses of conserved </w:t>
      </w:r>
      <w:proofErr w:type="spellStart"/>
      <w:r>
        <w:rPr>
          <w:rFonts w:ascii="Times New Roman" w:hAnsi="Times New Roman" w:cs="Times New Roman"/>
        </w:rPr>
        <w:t>miRNA</w:t>
      </w:r>
      <w:proofErr w:type="spellEnd"/>
      <w:r>
        <w:rPr>
          <w:rFonts w:ascii="Times New Roman" w:hAnsi="Times New Roman" w:cs="Times New Roman"/>
        </w:rPr>
        <w:t xml:space="preserve"> targeting based on multiple species alignments are unreliable for </w:t>
      </w:r>
      <w:proofErr w:type="spellStart"/>
      <w:r>
        <w:rPr>
          <w:rFonts w:ascii="Times New Roman" w:hAnsi="Times New Roman" w:cs="Times New Roman"/>
        </w:rPr>
        <w:t>multicopy</w:t>
      </w:r>
      <w:proofErr w:type="spellEnd"/>
      <w:r>
        <w:rPr>
          <w:rFonts w:ascii="Times New Roman" w:hAnsi="Times New Roman" w:cs="Times New Roman"/>
        </w:rPr>
        <w:t xml:space="preserve"> or </w:t>
      </w:r>
      <w:proofErr w:type="spellStart"/>
      <w:r>
        <w:rPr>
          <w:rFonts w:ascii="Times New Roman" w:hAnsi="Times New Roman" w:cs="Times New Roman"/>
        </w:rPr>
        <w:t>ampliconic</w:t>
      </w:r>
      <w:proofErr w:type="spellEnd"/>
      <w:r>
        <w:rPr>
          <w:rFonts w:ascii="Times New Roman" w:hAnsi="Times New Roman" w:cs="Times New Roman"/>
        </w:rPr>
        <w:t xml:space="preserve"> genes due to ambiguous sequence alignment between species. To avoid such issues, we first removed </w:t>
      </w:r>
      <w:proofErr w:type="spellStart"/>
      <w:r>
        <w:rPr>
          <w:rFonts w:ascii="Times New Roman" w:hAnsi="Times New Roman" w:cs="Times New Roman"/>
        </w:rPr>
        <w:t>multicopy</w:t>
      </w:r>
      <w:proofErr w:type="spellEnd"/>
      <w:r>
        <w:rPr>
          <w:rFonts w:ascii="Times New Roman" w:hAnsi="Times New Roman" w:cs="Times New Roman"/>
        </w:rPr>
        <w:t xml:space="preserve"> and </w:t>
      </w:r>
      <w:proofErr w:type="spellStart"/>
      <w:r>
        <w:rPr>
          <w:rFonts w:ascii="Times New Roman" w:hAnsi="Times New Roman" w:cs="Times New Roman"/>
        </w:rPr>
        <w:t>ampliconic</w:t>
      </w:r>
      <w:proofErr w:type="spellEnd"/>
      <w:r>
        <w:rPr>
          <w:rFonts w:ascii="Times New Roman" w:hAnsi="Times New Roman" w:cs="Times New Roman"/>
        </w:rPr>
        <w:t xml:space="preserve"> genes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"10.1038/ng.2705", "ISSN" : "1061-4036", "author" : [ { "dropping-particle" : "", "family" : "Mueller", "given" : "Jacob L", "non-dropping-particle" : "", "parse-names" : false, "suffix" : "" }, { "dropping-particle" : "", "family" : "Skaletsky", "given" : "Helen", "non-dropping-particle" : "", "parse-names" : false, "suffix" : "" }, { "dropping-particle" : "", "family" : "Brown", "given" : "Laura G", "non-dropping-particle" : "", "parse-names" : false, "suffix" : "" }, { "dropping-particle" : "", "family" : "Zaghlul", "given" : "Sara", "non-dropping-particle" : "", "parse-names" : false, "suffix" : "" }, { "dropping-particle" : "", "family" : "Rock", "given" : "Susan", "non-dropping-particle" : "", "parse-names" : false, "suffix" : "" }, { "dropping-particle" : "", "family" : "Graves", "given" : "Tina", "non-dropping-particle" : "", "parse-names" : false, "suffix" : "" }, { "dropping-particle" : "", "family" : "Auger", "given" : "Katherine", "non-dropping-particle" : "", "parse-names" : false, "suffix" : "" }, { "dropping-particle" : "", "family" : "Warren", "given" : "Wesley C", "non-dropping-particle" : "", "parse-names" : false, "suffix" : "" }, { "dropping-particle" : "", "family" : "Wilson", "given" : "Richard K", "non-dropping-particle" : "", "parse-names" : false, "suffix" : "" }, { "dropping-particle" : "", "family" : "Page", "given" : "David C", "non-dropping-particle" : "", "parse-names" : false, "suffix" : "" } ], "container-title" : "Nature Genetics", "id" : "ITEM-1", "issue" : "9", "issued" : { "date-parts" : [ [ "2013" ] ] }, "page" : "1083-1087", "publisher" : "Nature Publishing Group", "title" : "Independent specialization of the human and mouse X chromosomes for the male germ line", "type" : "article-journal", "volume" : "45" }, "uris" : [ "http://www.mendeley.com/documents/?uuid=b5fc24b5-d296-4550-898d-343e03d9896b", "http://www.mendeley.com/documents/?uuid=d5b4e2bb-c06f-47e3-8ff7-3286d80312e5" ] } ], "mendeley" : { "formattedCitation" : "(Mueller et al., 2013)", "plainTextFormattedCitation" : "(Mueller et al., 2013)", "previouslyFormattedCitation" : "(Mueller et al., 2013)"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(Mueller et al., 2013)</w:t>
      </w:r>
      <w:r>
        <w:rPr>
          <w:rFonts w:ascii="Times New Roman" w:hAnsi="Times New Roman" w:cs="Times New Roman"/>
        </w:rPr>
        <w:fldChar w:fldCharType="end"/>
      </w:r>
      <w:r>
        <w:rPr>
          <w:rFonts w:ascii="Times New Roman" w:hAnsi="Times New Roman" w:cs="Times New Roman"/>
        </w:rPr>
        <w:t xml:space="preserve"> from a previously published set of human X genes present in the </w:t>
      </w:r>
      <w:proofErr w:type="spellStart"/>
      <w:r>
        <w:rPr>
          <w:rFonts w:ascii="Times New Roman" w:hAnsi="Times New Roman" w:cs="Times New Roman"/>
        </w:rPr>
        <w:t>amniote</w:t>
      </w:r>
      <w:proofErr w:type="spellEnd"/>
      <w:r>
        <w:rPr>
          <w:rFonts w:ascii="Times New Roman" w:hAnsi="Times New Roman" w:cs="Times New Roman"/>
        </w:rPr>
        <w:t xml:space="preserve"> ancestor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"10.1038/nature13206", "ISSN" : "1476-4687", "PMID" : "24759411", "abstract" : "The human X and Y chromosomes evolved from an ordinary pair of autosomes, but millions of years ago genetic decay ravaged the Y chromosome, and only three per cent of its ancestral genes survived. We reconstructed the evolution of the Y chromosome across eight mammals to identify biases in gene content and the selective pressures that preserved the surviving ancestral genes. Our findings indicate that survival was nonrandom, and in two cases, convergent across placental and marsupial mammals. We conclude that the gene content of the Y chromosome became specialized through selection to maintain the ancestral dosage of homologous X-Y gene pairs that function as broadly expressed regulators of transcription, translation and protein stability. We propose that beyond its roles in testis determination and spermatogenesis, the Y chromosome is essential for male viability, and has unappreciated roles in Turner's syndrome and in phenotypic differences between the sexes in health and disease.", "author" : [ { "dropping-particle" : "", "family" : "Bellott", "given" : "Daniel W", "non-dropping-particle" : "", "parse-names" : false, "suffix" : "" }, { "dropping-particle" : "", "family" : "Hughes", "given" : "Jennifer F", "non-dropping-particle" : "", "parse-names" : false, "suffix" : "" }, { "dropping-particle" : "", "family" : "Skaletsky", "given" : "Helen", "non-dropping-particle" : "", "parse-names" : false, "suffix" : "" }, { "dropping-particle" : "", "family" : "Brown", "given" : "Laura G", "non-dropping-particle" : "", "parse-names" : false, "suffix" : "" }, { "dropping-particle" : "", "family" : "Pyntikova", "given" : "Tatyana", "non-dropping-particle" : "", "parse-names" : false, "suffix" : "" }, { "dropping-particle" : "", "family" : "Cho", "given" : "Ting-Jan", "non-dropping-particle" : "", "parse-names" : false, "suffix" : "" }, { "dropping-particle" : "", "family" : "Koutseva", "given" : "Natalia", "non-dropping-particle" : "", "parse-names" : false, "suffix" : "" }, { "dropping-particle" : "", "family" : "Zaghlul", "given" : "Sara", "non-dropping-particle" : "", "parse-names" : false, "suffix" : "" }, { "dropping-particle" : "", "family" : "Graves", "given" : "Tina", "non-dropping-particle" : "", "parse-names" : false, "suffix" : "" }, { "dropping-particle" : "", "family" : "Rock", "given" : "Susie", "non-dropping-particle" : "", "parse-names" : false, "suffix" : "" }, { "dropping-particle" : "", "family" : "Kremitzki", "given" : "Colin", "non-dropping-particle" : "", "parse-names" : false, "suffix" : "" }, { "dropping-particle" : "", "family" : "Fulton", "given" : "Robert S", "non-dropping-particle" : "", "parse-names" : false, "suffix" : "" }, { "dropping-particle" : "", "family" : "Dugan", "given" : "Shannon", "non-dropping-particle" : "", "parse-names" : false, "suffix" : "" }, { "dropping-particle" : "", "family" : "Ding", "given" : "Yan", "non-dropping-particle" : "", "parse-names" : false, "suffix" : "" }, { "dropping-particle" : "", "family" : "Morton", "given" : "Donna", "non-dropping-particle" : "", "parse-names" : false, "suffix" : "" }, { "dropping-particle" : "", "family" : "Khan", "given" : "Ziad", "non-dropping-particle" : "", "parse-names" : false, "suffix" : "" }, { "dropping-particle" : "", "family" : "Lewis", "given" : "Lora", "non-dropping-particle" : "", "parse-names" : false, "suffix" : "" }, { "dropping-particle" : "", "family" : "Buhay", "given" : "Christian", "non-dropping-particle" : "", "parse-names" : false, "suffix" : "" }, { "dropping-particle" : "", "family" : "Wang", "given" : "Qiaoyan", "non-dropping-particle" : "", "parse-names" : false, "suffix" : "" }, { "dropping-particle" : "", "family" : "Watt", "given" : "Jennifer", "non-dropping-particle" : "", "parse-names" : false, "suffix" : "" }, { "dropping-particle" : "", "family" : "Holder", "given" : "Michael", "non-dropping-particle" : "", "parse-names" : false, "suffix" : "" }, { "dropping-particle" : "", "family" : "Lee", "given" : "Sandy", "non-dropping-particle" : "", "parse-names" : false, "suffix" : "" }, { "dropping-particle" : "", "family" : "Nazareth", "given" : "Lynne", "non-dropping-particle" : "", "parse-names" : false, "suffix" : "" }, { "dropping-particle" : "", "family" : "Rozen", "given" : "Steve", "non-dropping-particle" : "", "parse-names" : false, "suffix" : "" }, { "dropping-particle" : "", "family" : "Muzny", "given" : "Donna M", "non-dropping-particle" : "", "parse-names" : false, "suffix" : "" }, { "dropping-particle" : "", "family" : "Warren", "given" : "Wesley C", "non-dropping-particle" : "", "parse-names" : false, "suffix" : "" }, { "dropping-particle" : "", "family" : "Gibbs", "given" : "Richard a", "non-dropping-particle" : "", "parse-names" : false, "suffix" : "" }, { "dropping-particle" : "", "family" : "Wilson", "given" : "Richard K", "non-dropping-particle" : "", "parse-names" : false, "suffix" : "" }, { "dropping-particle" : "", "family" : "Page", "given" : "David C", "non-dropping-particle" : "", "parse-names" : false, "suffix" : "" } ], "container-title" : "Nature", "id" : "ITEM-1", "issue" : "7497", "issued" : { "date-parts" : [ [ "2014", "4", "24" ] ] }, "page" : "494-499", "title" : "Mammalian Y chromosomes retain widely expressed dosage-sensitive regulators.", "type" : "article-journal", "volume" : "508" }, "uris" : [ "http://www.mendeley.com/documents/?uuid=516b8c35-00c1-4d22-aadf-e082c3663af1" ] } ], "mendeley" : { "formattedCitation" : "(Bellott et al., 2014)", "plainTextFormattedCitation" : "(Bellott et al., 2014)", "previouslyFormattedCitation" : "(Bellott et al., 2014)"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(Bellott et al., 2014)</w:t>
      </w:r>
      <w:r>
        <w:rPr>
          <w:rFonts w:ascii="Times New Roman" w:hAnsi="Times New Roman" w:cs="Times New Roman"/>
        </w:rPr>
        <w:fldChar w:fldCharType="end"/>
      </w:r>
      <w:r>
        <w:rPr>
          <w:rFonts w:ascii="Times New Roman" w:hAnsi="Times New Roman" w:cs="Times New Roman"/>
        </w:rPr>
        <w:t xml:space="preserve">. We then excluded genes in the human </w:t>
      </w:r>
      <w:proofErr w:type="spellStart"/>
      <w:r>
        <w:rPr>
          <w:rFonts w:ascii="Times New Roman" w:hAnsi="Times New Roman" w:cs="Times New Roman"/>
        </w:rPr>
        <w:t>pseudoautosomal</w:t>
      </w:r>
      <w:proofErr w:type="spellEnd"/>
      <w:r>
        <w:rPr>
          <w:rFonts w:ascii="Times New Roman" w:hAnsi="Times New Roman" w:cs="Times New Roman"/>
        </w:rPr>
        <w:t xml:space="preserve"> (PAR) regions since these genes have not been exposed to the same evolutionary forces as genes in regions where X-Y recombination has been suppressed. Of the remaining </w:t>
      </w:r>
      <w:proofErr w:type="gramStart"/>
      <w:r>
        <w:rPr>
          <w:rFonts w:ascii="Times New Roman" w:hAnsi="Times New Roman" w:cs="Times New Roman"/>
        </w:rPr>
        <w:t>ancestral</w:t>
      </w:r>
      <w:proofErr w:type="gramEnd"/>
      <w:r>
        <w:rPr>
          <w:rFonts w:ascii="Times New Roman" w:hAnsi="Times New Roman" w:cs="Times New Roman"/>
        </w:rPr>
        <w:t xml:space="preserve"> X genes, we classified the 15 genes with human Y-linked homologs as X-Y pairs. We also analyzed the larger set of 32 X-Y pairs across eight mammals (human, chimpanzee, rhesus macaque, marmoset, mouse, rat, bull,</w:t>
      </w:r>
      <w:r w:rsidR="008A348B">
        <w:rPr>
          <w:rFonts w:ascii="Times New Roman" w:hAnsi="Times New Roman" w:cs="Times New Roman"/>
        </w:rPr>
        <w:t xml:space="preserve"> and opossum) with sequenced Y C</w:t>
      </w:r>
      <w:r>
        <w:rPr>
          <w:rFonts w:ascii="Times New Roman" w:hAnsi="Times New Roman" w:cs="Times New Roman"/>
        </w:rPr>
        <w:t xml:space="preserve">hromosomes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"10.1038/nature13206", "ISSN" : "1476-4687", "PMID" : "24759411", "abstract" : "The human X and Y chromosomes evolved from an ordinary pair of autosomes, but millions of years ago genetic decay ravaged the Y chromosome, and only three per cent of its ancestral genes survived. We reconstructed the evolution of the Y chromosome across eight mammals to identify biases in gene content and the selective pressures that preserved the surviving ancestral genes. Our findings indicate that survival was nonrandom, and in two cases, convergent across placental and marsupial mammals. We conclude that the gene content of the Y chromosome became specialized through selection to maintain the ancestral dosage of homologous X-Y gene pairs that function as broadly expressed regulators of transcription, translation and protein stability. We propose that beyond its roles in testis determination and spermatogenesis, the Y chromosome is essential for male viability, and has unappreciated roles in Turner's syndrome and in phenotypic differences between the sexes in health and disease.", "author" : [ { "dropping-particle" : "", "family" : "Bellott", "given" : "Daniel W", "non-dropping-particle" : "", "parse-names" : false, "suffix" : "" }, { "dropping-particle" : "", "family" : "Hughes", "given" : "Jennifer F", "non-dropping-particle" : "", "parse-names" : false, "suffix" : "" }, { "dropping-particle" : "", "family" : "Skaletsky", "given" : "Helen", "non-dropping-particle" : "", "parse-names" : false, "suffix" : "" }, { "dropping-particle" : "", "family" : "Brown", "given" : "Laura G", "non-dropping-particle" : "", "parse-names" : false, "suffix" : "" }, { "dropping-particle" : "", "family" : "Pyntikova", "given" : "Tatyana", "non-dropping-particle" : "", "parse-names" : false, "suffix" : "" }, { "dropping-particle" : "", "family" : "Cho", "given" : "Ting-Jan", "non-dropping-particle" : "", "parse-names" : false, "suffix" : "" }, { "dropping-particle" : "", "family" : "Koutseva", "given" : "Natalia", "non-dropping-particle" : "", "parse-names" : false, "suffix" : "" }, { "dropping-particle" : "", "family" : "Zaghlul", "given" : "Sara", "non-dropping-particle" : "", "parse-names" : false, "suffix" : "" }, { "dropping-particle" : "", "family" : "Graves", "given" : "Tina", "non-dropping-particle" : "", "parse-names" : false, "suffix" : "" }, { "dropping-particle" : "", "family" : "Rock", "given" : "Susie", "non-dropping-particle" : "", "parse-names" : false, "suffix" : "" }, { "dropping-particle" : "", "family" : "Kremitzki", "given" : "Colin", "non-dropping-particle" : "", "parse-names" : false, "suffix" : "" }, { "dropping-particle" : "", "family" : "Fulton", "given" : "Robert S", "non-dropping-particle" : "", "parse-names" : false, "suffix" : "" }, { "dropping-particle" : "", "family" : "Dugan", "given" : "Shannon", "non-dropping-particle" : "", "parse-names" : false, "suffix" : "" }, { "dropping-particle" : "", "family" : "Ding", "given" : "Yan", "non-dropping-particle" : "", "parse-names" : false, "suffix" : "" }, { "dropping-particle" : "", "family" : "Morton", "given" : "Donna", "non-dropping-particle" : "", "parse-names" : false, "suffix" : "" }, { "dropping-particle" : "", "family" : "Khan", "given" : "Ziad", "non-dropping-particle" : "", "parse-names" : false, "suffix" : "" }, { "dropping-particle" : "", "family" : "Lewis", "given" : "Lora", "non-dropping-particle" : "", "parse-names" : false, "suffix" : "" }, { "dropping-particle" : "", "family" : "Buhay", "given" : "Christian", "non-dropping-particle" : "", "parse-names" : false, "suffix" : "" }, { "dropping-particle" : "", "family" : "Wang", "given" : "Qiaoyan", "non-dropping-particle" : "", "parse-names" : false, "suffix" : "" }, { "dropping-particle" : "", "family" : "Watt", "given" : "Jennifer", "non-dropping-particle" : "", "parse-names" : false, "suffix" : "" }, { "dropping-particle" : "", "family" : "Holder", "given" : "Michael", "non-dropping-particle" : "", "parse-names" : false, "suffix" : "" }, { "dropping-particle" : "", "family" : "Lee", "given" : "Sandy", "non-dropping-particle" : "", "parse-names" : false, "suffix" : "" }, { "dropping-particle" : "", "family" : "Nazareth", "given" : "Lynne", "non-dropping-particle" : "", "parse-names" : false, "suffix" : "" }, { "dropping-particle" : "", "family" : "Rozen", "given" : "Steve", "non-dropping-particle" : "", "parse-names" : false, "suffix" : "" }, { "dropping-particle" : "", "family" : "Muzny", "given" : "Donna M", "non-dropping-particle" : "", "parse-names" : false, "suffix" : "" }, { "dropping-particle" : "", "family" : "Warren", "given" : "Wesley C", "non-dropping-particle" : "", "parse-names" : false, "suffix" : "" }, { "dropping-particle" : "", "family" : "Gibbs", "given" : "Richard a", "non-dropping-particle" : "", "parse-names" : false, "suffix" : "" }, { "dropping-particle" : "", "family" : "Wilson", "given" : "Richard K", "non-dropping-particle" : "", "parse-names" : false, "suffix" : "" }, { "dropping-particle" : "", "family" : "Page", "given" : "David C", "non-dropping-particle" : "", "parse-names" : false, "suffix" : "" } ], "container-title" : "Nature", "id" : "ITEM-1", "issue" : "7497", "issued" : { "date-parts" : [ [ "2014", "4", "24" ] ] }, "page" : "494-499", "title" : "Mammalian Y chromosomes retain widely expressed dosage-sensitive regulators.", "type" : "article-journal", "volume" : "508" }, "uris" : [ "http://www.mendeley.com/documents/?uuid=516b8c35-00c1-4d22-aadf-e082c3663af1" ] } ], "mendeley" : { "formattedCitation" : "(Bellott et al., 2014)", "plainTextFormattedCitation" : "(Bellott et al., 2014)", "previouslyFormattedCitation" : "(Bellott et al., 2014)"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(Bellott et al., 2014)</w:t>
      </w:r>
      <w:r>
        <w:rPr>
          <w:rFonts w:ascii="Times New Roman" w:hAnsi="Times New Roman" w:cs="Times New Roman"/>
        </w:rPr>
        <w:fldChar w:fldCharType="end"/>
      </w:r>
      <w:r>
        <w:rPr>
          <w:rFonts w:ascii="Times New Roman" w:hAnsi="Times New Roman" w:cs="Times New Roman"/>
        </w:rPr>
        <w:t>.</w:t>
      </w:r>
    </w:p>
    <w:p w14:paraId="01CB3837" w14:textId="47CF5747" w:rsidR="00D563D1" w:rsidRDefault="00D563D1" w:rsidP="00D563D1">
      <w:pPr>
        <w:spacing w:line="480" w:lineRule="auto"/>
        <w:rPr>
          <w:rFonts w:ascii="Times New Roman" w:hAnsi="Times New Roman" w:cs="Times New Roman"/>
        </w:rPr>
      </w:pPr>
      <w:r>
        <w:rPr>
          <w:rFonts w:ascii="Times New Roman" w:hAnsi="Times New Roman" w:cs="Times New Roman"/>
        </w:rPr>
        <w:lastRenderedPageBreak/>
        <w:t xml:space="preserve">To classify ancestral X-linked genes without Y homologs as subject to or escaping XCI in humans, we used a collection of consensus XCI calls which aggregate the results of three studies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"10.1038/nature03479", "ISBN" : "1476-4687 (Electronic)\\r0028-0836 (Linking)", "ISSN" : "0028-0836", "PMID" : "15772666", "abstract" : "In female mammals, most genes on one X chromosome are silenced as a result of X-chromosome inactivation. However, some genes escape X-inactivation and are expressed from both the active and inactive X chromosome. Such genes are potential contributors to sexually dimorphic traits, to phenotypic variability among females heterozygous for X-linked conditions, and to clinical abnormalities in patients with abnormal X chromosomes. Here, we present a comprehensive X-inactivation profile of the human X chromosome, representing an estimated 95% of assayable genes in fibroblast-based test systems. In total, about 15% of X-linked genes escape inactivation to some degree, and the proportion of genes escaping inactivation differs dramatically between different regions of the X chromosome, reflecting the evolutionary history of the sex chromosomes. An additional 10% of X-linked genes show variable patterns of inactivation and are expressed to different extents from some inactive X chromosomes. This suggests a remarkable and previously unsuspected degree of expression heterogeneity among females.", "author" : [ { "dropping-particle" : "", "family" : "Carrel", "given" : "Laura", "non-dropping-particle" : "", "parse-names" : false, "suffix" : "" }, { "dropping-particle" : "", "family" : "Willard", "given" : "Huntington F", "non-dropping-particle" : "", "parse-names" : false, "suffix" : "" } ], "container-title" : "Nature", "id" : "ITEM-1", "issue" : "March", "issued" : { "date-parts" : [ [ "2005" ] ] }, "page" : "400-404", "title" : "X-inactivation profile reveals extensive variability in X-linked gene expression in females.", "type" : "article-journal", "volume" : "434" }, "uris" : [ "http://www.mendeley.com/documents/?uuid=3bcbc29c-063f-426b-a1ac-7adbea474fb0" ] }, { "id" : "ITEM-2", "itemData" : { "DOI" : "10.1186/gb-2013-14-11-r122", "ISBN" : "1465-6914 (Electronic)\\r1465-6906 (Linking)", "ISSN" : "1465-6914", "PMID" : "24176135", "abstract" : "BACKGROUND: X-chromosome inactivation (XCI) results in the silencing of most genes on one X chromosome, yielding mono-allelic expression in individual cells. However, random XCI results in expression of both alleles in most females. Allelic imbalances have been used genome-wide to detect mono-allelically expressed genes. Analysis of X-linked allelic imbalance in females with skewed XCI offers the opportunity to identify genes that escape XCI with bi-allelic expression in contrast to those with mono-allelic expression and which are therefore subject to XCI.\\n\\nRESULTS: We determine XCI status for 409 genes, all of which have at least five informative females in our dataset. The majority of genes are subject to XCI and genes that escape from XCI show a continuum of expression from the inactive X. Inactive X expression corresponds to differences in the level of histone modification detected by allelic imbalance after chromatin immunoprecipitation. Differences in XCI between populations and between cell lines derived from different tissues are observed.\\n\\nCONCLUSIONS: We demonstrate that allelic imbalance can be used to determine an inactivation status for X-linked genes, even without completely non-random XCI. There is a range of expression from the inactive X. Genes escaping XCI, including those that do so in only a subset of females, cluster together, demonstrating that XCI and location on the X chromosome are related. In addition to revealing mechanisms involved in cis-gene regulation, determining which genes escape XCI can expand our understanding of the contributions of X-linked genes to sexual dimorphism.", "author" : [ { "dropping-particle" : "", "family" : "Cotton", "given" : "Allison M", "non-dropping-particle" : "", "parse-names" : false, "suffix" : "" }, { "dropping-particle" : "", "family" : "Ge", "given" : "Bing", "non-dropping-particle" : "", "parse-names" : false, "suffix" : "" }, { "dropping-particle" : "", "family" : "Light", "given" : "Nicholas", "non-dropping-particle" : "", "parse-names" : false, "suffix" : "" }, { "dropping-particle" : "", "family" : "Adoue", "given" : "Veronique", "non-dropping-particle" : "", "parse-names" : false, "suffix" : "" }, { "dropping-particle" : "", "family" : "Pastinen", "given" : "Tomi", "non-dropping-particle" : "", "parse-names" : false, "suffix" : "" }, { "dropping-particle" : "", "family" : "Brown", "given" : "Carolyn J", "non-dropping-particle" : "", "parse-names" : false, "suffix" : "" } ], "container-title" : "Genome biology", "id" : "ITEM-2", "issue" : "11", "issued" : { "date-parts" : [ [ "2013" ] ] }, "page" : "R122", "title" : "Analysis of expressed SNPs identifies variable extents of expression from the human inactive X chromosome.", "type" : "article-journal", "volume" : "14" }, "uris" : [ "http://www.mendeley.com/documents/?uuid=bbdf24f0-0535-4b66-a840-3012202ad97b" ] }, { "id" : "ITEM-3", "itemData" : { "DOI" : "10.1093/hmg/ddu564", "ISBN" : "0000007501", "ISSN" : "14602083", "PMID" : "25381334", "abstract" : "X-chromosome inactivation (XCI) achieves dosage compensation between males and females through the silencing of the majority of genes on one of the female X chromosomes. Thus, the female X chromosomes provide a unique opportunity to study euchromatin and heterochromatin of allelic regions within the same nuclear environment. We examined the interplay of DNA methylation (DNAm) with CpG density, transcriptional activity and chromatin state at genes on the X chromosome using over 1800 female samples analysed with the Illumina Infinium Human Methylation450 BeadChip. DNAm was used to predict an inactivation status for 63 novel transcription start sites (TSSs) across 27 tissues. There was high concordance of inactivation status across tissues, with 62% of TSSs subject to XCI in all 27 tissues examined, whereas 9% escaped from XCI in all tissues, and the remainder showed variable escape from XCI between females in subsets of tissues. Inter-female and twin data supported a model of predominately cis-acting influences on inactivation status. The level of expression from the inactive X relative to the active X correlated with the amount of female promoter DNAm to a threshold of \u223c30%, beyond which genes were consistently subject to inactivation. The inactive X showed lower DNAm than the active X at intragenic and intergenic regions for genes subject to XCI, but not at genes that escape from inactivation. Our categorization of genes that escape from X inactivation provides candidates for sex-specific differences in disease.", "author" : [ { "dropping-particle" : "", "family" : "Cotton", "given" : "Allison M.", "non-dropping-particle" : "", "parse-names" : false, "suffix" : "" }, { "dropping-particle" : "", "family" : "Price", "given" : "E. Magda", "non-dropping-particle" : "", "parse-names" : false, "suffix" : "" }, { "dropping-particle" : "", "family" : "Jones", "given" : "Meaghan J.", "non-dropping-particle" : "", "parse-names" : false, "suffix" : "" }, { "dropping-particle" : "", "family" : "Balaton", "given" : "Bradley P.", "non-dropping-particle" : "", "parse-names" : false, "suffix" : "" }, { "dropping-particle" : "", "family" : "Kobor", "given" : "Michael S.", "non-dropping-particle" : "", "parse-names" : false, "suffix" : "" }, { "dropping-particle" : "", "family" : "Brown", "given" : "Carolyn J.", "non-dropping-particle" : "", "parse-names" : false, "suffix" : "" } ], "container-title" : "Human Molecular Genetics", "id" : "ITEM-3", "issue" : "6", "issued" : { "date-parts" : [ [ "2015" ] ] }, "page" : "1528-1539", "title" : "Landscape of DNA methylation on the X chromosome reflects CpG density, functional chromatin state and X-chromosome inactivation", "type" : "article-journal", "volume" : "24" }, "uris" : [ "http://www.mendeley.com/documents/?uuid=a9ec3b18-0507-4153-b044-a46c94558517" ] } ], "mendeley" : { "formattedCitation" : "(Carrel &amp; Willard, 2005; Cotton et al., 2013, 2015)", "plainTextFormattedCitation" : "(Carrel &amp; Willard, 2005; Cotton et al., 2013, 2015)", "previouslyFormattedCitation" : "(Carrel &amp; Willard, 2005; Cotton et al., 2013, 2015)" }, "properties" : { "noteIndex" : 0 }, "schema" : "https://github.com/citation-style-language/schema/raw/master/csl-citation.json" }</w:instrText>
      </w:r>
      <w:r>
        <w:rPr>
          <w:rFonts w:ascii="Times New Roman" w:hAnsi="Times New Roman" w:cs="Times New Roman"/>
        </w:rPr>
        <w:fldChar w:fldCharType="separate"/>
      </w:r>
      <w:r w:rsidRPr="005808CE">
        <w:rPr>
          <w:rFonts w:ascii="Times New Roman" w:hAnsi="Times New Roman" w:cs="Times New Roman"/>
          <w:noProof/>
        </w:rPr>
        <w:t>(Carrel &amp; Willard, 2005; Cotton et al., 2013, 2015)</w:t>
      </w:r>
      <w:r>
        <w:rPr>
          <w:rFonts w:ascii="Times New Roman" w:hAnsi="Times New Roman" w:cs="Times New Roman"/>
        </w:rPr>
        <w:fldChar w:fldCharType="end"/>
      </w:r>
      <w:r>
        <w:rPr>
          <w:rFonts w:ascii="Times New Roman" w:hAnsi="Times New Roman" w:cs="Times New Roman"/>
        </w:rPr>
        <w:t xml:space="preserve"> assaying XCI escape </w:t>
      </w:r>
      <w:r>
        <w:rPr>
          <w:rFonts w:ascii="Times New Roman" w:hAnsi="Times New Roman" w:cs="Times New Roman"/>
        </w:rPr>
        <w:fldChar w:fldCharType="begin" w:fldLock="1"/>
      </w:r>
      <w:r w:rsidR="00115DA0">
        <w:rPr>
          <w:rFonts w:ascii="Times New Roman" w:hAnsi="Times New Roman" w:cs="Times New Roman"/>
        </w:rPr>
        <w:instrText>ADDIN CSL_CITATION { "citationItems" : [ { "id" : "ITEM-1", "itemData" : { "DOI" : "10.1186/s13293-015-0053-7", "ISSN" : "2042-6410", "author" : [ { "dropping-particle" : "", "family" : "Balaton", "given" : "Bradley P.", "non-dropping-particle" : "", "parse-names" : false, "suffix" : "" }, { "dropping-particle" : "", "family" : "Cotton", "given" : "Allison M.", "non-dropping-particle" : "", "parse-names" : false, "suffix" : "" }, { "dropping-particle" : "", "family" : "Brown", "given" : "Carolyn J.", "non-dropping-particle" : "", "parse-names" : false, "suffix" : "" } ], "container-title" : "Biology of Sex Differences", "id" : "ITEM-1", "issued" : { "date-parts" : [ [ "2015" ] ] }, "page" : "35", "publisher" : "Biology of Sex Differences", "title" : "Derivation of consensus inactivation status for X-linked genes from genome-wide studies", "type" : "article-journal", "volume" : "6" }, "uris" : [ "http://www.mendeley.com/documents/?uuid=213b8e89-40e7-4b3d-af73-33c92843936d" ] } ], "mendeley" : { "formattedCitation" : "(Balaton, Cotton, &amp; Brown, 2015)", "plainTextFormattedCitation" : "(Balaton, Cotton, &amp; Brown, 2015)", "previouslyFormattedCitation" : "(Balaton, Cotton, &amp; Brown, 2015)" }, "properties" : { "noteIndex" : 0 }, "schema" : "https://github.com/citation-style-language/schema/raw/master/csl-citation.json" }</w:instrText>
      </w:r>
      <w:r>
        <w:rPr>
          <w:rFonts w:ascii="Times New Roman" w:hAnsi="Times New Roman" w:cs="Times New Roman"/>
        </w:rPr>
        <w:fldChar w:fldCharType="separate"/>
      </w:r>
      <w:r w:rsidR="00115DA0" w:rsidRPr="00115DA0">
        <w:rPr>
          <w:rFonts w:ascii="Times New Roman" w:hAnsi="Times New Roman" w:cs="Times New Roman"/>
          <w:noProof/>
        </w:rPr>
        <w:t>(Balaton, Cotton, &amp; Brown, 2015)</w:t>
      </w:r>
      <w:r>
        <w:rPr>
          <w:rFonts w:ascii="Times New Roman" w:hAnsi="Times New Roman" w:cs="Times New Roman"/>
        </w:rPr>
        <w:fldChar w:fldCharType="end"/>
      </w:r>
      <w:r>
        <w:rPr>
          <w:rFonts w:ascii="Times New Roman" w:hAnsi="Times New Roman" w:cs="Times New Roman"/>
        </w:rPr>
        <w:t xml:space="preserve">. Out of 472 ancestral X genes without a human Y homolog assigned an XCI status by Balaton et al.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"10.1186/s13293-015-0053-7", "ISSN" : "2042-6410", "author" : [ { "dropping-particle" : "", "family" : "Balaton", "given" : "Bradley P.", "non-dropping-particle" : "", "parse-names" : false, "suffix" : "" }, { "dropping-particle" : "", "family" : "Cotton", "given" : "Allison M.", "non-dropping-particle" : "", "parse-names" : false, "suffix" : "" }, { "dropping-particle" : "", "family" : "Brown", "given" : "Carolyn J.", "non-dropping-particle" : "", "parse-names" : false, "suffix" : "" } ], "container-title" : "Biology of Sex Differences", "id" : "ITEM-1", "issued" : { "date-parts" : [ [ "2015" ] ] }, "page" : "35", "publisher" : "Biology of Sex Differences", "title" : "Derivation of consensus inactivation status for X-linked genes from genome-wide studies", "type" : "article-journal", "volume" : "6" }, "uris" : [ "http://www.mendeley.com/documents/?uuid=213b8e89-40e7-4b3d-af73-33c92843936d" ] } ], "mendeley" : { "formattedCitation" : "(Balaton et al., 2015)", "plainTextFormattedCitation" : "(Balaton et al., 2015)", "previouslyFormattedCitation" : "(Balaton et al., 2015)"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(Balaton et al., 2015)</w:t>
      </w:r>
      <w:r>
        <w:rPr>
          <w:rFonts w:ascii="Times New Roman" w:hAnsi="Times New Roman" w:cs="Times New Roman"/>
        </w:rPr>
        <w:fldChar w:fldCharType="end"/>
      </w:r>
      <w:r>
        <w:rPr>
          <w:rFonts w:ascii="Times New Roman" w:hAnsi="Times New Roman" w:cs="Times New Roman"/>
        </w:rPr>
        <w:t>, 329 were subject to XCI (“Subject” or “Mostly subject” in Balaton et al.), 26 displayed variable escape (“Variable escape” or “Mostly variable escape”) from XCI, and 30 showed consistent escape (“Escape” or “Mostly escape”). We excluded 40 ancestral X genes with a “Discordant” XCI status as assigned by Balaton et al. In the main text, we present results obtained after combining both variable and consistent escape calls from Balaton et al. into one class, yielding the following counts: 15 X-Y pairs, 329 ancestral X genes subject to XCI, and 56 ancestral X genes with evidence of escape from XCI. We also performed analyses considering escape and variable escape genes separately.</w:t>
      </w:r>
    </w:p>
    <w:p w14:paraId="02D0FD88" w14:textId="77777777" w:rsidR="00D563D1" w:rsidRDefault="00D563D1" w:rsidP="00D563D1">
      <w:pPr>
        <w:spacing w:line="480" w:lineRule="auto"/>
        <w:rPr>
          <w:rFonts w:ascii="Times New Roman" w:hAnsi="Times New Roman" w:cs="Times New Roman"/>
        </w:rPr>
      </w:pPr>
    </w:p>
    <w:p w14:paraId="61EC4EFE" w14:textId="77777777" w:rsidR="00D563D1" w:rsidRPr="00D43D8C" w:rsidRDefault="00D563D1" w:rsidP="00D563D1">
      <w:pPr>
        <w:spacing w:line="480" w:lineRule="auto"/>
        <w:outlineLvl w:val="0"/>
        <w:rPr>
          <w:rFonts w:ascii="Times New Roman" w:hAnsi="Times New Roman" w:cs="Times New Roman"/>
          <w:b/>
        </w:rPr>
      </w:pPr>
      <w:r>
        <w:rPr>
          <w:rFonts w:ascii="Times New Roman" w:hAnsi="Times New Roman" w:cs="Times New Roman"/>
          <w:b/>
        </w:rPr>
        <w:t>Z-linked gene sets</w:t>
      </w:r>
    </w:p>
    <w:p w14:paraId="11A94A4B" w14:textId="08385B68" w:rsidR="00D563D1" w:rsidRDefault="00D563D1" w:rsidP="00D563D1">
      <w:pPr>
        <w:spacing w:line="480" w:lineRule="auto"/>
        <w:rPr>
          <w:rFonts w:ascii="Times New Roman" w:hAnsi="Times New Roman" w:cs="Times New Roman"/>
        </w:rPr>
      </w:pPr>
      <w:r>
        <w:rPr>
          <w:rFonts w:ascii="Times New Roman" w:hAnsi="Times New Roman" w:cs="Times New Roman"/>
        </w:rPr>
        <w:t xml:space="preserve">We previously refined the ancestral gene content of the avian sex chromosomes to 685 Z-linked genes with human </w:t>
      </w:r>
      <w:proofErr w:type="spellStart"/>
      <w:r>
        <w:rPr>
          <w:rFonts w:ascii="Times New Roman" w:hAnsi="Times New Roman" w:cs="Times New Roman"/>
        </w:rPr>
        <w:t>orthologs</w:t>
      </w:r>
      <w:proofErr w:type="spellEnd"/>
      <w:r>
        <w:rPr>
          <w:rFonts w:ascii="Times New Roman" w:hAnsi="Times New Roman" w:cs="Times New Roman"/>
        </w:rPr>
        <w:t xml:space="preserve"> </w:t>
      </w:r>
      <w:r w:rsidR="008A348B">
        <w:rPr>
          <w:rFonts w:ascii="Times New Roman" w:hAnsi="Times New Roman" w:cs="Times New Roman"/>
        </w:rPr>
        <w:t>by sequencing of the chicken Z C</w:t>
      </w:r>
      <w:r>
        <w:rPr>
          <w:rFonts w:ascii="Times New Roman" w:hAnsi="Times New Roman" w:cs="Times New Roman"/>
        </w:rPr>
        <w:t xml:space="preserve">hromosome and analysis of 13 other avian species with published female genomes </w:t>
      </w:r>
      <w:r>
        <w:rPr>
          <w:rFonts w:ascii="Times New Roman" w:hAnsi="Times New Roman" w:cs="Times New Roman"/>
        </w:rPr>
        <w:fldChar w:fldCharType="begin" w:fldLock="1"/>
      </w:r>
      <w:r w:rsidR="00115DA0">
        <w:rPr>
          <w:rFonts w:ascii="Times New Roman" w:hAnsi="Times New Roman" w:cs="Times New Roman"/>
        </w:rPr>
        <w:instrText>ADDIN CSL_CITATION { "citationItems" : [ { "id" : "ITEM-1", "itemData" : { "author" : [ { "dropping-particle" : "", "family" : "Bellott", "given" : "Daniel W", "non-dropping-particle" : "", "parse-names" : false, "suffix" : "" }, { "dropping-particle" : "", "family" : "Skaletsky", "given" : "Helen", "non-dropping-particle" : "", "parse-names" : false, "suffix" : "" }, { "dropping-particle" : "", "family" : "Cho", "given" : "Ting-Jan", "non-dropping-particle" : "", "parse-names" : false, "suffix" : "" }, { "dropping-particle" : "", "family" : "Brown", "given" : "Laura", "non-dropping-particle" : "", "parse-names" : false, "suffix" : "" }, { "dropping-particle" : "", "family" : "Locke", "given" : "Devin", "non-dropping-particle" : "", "parse-names" : false, "suffix" : "" }, { "dropping-particle" : "", "family" : "Chen", "given" : "Nancy", "non-dropping-particle" : "", "parse-names" : false, "suffix" : "" }, { "dropping-particle" : "", "family" : "Galkina", "given" : "Svetlana", "non-dropping-particle" : "", "parse-names" : false, "suffix" : "" }, { "dropping-particle" : "", "family" : "Pyntikova", "given" : "Tatyana", "non-dropping-particle" : "", "parse-names" : false, "suffix" : "" }, { "dropping-particle" : "", "family" : "Koutseva", "given" : "Natalia", "non-dropping-particle" : "", "parse-names" : false, "suffix" : "" }, { "dropping-particle" : "", "family" : "Graves", "given" : "Tina", "non-dropping-particle" : "", "parse-names" : false, "suffix" : "" }, { "dropping-particle" : "", "family" : "Kremitzki", "given" : "Colin", "non-dropping-particle" : "", "parse-names" : false, "suffix" : "" }, { "dropping-particle" : "", "family" : "Warren", "given" : "Wesley C", "non-dropping-particle" : "", "parse-names" : false, "suffix" : "" }, { "dropping-particle" : "", "family" : "Clark", "given" : "Andrew G.", "non-dropping-particle" : "", "parse-names" : false, "suffix" : "" }, { "dropping-particle" : "", "family" : "Gaginskaya", "given" : "Elena", "non-dropping-particle" : "", "parse-names" : false, "suffix" : "" }, { "dropping-particle" : "", "family" : "Wilson", "given" : "Richard K", "non-dropping-particle" : "", "parse-names" : false, "suffix" : "" }, { "dropping-particle" : "", "family" : "Page", "given" : "David C", "non-dropping-particle" : "", "parse-names" : false, "suffix" : "" } ], "container-title" : "Nature genetics", "id" : "ITEM-1", "issued" : { "date-parts" : [ [ "2017" ] ] }, "title" : "Avian W and mammalian Y chromosomes convergently retained dosage-sensitive regulators", "type" : "article-journal", "volume" : "in press" }, "uris" : [ "http://www.mendeley.com/documents/?uuid=c90e5bf4-01ca-4322-9631-30c97bf00004" ] } ], "mendeley" : { "formattedCitation" : "(Bellott et al., 2017)", "plainTextFormattedCitation" : "(Bellott et al., 2017)", "previouslyFormattedCitation" : "(Bellott et al., 2017)" }, "properties" : { "noteIndex" : 0 }, "schema" : "https://github.com/citation-style-language/schema/raw/master/csl-citation.json" }</w:instrText>
      </w:r>
      <w:r>
        <w:rPr>
          <w:rFonts w:ascii="Times New Roman" w:hAnsi="Times New Roman" w:cs="Times New Roman"/>
        </w:rPr>
        <w:fldChar w:fldCharType="separate"/>
      </w:r>
      <w:r w:rsidR="00115DA0" w:rsidRPr="00115DA0">
        <w:rPr>
          <w:rFonts w:ascii="Times New Roman" w:hAnsi="Times New Roman" w:cs="Times New Roman"/>
          <w:noProof/>
        </w:rPr>
        <w:t>(Bellott et al., 2017)</w:t>
      </w:r>
      <w:r>
        <w:rPr>
          <w:rFonts w:ascii="Times New Roman" w:hAnsi="Times New Roman" w:cs="Times New Roman"/>
        </w:rPr>
        <w:fldChar w:fldCharType="end"/>
      </w:r>
      <w:r>
        <w:rPr>
          <w:rFonts w:ascii="Times New Roman" w:hAnsi="Times New Roman" w:cs="Times New Roman"/>
        </w:rPr>
        <w:t>. Of these 685 ancestral Z genes, 28 retained a homolog on</w:t>
      </w:r>
      <w:r w:rsidR="008A348B">
        <w:rPr>
          <w:rFonts w:ascii="Times New Roman" w:hAnsi="Times New Roman" w:cs="Times New Roman"/>
        </w:rPr>
        <w:t xml:space="preserve"> the fully sequenced chicken W C</w:t>
      </w:r>
      <w:r>
        <w:rPr>
          <w:rFonts w:ascii="Times New Roman" w:hAnsi="Times New Roman" w:cs="Times New Roman"/>
        </w:rPr>
        <w:t xml:space="preserve">hromosome. Including three additional avian species in which candidate W-linked genes were ascertained by directly comparing male and female genome </w:t>
      </w:r>
      <w:proofErr w:type="gramStart"/>
      <w:r>
        <w:rPr>
          <w:rFonts w:ascii="Times New Roman" w:hAnsi="Times New Roman" w:cs="Times New Roman"/>
        </w:rPr>
        <w:t>assemblies</w:t>
      </w:r>
      <w:proofErr w:type="gramEnd"/>
      <w:r>
        <w:rPr>
          <w:rFonts w:ascii="Times New Roman" w:hAnsi="Times New Roman" w:cs="Times New Roman"/>
        </w:rPr>
        <w:t xml:space="preserve"> results in a total of 78 W-linked genes. Including another 10 avian species in which W-linkage was inferred by read depth changes in a female genome results in a total of 157 W-linked genes.</w:t>
      </w:r>
    </w:p>
    <w:p w14:paraId="66302E21" w14:textId="77777777" w:rsidR="00435AB8" w:rsidRDefault="00435AB8" w:rsidP="00D563D1">
      <w:pPr>
        <w:spacing w:line="480" w:lineRule="auto"/>
        <w:rPr>
          <w:rFonts w:ascii="Times New Roman" w:hAnsi="Times New Roman" w:cs="Times New Roman"/>
        </w:rPr>
      </w:pPr>
    </w:p>
    <w:p w14:paraId="571F9956" w14:textId="77777777" w:rsidR="00435AB8" w:rsidRPr="00295085" w:rsidRDefault="00435AB8" w:rsidP="00435AB8">
      <w:pPr>
        <w:spacing w:line="480" w:lineRule="auto"/>
        <w:rPr>
          <w:rFonts w:ascii="Times New Roman" w:hAnsi="Times New Roman" w:cs="Times New Roman"/>
        </w:rPr>
      </w:pPr>
      <w:proofErr w:type="gramStart"/>
      <w:r>
        <w:rPr>
          <w:rFonts w:ascii="Times New Roman" w:hAnsi="Times New Roman" w:cs="Times New Roman"/>
          <w:b/>
        </w:rPr>
        <w:t>microRNA</w:t>
      </w:r>
      <w:proofErr w:type="gramEnd"/>
      <w:r>
        <w:rPr>
          <w:rFonts w:ascii="Times New Roman" w:hAnsi="Times New Roman" w:cs="Times New Roman"/>
          <w:b/>
        </w:rPr>
        <w:t xml:space="preserve"> target site P</w:t>
      </w:r>
      <w:r w:rsidRPr="00295085">
        <w:rPr>
          <w:rFonts w:ascii="Times New Roman" w:hAnsi="Times New Roman" w:cs="Times New Roman"/>
          <w:b/>
          <w:vertAlign w:val="subscript"/>
        </w:rPr>
        <w:t>CT</w:t>
      </w:r>
      <w:r>
        <w:rPr>
          <w:rFonts w:ascii="Times New Roman" w:hAnsi="Times New Roman" w:cs="Times New Roman"/>
          <w:b/>
          <w:vertAlign w:val="subscript"/>
        </w:rPr>
        <w:t xml:space="preserve"> </w:t>
      </w:r>
      <w:r>
        <w:rPr>
          <w:rFonts w:ascii="Times New Roman" w:hAnsi="Times New Roman" w:cs="Times New Roman"/>
          <w:b/>
        </w:rPr>
        <w:t>scores</w:t>
      </w:r>
    </w:p>
    <w:p w14:paraId="5FF15438" w14:textId="0A3055DA" w:rsidR="00435AB8" w:rsidRDefault="00435AB8" w:rsidP="00435AB8">
      <w:pPr>
        <w:spacing w:line="480" w:lineRule="auto"/>
        <w:rPr>
          <w:rFonts w:ascii="Times New Roman" w:hAnsi="Times New Roman" w:cs="Times New Roman"/>
        </w:rPr>
      </w:pPr>
      <w:r>
        <w:rPr>
          <w:rFonts w:ascii="Times New Roman" w:hAnsi="Times New Roman" w:cs="Times New Roman"/>
        </w:rPr>
        <w:t>Pre-calculated P</w:t>
      </w:r>
      <w:r w:rsidRPr="006A4C94">
        <w:rPr>
          <w:rFonts w:ascii="Times New Roman" w:hAnsi="Times New Roman" w:cs="Times New Roman"/>
          <w:vertAlign w:val="subscript"/>
        </w:rPr>
        <w:t>CT</w:t>
      </w:r>
      <w:r>
        <w:rPr>
          <w:rFonts w:ascii="Times New Roman" w:hAnsi="Times New Roman" w:cs="Times New Roman"/>
        </w:rPr>
        <w:t xml:space="preserve"> scores for all gene-</w:t>
      </w:r>
      <w:proofErr w:type="spellStart"/>
      <w:r>
        <w:rPr>
          <w:rFonts w:ascii="Times New Roman" w:hAnsi="Times New Roman" w:cs="Times New Roman"/>
        </w:rPr>
        <w:t>miRNA</w:t>
      </w:r>
      <w:proofErr w:type="spellEnd"/>
      <w:r>
        <w:rPr>
          <w:rFonts w:ascii="Times New Roman" w:hAnsi="Times New Roman" w:cs="Times New Roman"/>
        </w:rPr>
        <w:t xml:space="preserve"> family interactions were obtained from </w:t>
      </w:r>
      <w:proofErr w:type="spellStart"/>
      <w:r>
        <w:rPr>
          <w:rFonts w:ascii="Times New Roman" w:hAnsi="Times New Roman" w:cs="Times New Roman"/>
        </w:rPr>
        <w:t>TargetScanHuman</w:t>
      </w:r>
      <w:proofErr w:type="spellEnd"/>
      <w:r>
        <w:rPr>
          <w:rFonts w:ascii="Times New Roman" w:hAnsi="Times New Roman" w:cs="Times New Roman"/>
        </w:rPr>
        <w:t xml:space="preserve"> v7.1 (RRID</w:t>
      </w:r>
      <w:proofErr w:type="gramStart"/>
      <w:r>
        <w:rPr>
          <w:rFonts w:ascii="Times New Roman" w:hAnsi="Times New Roman" w:cs="Times New Roman"/>
        </w:rPr>
        <w:t>:SCR</w:t>
      </w:r>
      <w:proofErr w:type="gramEnd"/>
      <w:r>
        <w:rPr>
          <w:rFonts w:ascii="Times New Roman" w:hAnsi="Times New Roman" w:cs="Times New Roman"/>
        </w:rPr>
        <w:t>_010845) (</w:t>
      </w:r>
      <w:hyperlink r:id="rId7" w:history="1">
        <w:r w:rsidRPr="008D1035">
          <w:rPr>
            <w:rStyle w:val="Hyperlink"/>
            <w:rFonts w:ascii="Times New Roman" w:hAnsi="Times New Roman" w:cs="Times New Roman"/>
          </w:rPr>
          <w:t>http://www.targetscan.org/vert_71/vert_71_data_download/Summary_Counts.all_predictions.txt.zip</w:t>
        </w:r>
      </w:hyperlink>
      <w:r w:rsidRPr="00CD17E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fldLock="1"/>
      </w:r>
      <w:r w:rsidR="00175200">
        <w:rPr>
          <w:rFonts w:ascii="Times New Roman" w:hAnsi="Times New Roman" w:cs="Times New Roman"/>
        </w:rPr>
        <w:instrText>ADDIN CSL_CITATION { "citationItems" : [ { "id" : "ITEM-1", "itemData" : { "DOI" : "10.1101/gr.082701.108", "ISSN" : "1088-9051", "PMID" : "18955434", "abstract" : "MicroRNAs (miRNAs) are small endogenous RNAs that pair to sites in mRNAs to direct post-transcriptional repression. Many sites that match the miRNA seed (nucleotides 2-7), particularly those in 3' untranslated regions (3'UTRs), are preferentially conserved. Here, we overhauled our tool for finding preferential conservation of sequence motifs and applied it to the analysis of human 3'UTRs, increasing by nearly threefold the detected number of preferentially conserved miRNA target sites. The new tool more efficiently incorporates new genomes and more completely controls for background conservation by accounting for mutational biases, dinucleotide conservation rates, and the conservation rates of individual UTRs. The improved background model enabled preferential conservation of a new site type, the \"offset 6mer,\" to be detected. In total, &gt;45,000 miRNA target sites within human 3'UTRs are conserved above background levels, and &gt;60% of human protein-coding genes have been under selective pressure to maintain pairing to miRNAs. Mammalian-specific miRNAs have far fewer conserved targets than do the more broadly conserved miRNAs, even when considering only more recently emerged targets. Although pairing to the 3' end of miRNAs can compensate for seed mismatches, this class of sites constitutes less than 2% of all preferentially conserved sites detected. The new tool enables statistically powerful analysis of individual miRNA target sites, with the probability of preferentially conserved targeting (P(CT)) correlating with experimental measurements of repression. Our expanded set of target predictions (including conserved 3'-compensatory sites), are available at the TargetScan website, which displays the P(CT) for each site and each predicted target.", "author" : [ { "dropping-particle" : "", "family" : "Friedman", "given" : "Robin C", "non-dropping-particle" : "", "parse-names" : false, "suffix" : "" }, { "dropping-particle" : "", "family" : "Farh", "given" : "Kyle Kai-How", "non-dropping-particle" : "", "parse-names" : false, "suffix" : "" }, { "dropping-particle" : "", "family" : "Burge", "given" : "Christopher B", "non-dropping-particle" : "", "parse-names" : false, "suffix" : "" }, { "dropping-particle" : "", "family" : "Bartel", "given" : "David P", "non-dropping-particle" : "", "parse-names" : false, "suffix" : "" } ], "container-title" : "Genome research", "id" : "ITEM-1", "issue" : "1", "issued" : { "date-parts" : [ [ "2009", "1" ] ] }, "page" : "92-105", "title" : "Most mammalian mRNAs are conserved targets of microRNAs.", "type" : "article-journal", "volume" : "19" }, "uris" : [ "http://www.mendeley.com/documents/?uuid=9265ffba-54e7-47b0-a354-6d15de6737b1" ] } ], "mendeley" : { "formattedCitation" : "(Friedman, Farh, Burge, &amp; Bartel, 2009)", "plainTextFormattedCitation" : "(Friedman, Farh, Burge, &amp; Bartel, 2009)", "previouslyFormattedCitation" : "(Friedman et al., 2009)" }, "properties" : { "noteIndex" : 0 }, "schema" : "https://github.com/citation-style-language/schema/raw/master/csl-citation.json" }</w:instrText>
      </w:r>
      <w:r>
        <w:rPr>
          <w:rFonts w:ascii="Times New Roman" w:hAnsi="Times New Roman" w:cs="Times New Roman"/>
        </w:rPr>
        <w:fldChar w:fldCharType="separate"/>
      </w:r>
      <w:r w:rsidR="00175200" w:rsidRPr="00175200">
        <w:rPr>
          <w:rFonts w:ascii="Times New Roman" w:hAnsi="Times New Roman" w:cs="Times New Roman"/>
          <w:noProof/>
        </w:rPr>
        <w:t>(Friedman, Farh, Burge, &amp; Bartel, 2009)</w:t>
      </w:r>
      <w:r>
        <w:rPr>
          <w:rFonts w:ascii="Times New Roman" w:hAnsi="Times New Roman" w:cs="Times New Roman"/>
        </w:rPr>
        <w:fldChar w:fldCharType="end"/>
      </w:r>
      <w:r w:rsidRPr="00CD17E7">
        <w:rPr>
          <w:rFonts w:ascii="Times New Roman" w:hAnsi="Times New Roman" w:cs="Times New Roman"/>
        </w:rPr>
        <w:t>.</w:t>
      </w:r>
      <w:r>
        <w:rPr>
          <w:rFonts w:ascii="Times New Roman" w:hAnsi="Times New Roman" w:cs="Times New Roman"/>
        </w:rPr>
        <w:t xml:space="preserve"> We excluded mammalian-specific </w:t>
      </w:r>
      <w:proofErr w:type="spellStart"/>
      <w:r>
        <w:rPr>
          <w:rFonts w:ascii="Times New Roman" w:hAnsi="Times New Roman" w:cs="Times New Roman"/>
        </w:rPr>
        <w:t>miRNA</w:t>
      </w:r>
      <w:proofErr w:type="spellEnd"/>
      <w:r>
        <w:rPr>
          <w:rFonts w:ascii="Times New Roman" w:hAnsi="Times New Roman" w:cs="Times New Roman"/>
        </w:rPr>
        <w:t xml:space="preserve"> families based on classifications by Friedman et al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"10.1101/gr.082701.108", "ISSN" : "1088-9051", "PMID" : "18955434", "abstract" : "MicroRNAs (miRNAs) are small endogenous RNAs that pair to sites in mRNAs to direct post-transcriptional repression. Many sites that match the miRNA seed (nucleotides 2-7), particularly those in 3' untranslated regions (3'UTRs), are preferentially conserved. Here, we overhauled our tool for finding preferential conservation of sequence motifs and applied it to the analysis of human 3'UTRs, increasing by nearly threefold the detected number of preferentially conserved miRNA target sites. The new tool more efficiently incorporates new genomes and more completely controls for background conservation by accounting for mutational biases, dinucleotide conservation rates, and the conservation rates of individual UTRs. The improved background model enabled preferential conservation of a new site type, the \"offset 6mer,\" to be detected. In total, &gt;45,000 miRNA target sites within human 3'UTRs are conserved above background levels, and &gt;60% of human protein-coding genes have been under selective pressure to maintain pairing to miRNAs. Mammalian-specific miRNAs have far fewer conserved targets than do the more broadly conserved miRNAs, even when considering only more recently emerged targets. Although pairing to the 3' end of miRNAs can compensate for seed mismatches, this class of sites constitutes less than 2% of all preferentially conserved sites detected. The new tool enables statistically powerful analysis of individual miRNA target sites, with the probability of preferentially conserved targeting (P(CT)) correlating with experimental measurements of repression. Our expanded set of target predictions (including conserved 3'-compensatory sites), are available at the TargetScan website, which displays the P(CT) for each site and each predicted target.", "author" : [ { "dropping-particle" : "", "family" : "Friedman", "given" : "Robin C", "non-dropping-particle" : "", "parse-names" : false, "suffix" : "" }, { "dropping-particle" : "", "family" : "Farh", "given" : "Kyle Kai-How", "non-dropping-particle" : "", "parse-names" : false, "suffix" : "" }, { "dropping-particle" : "", "family" : "Burge", "given" : "Christopher B", "non-dropping-particle" : "", "parse-names" : false, "suffix" : "" }, { "dropping-particle" : "", "family" : "Bartel", "given" : "David P", "non-dropping-particle" : "", "parse-names" : false, "suffix" : "" } ], "container-title" : "Genome research", "id" : "ITEM-1", "issue" : "1", "issued" : { "date-parts" : [ [ "2009", "1" ] ] }, "page" : "92-105", "title" : "Most mammalian mRNAs are conserved targets of microRNAs.", "type" : "article-journal", "volume" : "19" }, "uris" : [ "http://www.mendeley.com/documents/?uuid=9265ffba-54e7-47b0-a354-6d15de6737b1" ] } ], "mendeley" : { "formattedCitation" : "(Friedman et al., 2009)", "plainTextFormattedCitation" : "(Friedman et al., 2009)", "previouslyFormattedCitation" : "(Friedman et al., 2009)"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(Friedman et al., 2009)</w:t>
      </w:r>
      <w:r>
        <w:rPr>
          <w:rFonts w:ascii="Times New Roman" w:hAnsi="Times New Roman" w:cs="Times New Roman"/>
        </w:rPr>
        <w:fldChar w:fldCharType="end"/>
      </w:r>
      <w:r>
        <w:rPr>
          <w:rFonts w:ascii="Times New Roman" w:hAnsi="Times New Roman" w:cs="Times New Roman"/>
        </w:rPr>
        <w:t xml:space="preserve"> and updated in </w:t>
      </w:r>
      <w:proofErr w:type="spellStart"/>
      <w:r>
        <w:rPr>
          <w:rFonts w:ascii="Times New Roman" w:hAnsi="Times New Roman" w:cs="Times New Roman"/>
        </w:rPr>
        <w:t>TargetScanHuman</w:t>
      </w:r>
      <w:proofErr w:type="spellEnd"/>
      <w:r>
        <w:rPr>
          <w:rFonts w:ascii="Times New Roman" w:hAnsi="Times New Roman" w:cs="Times New Roman"/>
        </w:rPr>
        <w:t xml:space="preserve"> v7.1</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"10.7554/eLife.05005", "author" : [ { "dropping-particle" : "", "family" : "Agarwal", "given" : "Vikram", "non-dropping-particle" : "", "parse-names" : false, "suffix" : "" }, { "dropping-particle" : "", "family" : "Bell", "given" : "George W", "non-dropping-particle" : "", "parse-names" : false, "suffix" : "" }, { "dropping-particle" : "", "family" : "Nam", "given" : "Jin-wu", "non-dropping-particle" : "", "parse-names" : false, "suffix" : "" }, { "dropping-particle" : "", "family" : "Bartel", "given" : "David P", "non-dropping-particle" : "", "parse-names" : false, "suffix" : "" } ], "container-title" : "eLife", "id" : "ITEM-1", "issued" : { "date-parts" : [ [ "2015" ] ] }, "page" : "e05005", "title" : "Predicting effective microRNA target sites in mammalian mRNAs", "type" : "article-journal", "volume" : "4" }, "uris" : [ "http://www.mendeley.com/documents/?uuid=3f2c57a3-ae66-49a2-9007-50bf904eb1d8" ] } ], "mendeley" : { "formattedCitation" : "(Agarwal, Bell, Nam, &amp; Bartel, 2015)", "plainTextFormattedCitation" : "(Agarwal, Bell, Nam, &amp; Bartel, 2015)", "previouslyFormattedCitation" : "(Agarwal, Bell, Nam, &amp; Bartel, 2015)" }, "properties" : { "noteIndex" : 0 }, "schema" : "https://github.com/citation-style-language/schema/raw/master/csl-citation.json" }</w:instrText>
      </w:r>
      <w:r>
        <w:rPr>
          <w:rFonts w:ascii="Times New Roman" w:hAnsi="Times New Roman" w:cs="Times New Roman"/>
        </w:rPr>
        <w:fldChar w:fldCharType="separate"/>
      </w:r>
      <w:r w:rsidRPr="00E92D14">
        <w:rPr>
          <w:rFonts w:ascii="Times New Roman" w:hAnsi="Times New Roman" w:cs="Times New Roman"/>
          <w:noProof/>
        </w:rPr>
        <w:t>(Agarwal, Bell, Nam, &amp; Bartel, 2015)</w:t>
      </w:r>
      <w:r>
        <w:rPr>
          <w:rFonts w:ascii="Times New Roman" w:hAnsi="Times New Roman" w:cs="Times New Roman"/>
        </w:rPr>
        <w:fldChar w:fldCharType="end"/>
      </w:r>
      <w:r>
        <w:rPr>
          <w:rFonts w:ascii="Times New Roman" w:hAnsi="Times New Roman" w:cs="Times New Roman"/>
        </w:rPr>
        <w:t>. To account for gene-specific variability in the number and P</w:t>
      </w:r>
      <w:r w:rsidRPr="0055049D">
        <w:rPr>
          <w:rFonts w:ascii="Times New Roman" w:hAnsi="Times New Roman" w:cs="Times New Roman"/>
          <w:vertAlign w:val="subscript"/>
        </w:rPr>
        <w:t>CT</w:t>
      </w:r>
      <w:r>
        <w:rPr>
          <w:rFonts w:ascii="Times New Roman" w:hAnsi="Times New Roman" w:cs="Times New Roman"/>
        </w:rPr>
        <w:t xml:space="preserve"> score of gene-</w:t>
      </w:r>
      <w:proofErr w:type="spellStart"/>
      <w:r>
        <w:rPr>
          <w:rFonts w:ascii="Times New Roman" w:hAnsi="Times New Roman" w:cs="Times New Roman"/>
        </w:rPr>
        <w:t>miRNA</w:t>
      </w:r>
      <w:proofErr w:type="spellEnd"/>
      <w:r>
        <w:rPr>
          <w:rFonts w:ascii="Times New Roman" w:hAnsi="Times New Roman" w:cs="Times New Roman"/>
        </w:rPr>
        <w:t xml:space="preserve"> interactions within a group of genes, we sampled 1000x with replacement from the same group of genes and computed the mean gene-</w:t>
      </w:r>
      <w:proofErr w:type="spellStart"/>
      <w:r>
        <w:rPr>
          <w:rFonts w:ascii="Times New Roman" w:hAnsi="Times New Roman" w:cs="Times New Roman"/>
        </w:rPr>
        <w:t>miRNA</w:t>
      </w:r>
      <w:proofErr w:type="spellEnd"/>
      <w:r>
        <w:rPr>
          <w:rFonts w:ascii="Times New Roman" w:hAnsi="Times New Roman" w:cs="Times New Roman"/>
        </w:rPr>
        <w:t xml:space="preserve"> P</w:t>
      </w:r>
      <w:r w:rsidRPr="00D51652">
        <w:rPr>
          <w:rFonts w:ascii="Times New Roman" w:hAnsi="Times New Roman" w:cs="Times New Roman"/>
          <w:vertAlign w:val="subscript"/>
        </w:rPr>
        <w:t>CT</w:t>
      </w:r>
      <w:r>
        <w:rPr>
          <w:rFonts w:ascii="Times New Roman" w:hAnsi="Times New Roman" w:cs="Times New Roman"/>
        </w:rPr>
        <w:t xml:space="preserve"> score for all associated gene </w:t>
      </w:r>
      <w:proofErr w:type="spellStart"/>
      <w:r>
        <w:rPr>
          <w:rFonts w:ascii="Times New Roman" w:hAnsi="Times New Roman" w:cs="Times New Roman"/>
        </w:rPr>
        <w:t>miRNA</w:t>
      </w:r>
      <w:proofErr w:type="spellEnd"/>
      <w:r>
        <w:rPr>
          <w:rFonts w:ascii="Times New Roman" w:hAnsi="Times New Roman" w:cs="Times New Roman"/>
        </w:rPr>
        <w:t xml:space="preserve"> interactions from each sampling. These 1000 samplings were then used to estimate the median resampled gene-</w:t>
      </w:r>
      <w:proofErr w:type="spellStart"/>
      <w:r>
        <w:rPr>
          <w:rFonts w:ascii="Times New Roman" w:hAnsi="Times New Roman" w:cs="Times New Roman"/>
        </w:rPr>
        <w:t>miRNA</w:t>
      </w:r>
      <w:proofErr w:type="spellEnd"/>
      <w:r>
        <w:rPr>
          <w:rFonts w:ascii="Times New Roman" w:hAnsi="Times New Roman" w:cs="Times New Roman"/>
        </w:rPr>
        <w:t xml:space="preserve"> P</w:t>
      </w:r>
      <w:r w:rsidRPr="00D51652">
        <w:rPr>
          <w:rFonts w:ascii="Times New Roman" w:hAnsi="Times New Roman" w:cs="Times New Roman"/>
          <w:vertAlign w:val="subscript"/>
        </w:rPr>
        <w:t>CT</w:t>
      </w:r>
      <w:r>
        <w:rPr>
          <w:rFonts w:ascii="Times New Roman" w:hAnsi="Times New Roman" w:cs="Times New Roman"/>
        </w:rPr>
        <w:t xml:space="preserve"> and 95% confidence intervals.</w:t>
      </w:r>
    </w:p>
    <w:p w14:paraId="1A286F2D" w14:textId="77777777" w:rsidR="00435AB8" w:rsidRDefault="00435AB8" w:rsidP="00435AB8">
      <w:pPr>
        <w:spacing w:line="480" w:lineRule="auto"/>
        <w:rPr>
          <w:rFonts w:ascii="Times New Roman" w:hAnsi="Times New Roman" w:cs="Times New Roman"/>
        </w:rPr>
      </w:pPr>
    </w:p>
    <w:p w14:paraId="61109F65" w14:textId="77777777" w:rsidR="00435AB8" w:rsidRPr="001334DD" w:rsidRDefault="00435AB8" w:rsidP="00435AB8">
      <w:pPr>
        <w:spacing w:line="480" w:lineRule="auto"/>
        <w:outlineLvl w:val="0"/>
        <w:rPr>
          <w:rFonts w:ascii="Times New Roman" w:hAnsi="Times New Roman" w:cs="Times New Roman"/>
          <w:b/>
        </w:rPr>
      </w:pPr>
      <w:r>
        <w:rPr>
          <w:rFonts w:ascii="Times New Roman" w:hAnsi="Times New Roman" w:cs="Times New Roman"/>
          <w:b/>
        </w:rPr>
        <w:t>Human-chicken conserved microRNA target sites</w:t>
      </w:r>
    </w:p>
    <w:p w14:paraId="55BFDB54" w14:textId="77777777" w:rsidR="00435AB8" w:rsidRDefault="00435AB8" w:rsidP="00435AB8">
      <w:pPr>
        <w:spacing w:line="480" w:lineRule="auto"/>
        <w:rPr>
          <w:rFonts w:ascii="Times New Roman" w:hAnsi="Times New Roman" w:cs="Times New Roman"/>
        </w:rPr>
      </w:pPr>
      <w:r>
        <w:rPr>
          <w:rFonts w:ascii="Times New Roman" w:hAnsi="Times New Roman" w:cs="Times New Roman"/>
        </w:rPr>
        <w:t xml:space="preserve">Site-wise alignment information was obtained from </w:t>
      </w:r>
      <w:proofErr w:type="spellStart"/>
      <w:r>
        <w:rPr>
          <w:rFonts w:ascii="Times New Roman" w:hAnsi="Times New Roman" w:cs="Times New Roman"/>
        </w:rPr>
        <w:t>TargetScanHuman</w:t>
      </w:r>
      <w:proofErr w:type="spellEnd"/>
      <w:r>
        <w:rPr>
          <w:rFonts w:ascii="Times New Roman" w:hAnsi="Times New Roman" w:cs="Times New Roman"/>
        </w:rPr>
        <w:t xml:space="preserve"> v7.1 (</w:t>
      </w:r>
      <w:r w:rsidRPr="004406BF">
        <w:rPr>
          <w:rFonts w:ascii="Times New Roman" w:hAnsi="Times New Roman" w:cs="Times New Roman"/>
        </w:rPr>
        <w:t>http://www.targetscan.org/vert_71/vert_71_data_download/Conserved_Family_Info.txt.zip</w:t>
      </w:r>
      <w:r>
        <w:rPr>
          <w:rFonts w:ascii="Times New Roman" w:hAnsi="Times New Roman" w:cs="Times New Roman"/>
        </w:rPr>
        <w:t xml:space="preserve">). To determine which target sites are present in the 3` UTRs of both human and chicken </w:t>
      </w:r>
      <w:proofErr w:type="spellStart"/>
      <w:r>
        <w:rPr>
          <w:rFonts w:ascii="Times New Roman" w:hAnsi="Times New Roman" w:cs="Times New Roman"/>
        </w:rPr>
        <w:t>orthologs</w:t>
      </w:r>
      <w:proofErr w:type="spellEnd"/>
      <w:r>
        <w:rPr>
          <w:rFonts w:ascii="Times New Roman" w:hAnsi="Times New Roman" w:cs="Times New Roman"/>
        </w:rPr>
        <w:t xml:space="preserve">, we counted, for genes with both a human and chicken </w:t>
      </w:r>
      <w:proofErr w:type="spellStart"/>
      <w:r>
        <w:rPr>
          <w:rFonts w:ascii="Times New Roman" w:hAnsi="Times New Roman" w:cs="Times New Roman"/>
        </w:rPr>
        <w:t>ortholog</w:t>
      </w:r>
      <w:proofErr w:type="spellEnd"/>
      <w:r>
        <w:rPr>
          <w:rFonts w:ascii="Times New Roman" w:hAnsi="Times New Roman" w:cs="Times New Roman"/>
        </w:rPr>
        <w:t xml:space="preserve">, the number of </w:t>
      </w:r>
      <w:proofErr w:type="spellStart"/>
      <w:r>
        <w:rPr>
          <w:rFonts w:ascii="Times New Roman" w:hAnsi="Times New Roman" w:cs="Times New Roman"/>
        </w:rPr>
        <w:t>miRNA</w:t>
      </w:r>
      <w:proofErr w:type="spellEnd"/>
      <w:r>
        <w:rPr>
          <w:rFonts w:ascii="Times New Roman" w:hAnsi="Times New Roman" w:cs="Times New Roman"/>
        </w:rPr>
        <w:t xml:space="preserve"> interactions that had at least one target site in both human and chicken. To control for gene-specific background 3` UTR conservation, we generated six control k-</w:t>
      </w:r>
      <w:proofErr w:type="spellStart"/>
      <w:r>
        <w:rPr>
          <w:rFonts w:ascii="Times New Roman" w:hAnsi="Times New Roman" w:cs="Times New Roman"/>
        </w:rPr>
        <w:t>mers</w:t>
      </w:r>
      <w:proofErr w:type="spellEnd"/>
      <w:r>
        <w:rPr>
          <w:rFonts w:ascii="Times New Roman" w:hAnsi="Times New Roman" w:cs="Times New Roman"/>
        </w:rPr>
        <w:t xml:space="preserve"> for each </w:t>
      </w:r>
      <w:proofErr w:type="spellStart"/>
      <w:r>
        <w:rPr>
          <w:rFonts w:ascii="Times New Roman" w:hAnsi="Times New Roman" w:cs="Times New Roman"/>
        </w:rPr>
        <w:t>miRNA</w:t>
      </w:r>
      <w:proofErr w:type="spellEnd"/>
      <w:r>
        <w:rPr>
          <w:rFonts w:ascii="Times New Roman" w:hAnsi="Times New Roman" w:cs="Times New Roman"/>
        </w:rPr>
        <w:t xml:space="preserve"> family seed sequence that were matched exactly for nucleotide and </w:t>
      </w:r>
      <w:proofErr w:type="spellStart"/>
      <w:r>
        <w:rPr>
          <w:rFonts w:ascii="Times New Roman" w:hAnsi="Times New Roman" w:cs="Times New Roman"/>
        </w:rPr>
        <w:t>CpG</w:t>
      </w:r>
      <w:proofErr w:type="spellEnd"/>
      <w:r>
        <w:rPr>
          <w:rFonts w:ascii="Times New Roman" w:hAnsi="Times New Roman" w:cs="Times New Roman"/>
        </w:rPr>
        <w:t xml:space="preserve"> content. Six was the maximum number of unique control k-</w:t>
      </w:r>
      <w:proofErr w:type="spellStart"/>
      <w:r>
        <w:rPr>
          <w:rFonts w:ascii="Times New Roman" w:hAnsi="Times New Roman" w:cs="Times New Roman"/>
        </w:rPr>
        <w:t>mers</w:t>
      </w:r>
      <w:proofErr w:type="spellEnd"/>
      <w:r>
        <w:rPr>
          <w:rFonts w:ascii="Times New Roman" w:hAnsi="Times New Roman" w:cs="Times New Roman"/>
        </w:rPr>
        <w:t xml:space="preserve"> that could be generated for all sequences. We repeated the above counting analysis with each of the control k-</w:t>
      </w:r>
      <w:proofErr w:type="spellStart"/>
      <w:r>
        <w:rPr>
          <w:rFonts w:ascii="Times New Roman" w:hAnsi="Times New Roman" w:cs="Times New Roman"/>
        </w:rPr>
        <w:t>mers</w:t>
      </w:r>
      <w:proofErr w:type="spellEnd"/>
      <w:r>
        <w:rPr>
          <w:rFonts w:ascii="Times New Roman" w:hAnsi="Times New Roman" w:cs="Times New Roman"/>
        </w:rPr>
        <w:t xml:space="preserve"> using scripts from </w:t>
      </w:r>
      <w:proofErr w:type="spellStart"/>
      <w:r>
        <w:rPr>
          <w:rFonts w:ascii="Times New Roman" w:hAnsi="Times New Roman" w:cs="Times New Roman"/>
        </w:rPr>
        <w:t>TargetScan</w:t>
      </w:r>
      <w:proofErr w:type="spellEnd"/>
      <w:r>
        <w:rPr>
          <w:rFonts w:ascii="Times New Roman" w:hAnsi="Times New Roman" w:cs="Times New Roman"/>
        </w:rPr>
        <w:t xml:space="preserve">, and compared, for each gene, the observed number of human-chicken-conserved </w:t>
      </w:r>
      <w:proofErr w:type="spellStart"/>
      <w:r>
        <w:rPr>
          <w:rFonts w:ascii="Times New Roman" w:hAnsi="Times New Roman" w:cs="Times New Roman"/>
        </w:rPr>
        <w:t>miRNA</w:t>
      </w:r>
      <w:proofErr w:type="spellEnd"/>
      <w:r>
        <w:rPr>
          <w:rFonts w:ascii="Times New Roman" w:hAnsi="Times New Roman" w:cs="Times New Roman"/>
        </w:rPr>
        <w:t xml:space="preserve"> interactions (the observed conservation signal) to the average number from controls (the background conservation). This same procedure was repeated for alternative pairs of species considered (opossum-chicken and human-</w:t>
      </w:r>
      <w:proofErr w:type="spellStart"/>
      <w:r>
        <w:rPr>
          <w:rFonts w:ascii="Times New Roman" w:hAnsi="Times New Roman" w:cs="Times New Roman"/>
        </w:rPr>
        <w:t>anolis</w:t>
      </w:r>
      <w:proofErr w:type="spellEnd"/>
      <w:r>
        <w:rPr>
          <w:rFonts w:ascii="Times New Roman" w:hAnsi="Times New Roman" w:cs="Times New Roman"/>
        </w:rPr>
        <w:t xml:space="preserve"> lizard).</w:t>
      </w:r>
    </w:p>
    <w:p w14:paraId="0318D86B" w14:textId="77777777" w:rsidR="00435AB8" w:rsidRDefault="00435AB8" w:rsidP="00435AB8">
      <w:pPr>
        <w:spacing w:line="480" w:lineRule="auto"/>
        <w:rPr>
          <w:rFonts w:ascii="Times New Roman" w:hAnsi="Times New Roman" w:cs="Times New Roman"/>
        </w:rPr>
      </w:pPr>
    </w:p>
    <w:p w14:paraId="5B2B8DB2" w14:textId="77777777" w:rsidR="00435AB8" w:rsidRPr="001334DD" w:rsidRDefault="00435AB8" w:rsidP="00435AB8">
      <w:pPr>
        <w:spacing w:line="480" w:lineRule="auto"/>
        <w:outlineLvl w:val="0"/>
        <w:rPr>
          <w:rFonts w:ascii="Times New Roman" w:hAnsi="Times New Roman" w:cs="Times New Roman"/>
          <w:b/>
        </w:rPr>
      </w:pPr>
      <w:r>
        <w:rPr>
          <w:rFonts w:ascii="Times New Roman" w:hAnsi="Times New Roman" w:cs="Times New Roman"/>
          <w:b/>
        </w:rPr>
        <w:t>Human-chicken conserved microRNA target sites</w:t>
      </w:r>
    </w:p>
    <w:p w14:paraId="30E7BE4E" w14:textId="77777777" w:rsidR="00435AB8" w:rsidRDefault="00435AB8" w:rsidP="00435AB8">
      <w:pPr>
        <w:spacing w:line="480" w:lineRule="auto"/>
        <w:rPr>
          <w:rFonts w:ascii="Times New Roman" w:hAnsi="Times New Roman" w:cs="Times New Roman"/>
        </w:rPr>
      </w:pPr>
      <w:r>
        <w:rPr>
          <w:rFonts w:ascii="Times New Roman" w:hAnsi="Times New Roman" w:cs="Times New Roman"/>
        </w:rPr>
        <w:t xml:space="preserve">Site-wise alignment information was obtained from </w:t>
      </w:r>
      <w:proofErr w:type="spellStart"/>
      <w:r>
        <w:rPr>
          <w:rFonts w:ascii="Times New Roman" w:hAnsi="Times New Roman" w:cs="Times New Roman"/>
        </w:rPr>
        <w:t>TargetScanHuman</w:t>
      </w:r>
      <w:proofErr w:type="spellEnd"/>
      <w:r>
        <w:rPr>
          <w:rFonts w:ascii="Times New Roman" w:hAnsi="Times New Roman" w:cs="Times New Roman"/>
        </w:rPr>
        <w:t xml:space="preserve"> v7.1 (</w:t>
      </w:r>
      <w:r w:rsidRPr="004406BF">
        <w:rPr>
          <w:rFonts w:ascii="Times New Roman" w:hAnsi="Times New Roman" w:cs="Times New Roman"/>
        </w:rPr>
        <w:t>http://www.targetscan.org/vert_71/vert_71_data_download/Conserved_Family_Info.txt.zip</w:t>
      </w:r>
      <w:r>
        <w:rPr>
          <w:rFonts w:ascii="Times New Roman" w:hAnsi="Times New Roman" w:cs="Times New Roman"/>
        </w:rPr>
        <w:t xml:space="preserve">). To determine which target sites are present in the 3` UTRs of both human and chicken </w:t>
      </w:r>
      <w:proofErr w:type="spellStart"/>
      <w:r>
        <w:rPr>
          <w:rFonts w:ascii="Times New Roman" w:hAnsi="Times New Roman" w:cs="Times New Roman"/>
        </w:rPr>
        <w:t>orthologs</w:t>
      </w:r>
      <w:proofErr w:type="spellEnd"/>
      <w:r>
        <w:rPr>
          <w:rFonts w:ascii="Times New Roman" w:hAnsi="Times New Roman" w:cs="Times New Roman"/>
        </w:rPr>
        <w:t xml:space="preserve">, we counted, for genes with both a human and chicken </w:t>
      </w:r>
      <w:proofErr w:type="spellStart"/>
      <w:r>
        <w:rPr>
          <w:rFonts w:ascii="Times New Roman" w:hAnsi="Times New Roman" w:cs="Times New Roman"/>
        </w:rPr>
        <w:t>ortholog</w:t>
      </w:r>
      <w:proofErr w:type="spellEnd"/>
      <w:r>
        <w:rPr>
          <w:rFonts w:ascii="Times New Roman" w:hAnsi="Times New Roman" w:cs="Times New Roman"/>
        </w:rPr>
        <w:t xml:space="preserve">, the number of </w:t>
      </w:r>
      <w:proofErr w:type="spellStart"/>
      <w:r>
        <w:rPr>
          <w:rFonts w:ascii="Times New Roman" w:hAnsi="Times New Roman" w:cs="Times New Roman"/>
        </w:rPr>
        <w:t>miRNA</w:t>
      </w:r>
      <w:proofErr w:type="spellEnd"/>
      <w:r>
        <w:rPr>
          <w:rFonts w:ascii="Times New Roman" w:hAnsi="Times New Roman" w:cs="Times New Roman"/>
        </w:rPr>
        <w:t xml:space="preserve"> interactions that had at least one target site in both human and chicken. To control for gene-specific background 3` UTR conservation, we generated six control k-</w:t>
      </w:r>
      <w:proofErr w:type="spellStart"/>
      <w:r>
        <w:rPr>
          <w:rFonts w:ascii="Times New Roman" w:hAnsi="Times New Roman" w:cs="Times New Roman"/>
        </w:rPr>
        <w:t>mers</w:t>
      </w:r>
      <w:proofErr w:type="spellEnd"/>
      <w:r>
        <w:rPr>
          <w:rFonts w:ascii="Times New Roman" w:hAnsi="Times New Roman" w:cs="Times New Roman"/>
        </w:rPr>
        <w:t xml:space="preserve"> for each </w:t>
      </w:r>
      <w:proofErr w:type="spellStart"/>
      <w:r>
        <w:rPr>
          <w:rFonts w:ascii="Times New Roman" w:hAnsi="Times New Roman" w:cs="Times New Roman"/>
        </w:rPr>
        <w:t>miRNA</w:t>
      </w:r>
      <w:proofErr w:type="spellEnd"/>
      <w:r>
        <w:rPr>
          <w:rFonts w:ascii="Times New Roman" w:hAnsi="Times New Roman" w:cs="Times New Roman"/>
        </w:rPr>
        <w:t xml:space="preserve"> family seed sequence that were matched exactly for nucleotide and </w:t>
      </w:r>
      <w:proofErr w:type="spellStart"/>
      <w:r>
        <w:rPr>
          <w:rFonts w:ascii="Times New Roman" w:hAnsi="Times New Roman" w:cs="Times New Roman"/>
        </w:rPr>
        <w:t>CpG</w:t>
      </w:r>
      <w:proofErr w:type="spellEnd"/>
      <w:r>
        <w:rPr>
          <w:rFonts w:ascii="Times New Roman" w:hAnsi="Times New Roman" w:cs="Times New Roman"/>
        </w:rPr>
        <w:t xml:space="preserve"> content. Six was the maximum number of unique control k-</w:t>
      </w:r>
      <w:proofErr w:type="spellStart"/>
      <w:r>
        <w:rPr>
          <w:rFonts w:ascii="Times New Roman" w:hAnsi="Times New Roman" w:cs="Times New Roman"/>
        </w:rPr>
        <w:t>mers</w:t>
      </w:r>
      <w:proofErr w:type="spellEnd"/>
      <w:r>
        <w:rPr>
          <w:rFonts w:ascii="Times New Roman" w:hAnsi="Times New Roman" w:cs="Times New Roman"/>
        </w:rPr>
        <w:t xml:space="preserve"> that could be generated for all sequences. We repeated the above counting analysis with each of the control k-</w:t>
      </w:r>
      <w:proofErr w:type="spellStart"/>
      <w:r>
        <w:rPr>
          <w:rFonts w:ascii="Times New Roman" w:hAnsi="Times New Roman" w:cs="Times New Roman"/>
        </w:rPr>
        <w:t>mers</w:t>
      </w:r>
      <w:proofErr w:type="spellEnd"/>
      <w:r>
        <w:rPr>
          <w:rFonts w:ascii="Times New Roman" w:hAnsi="Times New Roman" w:cs="Times New Roman"/>
        </w:rPr>
        <w:t xml:space="preserve"> using scripts from </w:t>
      </w:r>
      <w:proofErr w:type="spellStart"/>
      <w:r>
        <w:rPr>
          <w:rFonts w:ascii="Times New Roman" w:hAnsi="Times New Roman" w:cs="Times New Roman"/>
        </w:rPr>
        <w:t>TargetScan</w:t>
      </w:r>
      <w:proofErr w:type="spellEnd"/>
      <w:r>
        <w:rPr>
          <w:rFonts w:ascii="Times New Roman" w:hAnsi="Times New Roman" w:cs="Times New Roman"/>
        </w:rPr>
        <w:t xml:space="preserve">, and compared, for each gene, the observed number of human-chicken-conserved </w:t>
      </w:r>
      <w:proofErr w:type="spellStart"/>
      <w:r>
        <w:rPr>
          <w:rFonts w:ascii="Times New Roman" w:hAnsi="Times New Roman" w:cs="Times New Roman"/>
        </w:rPr>
        <w:t>miRNA</w:t>
      </w:r>
      <w:proofErr w:type="spellEnd"/>
      <w:r>
        <w:rPr>
          <w:rFonts w:ascii="Times New Roman" w:hAnsi="Times New Roman" w:cs="Times New Roman"/>
        </w:rPr>
        <w:t xml:space="preserve"> interactions (the observed conservation signal) to the average number from controls (the background conservation). This same procedure was repeated for alternative pairs of species considered (opossum-chicken and human-</w:t>
      </w:r>
      <w:proofErr w:type="spellStart"/>
      <w:r>
        <w:rPr>
          <w:rFonts w:ascii="Times New Roman" w:hAnsi="Times New Roman" w:cs="Times New Roman"/>
        </w:rPr>
        <w:t>anolis</w:t>
      </w:r>
      <w:proofErr w:type="spellEnd"/>
      <w:r>
        <w:rPr>
          <w:rFonts w:ascii="Times New Roman" w:hAnsi="Times New Roman" w:cs="Times New Roman"/>
        </w:rPr>
        <w:t xml:space="preserve"> lizard).</w:t>
      </w:r>
    </w:p>
    <w:p w14:paraId="1AE904D1" w14:textId="77777777" w:rsidR="00435AB8" w:rsidRDefault="00435AB8" w:rsidP="00435AB8">
      <w:pPr>
        <w:spacing w:line="480" w:lineRule="auto"/>
        <w:rPr>
          <w:rFonts w:ascii="Times New Roman" w:hAnsi="Times New Roman" w:cs="Times New Roman"/>
        </w:rPr>
      </w:pPr>
    </w:p>
    <w:p w14:paraId="5A83A313" w14:textId="77777777" w:rsidR="00565ECF" w:rsidRDefault="00565ECF" w:rsidP="00D563D1">
      <w:pPr>
        <w:spacing w:line="480" w:lineRule="auto"/>
        <w:rPr>
          <w:rFonts w:ascii="Times New Roman" w:hAnsi="Times New Roman" w:cs="Times New Roman"/>
        </w:rPr>
      </w:pPr>
    </w:p>
    <w:p w14:paraId="59EFC4B2" w14:textId="33EDD78B" w:rsidR="00565ECF" w:rsidRPr="00565ECF" w:rsidRDefault="00565ECF" w:rsidP="00D563D1">
      <w:pPr>
        <w:spacing w:line="480" w:lineRule="auto"/>
        <w:rPr>
          <w:rFonts w:ascii="Times New Roman" w:hAnsi="Times New Roman" w:cs="Times New Roman"/>
          <w:b/>
        </w:rPr>
      </w:pPr>
      <w:r>
        <w:rPr>
          <w:rFonts w:ascii="Times New Roman" w:hAnsi="Times New Roman" w:cs="Times New Roman"/>
          <w:b/>
        </w:rPr>
        <w:t>Variation in within-UTR conservation bias</w:t>
      </w:r>
    </w:p>
    <w:p w14:paraId="213BDC07" w14:textId="3E7FF02A" w:rsidR="00435AB8" w:rsidRDefault="00115DA0" w:rsidP="00D563D1">
      <w:pPr>
        <w:spacing w:line="480" w:lineRule="auto"/>
        <w:rPr>
          <w:rFonts w:ascii="Times New Roman" w:hAnsi="Times New Roman" w:cs="Times New Roman"/>
        </w:rPr>
      </w:pPr>
      <w:r>
        <w:rPr>
          <w:rFonts w:ascii="Times New Roman" w:hAnsi="Times New Roman" w:cs="Times New Roman"/>
        </w:rPr>
        <w:t>The P</w:t>
      </w:r>
      <w:r w:rsidRPr="00D51652">
        <w:rPr>
          <w:rFonts w:ascii="Times New Roman" w:hAnsi="Times New Roman" w:cs="Times New Roman"/>
          <w:vertAlign w:val="subscript"/>
        </w:rPr>
        <w:t>CT</w:t>
      </w:r>
      <w:r>
        <w:rPr>
          <w:rFonts w:ascii="Times New Roman" w:hAnsi="Times New Roman" w:cs="Times New Roman"/>
        </w:rPr>
        <w:t xml:space="preserve"> of a given </w:t>
      </w:r>
      <w:proofErr w:type="spellStart"/>
      <w:r>
        <w:rPr>
          <w:rFonts w:ascii="Times New Roman" w:hAnsi="Times New Roman" w:cs="Times New Roman"/>
        </w:rPr>
        <w:t>miRNA</w:t>
      </w:r>
      <w:proofErr w:type="spellEnd"/>
      <w:r>
        <w:rPr>
          <w:rFonts w:ascii="Times New Roman" w:hAnsi="Times New Roman" w:cs="Times New Roman"/>
        </w:rPr>
        <w:t xml:space="preserve"> target site depends on the conservation of the site, as measured by the total branch length of the phylogenetic tree containing the target sites (branch length score, BLS) relative to the mean BLS of the whole 3` UTR. To address the possibility that non-uniformity in the regional BLS could artificially inflate or deflate conservation scores of certain target sites, we implemented a step-detection algorithm to segment 3` UTRs into regions of homogeneous BLS values. </w:t>
      </w:r>
      <w:r w:rsidR="00565ECF" w:rsidRPr="00F94E01">
        <w:rPr>
          <w:rFonts w:ascii="Times New Roman" w:hAnsi="Times New Roman" w:cs="Times New Roman"/>
        </w:rPr>
        <w:t xml:space="preserve">In order to call steps within a </w:t>
      </w:r>
      <w:r w:rsidR="00565ECF">
        <w:rPr>
          <w:rFonts w:ascii="Times New Roman" w:hAnsi="Times New Roman" w:cs="Times New Roman"/>
        </w:rPr>
        <w:t xml:space="preserve">3` </w:t>
      </w:r>
      <w:r w:rsidR="00565ECF" w:rsidRPr="00F94E01">
        <w:rPr>
          <w:rFonts w:ascii="Times New Roman" w:hAnsi="Times New Roman" w:cs="Times New Roman"/>
        </w:rPr>
        <w:t>UTR, we compute</w:t>
      </w:r>
      <w:r w:rsidR="00565ECF">
        <w:rPr>
          <w:rFonts w:ascii="Times New Roman" w:hAnsi="Times New Roman" w:cs="Times New Roman"/>
        </w:rPr>
        <w:t>d</w:t>
      </w:r>
      <w:r w:rsidR="00565ECF" w:rsidRPr="00F94E01">
        <w:rPr>
          <w:rFonts w:ascii="Times New Roman" w:hAnsi="Times New Roman" w:cs="Times New Roman"/>
        </w:rPr>
        <w:t xml:space="preserve"> the t-test p-value between the BLS values of the 50-nt window upstream and downstream of each nucleotide position in the </w:t>
      </w:r>
      <w:r w:rsidR="00565ECF">
        <w:rPr>
          <w:rFonts w:ascii="Times New Roman" w:hAnsi="Times New Roman" w:cs="Times New Roman"/>
        </w:rPr>
        <w:t xml:space="preserve">3` </w:t>
      </w:r>
      <w:r w:rsidR="00565ECF" w:rsidRPr="00F94E01">
        <w:rPr>
          <w:rFonts w:ascii="Times New Roman" w:hAnsi="Times New Roman" w:cs="Times New Roman"/>
        </w:rPr>
        <w:t xml:space="preserve">UTR. Transitions were called at a log p-value cutoff of -15. Because of noise in the BLS signal, the log p-value often dips below -15 several times around each transition. If more than 1 position met the cutoff within 100 nucleotides of each other, we </w:t>
      </w:r>
      <w:r w:rsidR="00565ECF">
        <w:rPr>
          <w:rFonts w:ascii="Times New Roman" w:hAnsi="Times New Roman" w:cs="Times New Roman"/>
        </w:rPr>
        <w:t xml:space="preserve">took </w:t>
      </w:r>
      <w:r w:rsidR="00565ECF" w:rsidRPr="00F94E01">
        <w:rPr>
          <w:rFonts w:ascii="Times New Roman" w:hAnsi="Times New Roman" w:cs="Times New Roman"/>
        </w:rPr>
        <w:t>only the one with the smaller p-value</w:t>
      </w:r>
      <w:r w:rsidR="00565ECF">
        <w:rPr>
          <w:rFonts w:ascii="Times New Roman" w:hAnsi="Times New Roman" w:cs="Times New Roman"/>
        </w:rPr>
        <w:t xml:space="preserve">. We then computed, for each </w:t>
      </w:r>
      <w:proofErr w:type="spellStart"/>
      <w:r w:rsidR="00565ECF" w:rsidRPr="00E06799">
        <w:rPr>
          <w:rFonts w:ascii="Times New Roman" w:hAnsi="Times New Roman" w:cs="Times New Roman"/>
        </w:rPr>
        <w:t>miRNA</w:t>
      </w:r>
      <w:proofErr w:type="spellEnd"/>
      <w:r w:rsidR="00565ECF" w:rsidRPr="00E06799">
        <w:rPr>
          <w:rFonts w:ascii="Times New Roman" w:hAnsi="Times New Roman" w:cs="Times New Roman"/>
        </w:rPr>
        <w:t xml:space="preserve"> site, the</w:t>
      </w:r>
      <w:r w:rsidR="00565ECF">
        <w:rPr>
          <w:rFonts w:ascii="Times New Roman" w:hAnsi="Times New Roman" w:cs="Times New Roman"/>
        </w:rPr>
        <w:t xml:space="preserve"> ratio of the mean</w:t>
      </w:r>
      <w:r w:rsidR="00565ECF" w:rsidRPr="00E06799">
        <w:rPr>
          <w:rFonts w:ascii="Times New Roman" w:hAnsi="Times New Roman" w:cs="Times New Roman"/>
        </w:rPr>
        <w:t xml:space="preserve"> BLS of its section to that of the entire </w:t>
      </w:r>
      <w:r w:rsidR="00565ECF">
        <w:rPr>
          <w:rFonts w:ascii="Times New Roman" w:hAnsi="Times New Roman" w:cs="Times New Roman"/>
        </w:rPr>
        <w:t xml:space="preserve">3` </w:t>
      </w:r>
      <w:r w:rsidR="00565ECF" w:rsidRPr="00E06799">
        <w:rPr>
          <w:rFonts w:ascii="Times New Roman" w:hAnsi="Times New Roman" w:cs="Times New Roman"/>
        </w:rPr>
        <w:t>UTR</w:t>
      </w:r>
      <w:r w:rsidR="00565ECF">
        <w:rPr>
          <w:rFonts w:ascii="Times New Roman" w:hAnsi="Times New Roman" w:cs="Times New Roman"/>
        </w:rPr>
        <w:t>; we term this statistic the “within-UTR conservation bias”.</w:t>
      </w:r>
      <w:r w:rsidR="00565ECF" w:rsidRPr="00E06799">
        <w:rPr>
          <w:rFonts w:ascii="Times New Roman" w:hAnsi="Times New Roman" w:cs="Times New Roman"/>
        </w:rPr>
        <w:t xml:space="preserve"> </w:t>
      </w:r>
      <w:r w:rsidR="00565ECF">
        <w:rPr>
          <w:rFonts w:ascii="Times New Roman" w:hAnsi="Times New Roman" w:cs="Times New Roman"/>
        </w:rPr>
        <w:t xml:space="preserve">Values of this statistic greater than 1 indicate that the </w:t>
      </w:r>
      <w:r w:rsidR="00565ECF" w:rsidRPr="00E06799">
        <w:rPr>
          <w:rFonts w:ascii="Times New Roman" w:hAnsi="Times New Roman" w:cs="Times New Roman"/>
        </w:rPr>
        <w:t>P</w:t>
      </w:r>
      <w:r w:rsidR="00565ECF" w:rsidRPr="00E06799">
        <w:rPr>
          <w:rFonts w:ascii="Times New Roman" w:hAnsi="Times New Roman" w:cs="Times New Roman"/>
          <w:vertAlign w:val="subscript"/>
        </w:rPr>
        <w:t>CT</w:t>
      </w:r>
      <w:r w:rsidR="00565ECF" w:rsidRPr="00E06799">
        <w:rPr>
          <w:rFonts w:ascii="Times New Roman" w:hAnsi="Times New Roman" w:cs="Times New Roman"/>
        </w:rPr>
        <w:t xml:space="preserve"> overestimate</w:t>
      </w:r>
      <w:r w:rsidR="00565ECF">
        <w:rPr>
          <w:rFonts w:ascii="Times New Roman" w:hAnsi="Times New Roman" w:cs="Times New Roman"/>
        </w:rPr>
        <w:t>s</w:t>
      </w:r>
      <w:r w:rsidR="00565ECF" w:rsidRPr="00E06799">
        <w:rPr>
          <w:rFonts w:ascii="Times New Roman" w:hAnsi="Times New Roman" w:cs="Times New Roman"/>
        </w:rPr>
        <w:t xml:space="preserve"> the </w:t>
      </w:r>
      <w:r w:rsidR="00565ECF">
        <w:rPr>
          <w:rFonts w:ascii="Times New Roman" w:hAnsi="Times New Roman" w:cs="Times New Roman"/>
        </w:rPr>
        <w:t xml:space="preserve">relative </w:t>
      </w:r>
      <w:r w:rsidR="00565ECF" w:rsidRPr="00E06799">
        <w:rPr>
          <w:rFonts w:ascii="Times New Roman" w:hAnsi="Times New Roman" w:cs="Times New Roman"/>
        </w:rPr>
        <w:t xml:space="preserve">conservation of </w:t>
      </w:r>
      <w:r w:rsidR="00565ECF">
        <w:rPr>
          <w:rFonts w:ascii="Times New Roman" w:hAnsi="Times New Roman" w:cs="Times New Roman"/>
        </w:rPr>
        <w:t xml:space="preserve">a given target </w:t>
      </w:r>
      <w:r w:rsidR="00565ECF" w:rsidRPr="00E06799">
        <w:rPr>
          <w:rFonts w:ascii="Times New Roman" w:hAnsi="Times New Roman" w:cs="Times New Roman"/>
        </w:rPr>
        <w:t>site</w:t>
      </w:r>
      <w:r w:rsidR="00565ECF">
        <w:rPr>
          <w:rFonts w:ascii="Times New Roman" w:hAnsi="Times New Roman" w:cs="Times New Roman"/>
        </w:rPr>
        <w:t>, while values less than 1 indicate that the P</w:t>
      </w:r>
      <w:r w:rsidR="00565ECF" w:rsidRPr="00441D81">
        <w:rPr>
          <w:rFonts w:ascii="Times New Roman" w:hAnsi="Times New Roman" w:cs="Times New Roman"/>
          <w:vertAlign w:val="subscript"/>
        </w:rPr>
        <w:t>CT</w:t>
      </w:r>
      <w:r w:rsidR="00565ECF">
        <w:rPr>
          <w:rFonts w:ascii="Times New Roman" w:hAnsi="Times New Roman" w:cs="Times New Roman"/>
        </w:rPr>
        <w:t xml:space="preserve"> underestimates conservation</w:t>
      </w:r>
      <w:r w:rsidR="00565ECF" w:rsidRPr="00E06799">
        <w:rPr>
          <w:rFonts w:ascii="Times New Roman" w:hAnsi="Times New Roman" w:cs="Times New Roman"/>
        </w:rPr>
        <w:t>.</w:t>
      </w:r>
      <w:r w:rsidR="00565ECF">
        <w:rPr>
          <w:rFonts w:ascii="Times New Roman" w:hAnsi="Times New Roman" w:cs="Times New Roman"/>
        </w:rPr>
        <w:t xml:space="preserve"> For gene-</w:t>
      </w:r>
      <w:proofErr w:type="spellStart"/>
      <w:r w:rsidR="00565ECF">
        <w:rPr>
          <w:rFonts w:ascii="Times New Roman" w:hAnsi="Times New Roman" w:cs="Times New Roman"/>
        </w:rPr>
        <w:t>miRNA</w:t>
      </w:r>
      <w:proofErr w:type="spellEnd"/>
      <w:r w:rsidR="00565ECF">
        <w:rPr>
          <w:rFonts w:ascii="Times New Roman" w:hAnsi="Times New Roman" w:cs="Times New Roman"/>
        </w:rPr>
        <w:t xml:space="preserve"> interactions with multiple sites, we used the mean within-UTR conservation bias for all sites. We also repeated P</w:t>
      </w:r>
      <w:r w:rsidR="00565ECF" w:rsidRPr="003C1644">
        <w:rPr>
          <w:rFonts w:ascii="Times New Roman" w:hAnsi="Times New Roman" w:cs="Times New Roman"/>
          <w:vertAlign w:val="subscript"/>
        </w:rPr>
        <w:t>CT</w:t>
      </w:r>
      <w:r w:rsidR="00565ECF">
        <w:rPr>
          <w:rFonts w:ascii="Times New Roman" w:hAnsi="Times New Roman" w:cs="Times New Roman"/>
        </w:rPr>
        <w:t xml:space="preserve"> score comparisons between classes of X- and Z-linked genes with P</w:t>
      </w:r>
      <w:r w:rsidR="00565ECF" w:rsidRPr="0022727D">
        <w:rPr>
          <w:rFonts w:ascii="Times New Roman" w:hAnsi="Times New Roman" w:cs="Times New Roman"/>
          <w:vertAlign w:val="subscript"/>
        </w:rPr>
        <w:t>CT</w:t>
      </w:r>
      <w:r w:rsidR="00565ECF">
        <w:rPr>
          <w:rFonts w:ascii="Times New Roman" w:hAnsi="Times New Roman" w:cs="Times New Roman"/>
        </w:rPr>
        <w:t xml:space="preserve"> scores normalized by the corresponding gene-</w:t>
      </w:r>
      <w:proofErr w:type="spellStart"/>
      <w:r w:rsidR="00565ECF">
        <w:rPr>
          <w:rFonts w:ascii="Times New Roman" w:hAnsi="Times New Roman" w:cs="Times New Roman"/>
        </w:rPr>
        <w:t>miRNA</w:t>
      </w:r>
      <w:proofErr w:type="spellEnd"/>
      <w:r w:rsidR="00565ECF">
        <w:rPr>
          <w:rFonts w:ascii="Times New Roman" w:hAnsi="Times New Roman" w:cs="Times New Roman"/>
        </w:rPr>
        <w:t xml:space="preserve"> within-UTR conservation bias (Supplemental Figure S6C, Supplemental Figure S9B).</w:t>
      </w:r>
    </w:p>
    <w:p w14:paraId="7FE1B355" w14:textId="77777777" w:rsidR="00565ECF" w:rsidRDefault="00565ECF" w:rsidP="00D563D1">
      <w:pPr>
        <w:spacing w:line="480" w:lineRule="auto"/>
        <w:rPr>
          <w:rFonts w:ascii="Times New Roman" w:hAnsi="Times New Roman" w:cs="Times New Roman"/>
        </w:rPr>
      </w:pPr>
    </w:p>
    <w:p w14:paraId="1826AE12" w14:textId="5CC80D03" w:rsidR="00565ECF" w:rsidRDefault="00565ECF" w:rsidP="00D563D1">
      <w:pPr>
        <w:spacing w:line="480" w:lineRule="auto"/>
        <w:rPr>
          <w:rFonts w:ascii="Times New Roman" w:hAnsi="Times New Roman" w:cs="Times New Roman"/>
          <w:b/>
        </w:rPr>
      </w:pPr>
      <w:r>
        <w:rPr>
          <w:rFonts w:ascii="Times New Roman" w:hAnsi="Times New Roman" w:cs="Times New Roman"/>
          <w:b/>
        </w:rPr>
        <w:t>Gene expression profiling and crosslinking datasets</w:t>
      </w:r>
    </w:p>
    <w:p w14:paraId="73BC0CFE" w14:textId="4069810B" w:rsidR="00565ECF" w:rsidRDefault="00565ECF" w:rsidP="00565ECF">
      <w:pPr>
        <w:spacing w:line="480" w:lineRule="auto"/>
        <w:rPr>
          <w:rFonts w:ascii="Times New Roman" w:eastAsia="Times New Roman" w:hAnsi="Times New Roman" w:cs="Times New Roman"/>
          <w:shd w:val="clear" w:color="auto" w:fill="FFFEEE"/>
        </w:rPr>
      </w:pPr>
      <w:r>
        <w:rPr>
          <w:rFonts w:ascii="Times New Roman" w:hAnsi="Times New Roman" w:cs="Times New Roman"/>
        </w:rPr>
        <w:t>Fold-changes in mRNA expression from a compendium of small RNA (</w:t>
      </w:r>
      <w:proofErr w:type="spellStart"/>
      <w:r>
        <w:rPr>
          <w:rFonts w:ascii="Times New Roman" w:hAnsi="Times New Roman" w:cs="Times New Roman"/>
        </w:rPr>
        <w:t>sRNA</w:t>
      </w:r>
      <w:proofErr w:type="spellEnd"/>
      <w:r>
        <w:rPr>
          <w:rFonts w:ascii="Times New Roman" w:hAnsi="Times New Roman" w:cs="Times New Roman"/>
        </w:rPr>
        <w:t xml:space="preserve">) transfections (corresponding to twelve different </w:t>
      </w:r>
      <w:proofErr w:type="spellStart"/>
      <w:r>
        <w:rPr>
          <w:rFonts w:ascii="Times New Roman" w:hAnsi="Times New Roman" w:cs="Times New Roman"/>
        </w:rPr>
        <w:t>miRNAs</w:t>
      </w:r>
      <w:proofErr w:type="spellEnd"/>
      <w:r>
        <w:rPr>
          <w:rFonts w:ascii="Times New Roman" w:hAnsi="Times New Roman" w:cs="Times New Roman"/>
        </w:rPr>
        <w:t xml:space="preserve">) in </w:t>
      </w:r>
      <w:proofErr w:type="spellStart"/>
      <w:r>
        <w:rPr>
          <w:rFonts w:ascii="Times New Roman" w:hAnsi="Times New Roman" w:cs="Times New Roman"/>
        </w:rPr>
        <w:t>HeLa</w:t>
      </w:r>
      <w:proofErr w:type="spellEnd"/>
      <w:r>
        <w:rPr>
          <w:rFonts w:ascii="Times New Roman" w:hAnsi="Times New Roman" w:cs="Times New Roman"/>
        </w:rPr>
        <w:t xml:space="preserve"> cells were obtained from </w:t>
      </w:r>
      <w:proofErr w:type="spellStart"/>
      <w:r>
        <w:rPr>
          <w:rFonts w:ascii="Times New Roman" w:hAnsi="Times New Roman" w:cs="Times New Roman"/>
        </w:rPr>
        <w:t>Agarwal</w:t>
      </w:r>
      <w:proofErr w:type="spellEnd"/>
      <w:r>
        <w:rPr>
          <w:rFonts w:ascii="Times New Roman" w:hAnsi="Times New Roman" w:cs="Times New Roman"/>
        </w:rPr>
        <w:t xml:space="preserve"> and colleagues </w:t>
      </w:r>
      <w:r>
        <w:rPr>
          <w:rFonts w:ascii="Times New Roman" w:hAnsi="Times New Roman" w:cs="Times New Roman"/>
        </w:rPr>
        <w:fldChar w:fldCharType="begin" w:fldLock="1"/>
      </w:r>
      <w:r w:rsidR="00175200">
        <w:rPr>
          <w:rFonts w:ascii="Times New Roman" w:hAnsi="Times New Roman" w:cs="Times New Roman"/>
        </w:rPr>
        <w:instrText>ADDIN CSL_CITATION { "citationItems" : [ { "id" : "ITEM-1", "itemData" : { "DOI" : "10.7554/eLife.05005", "author" : [ { "dropping-particle" : "", "family" : "Agarwal", "given" : "Vikram", "non-dropping-particle" : "", "parse-names" : false, "suffix" : "" }, { "dropping-particle" : "", "family" : "Bell", "given" : "George W", "non-dropping-particle" : "", "parse-names" : false, "suffix" : "" }, { "dropping-particle" : "", "family" : "Nam", "given" : "Jin-wu", "non-dropping-particle" : "", "parse-names" : false, "suffix" : "" }, { "dropping-particle" : "", "family" : "Bartel", "given" : "David P", "non-dropping-particle" : "", "parse-names" : false, "suffix" : "" } ], "container-title" : "eLife", "id" : "ITEM-1", "issued" : { "date-parts" : [ [ "2015" ] ] }, "page" : "e05005", "title" : "Predicting effective microRNA target sites in mammalian mRNAs", "type" : "article-journal", "volume" : "4" }, "uris" : [ "http://www.mendeley.com/documents/?uuid=3f2c57a3-ae66-49a2-9007-50bf904eb1d8" ] } ], "mendeley" : { "formattedCitation" : "(Agarwal et al., 2015)", "plainTextFormattedCitation" : "(Agarwal et al., 2015)", "previouslyFormattedCitation" : "(Agarwal, Bell, Nam, &amp; Bartel, 2015)" }, "properties" : { "noteIndex" : 0 }, "schema" : "https://github.com/citation-style-language/schema/raw/master/csl-citation.json" }</w:instrText>
      </w:r>
      <w:r>
        <w:rPr>
          <w:rFonts w:ascii="Times New Roman" w:hAnsi="Times New Roman" w:cs="Times New Roman"/>
        </w:rPr>
        <w:fldChar w:fldCharType="separate"/>
      </w:r>
      <w:r w:rsidR="00175200" w:rsidRPr="00175200">
        <w:rPr>
          <w:rFonts w:ascii="Times New Roman" w:hAnsi="Times New Roman" w:cs="Times New Roman"/>
          <w:noProof/>
        </w:rPr>
        <w:t>(Agarwal et al., 2015)</w:t>
      </w:r>
      <w:r>
        <w:rPr>
          <w:rFonts w:ascii="Times New Roman" w:hAnsi="Times New Roman" w:cs="Times New Roman"/>
        </w:rPr>
        <w:fldChar w:fldCharType="end"/>
      </w:r>
      <w:r>
        <w:rPr>
          <w:rFonts w:ascii="Times New Roman" w:hAnsi="Times New Roman" w:cs="Times New Roman"/>
        </w:rPr>
        <w:t xml:space="preserve"> (</w:t>
      </w:r>
      <w:r w:rsidRPr="00C94C71">
        <w:rPr>
          <w:rFonts w:ascii="Times New Roman" w:eastAsia="Times New Roman" w:hAnsi="Times New Roman" w:cs="Times New Roman"/>
          <w:color w:val="000000"/>
        </w:rPr>
        <w:t>GSM210904,</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GSM37601,</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GSM210913,</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GSM210903,</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GSM210911,</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GSM210898,</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GSM210897,</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GSM210897,</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GSM210901,</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GSM210909,</w:t>
      </w:r>
      <w:r>
        <w:rPr>
          <w:rFonts w:ascii="Times New Roman" w:eastAsia="Times New Roman" w:hAnsi="Times New Roman" w:cs="Times New Roman"/>
          <w:color w:val="000000"/>
        </w:rPr>
        <w:t xml:space="preserve"> </w:t>
      </w:r>
      <w:r w:rsidRPr="00C94C71">
        <w:rPr>
          <w:rFonts w:ascii="Times New Roman" w:eastAsia="Times New Roman" w:hAnsi="Times New Roman" w:cs="Times New Roman"/>
          <w:color w:val="000000"/>
        </w:rPr>
        <w:t>GSM119747;</w:t>
      </w:r>
      <w:r>
        <w:rPr>
          <w:rFonts w:ascii="Times New Roman" w:eastAsia="Times New Roman" w:hAnsi="Times New Roman" w:cs="Times New Roman"/>
          <w:color w:val="000000"/>
        </w:rPr>
        <w:t xml:space="preserve"> E-MEXP-1402(</w:t>
      </w:r>
      <w:r w:rsidRPr="00C94C71">
        <w:rPr>
          <w:rFonts w:ascii="Times New Roman" w:eastAsia="Times New Roman" w:hAnsi="Times New Roman" w:cs="Times New Roman"/>
          <w:color w:val="000000"/>
        </w:rPr>
        <w:t>1595297513</w:t>
      </w:r>
      <w:r>
        <w:rPr>
          <w:rFonts w:ascii="Times New Roman" w:eastAsia="Times New Roman" w:hAnsi="Times New Roman" w:cs="Times New Roman"/>
          <w:color w:val="000000"/>
        </w:rPr>
        <w:t>)</w:t>
      </w:r>
      <w:r>
        <w:rPr>
          <w:rFonts w:ascii="Times New Roman" w:hAnsi="Times New Roman" w:cs="Times New Roman"/>
        </w:rPr>
        <w:t xml:space="preserve">). Further datasets describing the effects of transfecting miR-103 in HCT116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"10.1128/MCB.02005-06", "ISBN" : "0270-7306 (Print)\\r0270-7306 (Linking)", "ISSN" : "0270-7306", "PMID" : "17242205", "abstract" : "microRNAs (miRNAs) are abundant, approximately 21-nucleotide, noncoding regulatory RNAs. Each miRNA may regulate hundreds of mRNA targets, but the identities of these targets and the processes they regulate are poorly understood. Here we have explored the use of microarray profiling and functional screening to identify targets and biological processes triggered by the transfection of human cells with miRNAs. We demonstrate that a family of miRNAs sharing sequence identity with miRNA-16 (miR-16) negatively regulates cellular growth and cell cycle progression. miR-16-down-regulated transcripts were enriched with genes whose silencing by small interfering RNAs causes an accumulation of cells in G(0)/G(1). Simultaneous silencing of these genes was more effective at blocking cell cycle progression than disruption of the individual genes. Thus, miR-16 coordinately regulates targets that may act in concert to control cell cycle progression.", "author" : [ { "dropping-particle" : "", "family" : "Linsley", "given" : "P S", "non-dropping-particle" : "", "parse-names" : false, "suffix" : "" }, { "dropping-particle" : "", "family" : "Schelter", "given" : "J", "non-dropping-particle" : "", "parse-names" : false, "suffix" : "" }, { "dropping-particle" : "", "family" : "Burchard", "given" : "J", "non-dropping-particle" : "", "parse-names" : false, "suffix" : "" }, { "dropping-particle" : "", "family" : "Kibukawa", "given" : "M", "non-dropping-particle" : "", "parse-names" : false, "suffix" : "" }, { "dropping-particle" : "", "family" : "Martin", "given" : "M M", "non-dropping-particle" : "", "parse-names" : false, "suffix" : "" }, { "dropping-particle" : "", "family" : "Bartz", "given" : "S R", "non-dropping-particle" : "", "parse-names" : false, "suffix" : "" }, { "dropping-particle" : "", "family" : "Johnson", "given" : "J M", "non-dropping-particle" : "", "parse-names" : false, "suffix" : "" }, { "dropping-particle" : "", "family" : "Cummins", "given" : "J M", "non-dropping-particle" : "", "parse-names" : false, "suffix" : "" }, { "dropping-particle" : "", "family" : "Raymond", "given" : "C K", "non-dropping-particle" : "", "parse-names" : false, "suffix" : "" }, { "dropping-particle" : "", "family" : "Dai", "given" : "H", "non-dropping-particle" : "", "parse-names" : false, "suffix" : "" }, { "dropping-particle" : "", "family" : "Chau", "given" : "N", "non-dropping-particle" : "", "parse-names" : false, "suffix" : "" }, { "dropping-particle" : "", "family" : "Cleary", "given" : "M", "non-dropping-particle" : "", "parse-names" : false, "suffix" : "" }, { "dropping-particle" : "", "family" : "Jackson", "given" : "A L", "non-dropping-particle" : "", "parse-names" : false, "suffix" : "" }, { "dropping-particle" : "", "family" : "Carleton", "given" : "M", "non-dropping-particle" : "", "parse-names" : false, "suffix" : "" }, { "dropping-particle" : "", "family" : "Lim", "given" : "L", "non-dropping-particle" : "", "parse-names" : false, "suffix" : "" } ], "container-title" : "Mol Cell Biol", "id" : "ITEM-1", "issue" : "6", "issued" : { "date-parts" : [ [ "2007" ] ] }, "page" : "2240-2252", "title" : "Transcripts targeted by the microRNA-16 family cooperatively regulate cell cycle progression", "type" : "article-journal", "volume" : "27" }, "uris" : [ "http://www.mendeley.com/documents/?uuid=68c7a083-03bb-4296-b9e3-ada66650e850", "http://www.mendeley.com/documents/?uuid=dd975292-f71e-4e11-94ad-400e703d7f67" ] } ], "mendeley" : { "formattedCitation" : "(Linsley et al., 2007)", "plainTextFormattedCitation" : "(Linsley et al., 2007)", "previouslyFormattedCitation" : "(Linsley et al., 2007)"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(Linsley et al., 2007)</w:t>
      </w:r>
      <w:r>
        <w:rPr>
          <w:rFonts w:ascii="Times New Roman" w:hAnsi="Times New Roman" w:cs="Times New Roman"/>
        </w:rPr>
        <w:fldChar w:fldCharType="end"/>
      </w:r>
      <w:r>
        <w:rPr>
          <w:rFonts w:ascii="Times New Roman" w:hAnsi="Times New Roman" w:cs="Times New Roman"/>
        </w:rPr>
        <w:t xml:space="preserve"> (</w:t>
      </w:r>
      <w:r w:rsidRPr="00D918EA">
        <w:rPr>
          <w:rFonts w:ascii="Times New Roman" w:eastAsia="Times New Roman" w:hAnsi="Times New Roman" w:cs="Times New Roman"/>
          <w:bCs/>
          <w:shd w:val="clear" w:color="auto" w:fill="CCCCCC"/>
        </w:rPr>
        <w:t>GSM156580</w:t>
      </w:r>
      <w:r>
        <w:rPr>
          <w:rFonts w:ascii="Times New Roman" w:hAnsi="Times New Roman" w:cs="Times New Roman"/>
        </w:rPr>
        <w:t xml:space="preserve">), knocking down miR-92a in HEK293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"10.1016/j.cell.2010.03.009.Transcriptome-wide", "ISBN" : "1097-4172; 0092-8674", "abstract" : "RNA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 "author" : [ { "dropping-particle" : "", "family" : "Hafner", "given" : "Markus", "non-dropping-particle" : "", "parse-names" : false, "suffix" : "" }, { "dropping-particle" : "", "family" : "Landthaler", "given" : "Markus", "non-dropping-particle" : "", "parse-names" : false, "suffix" : "" }, { "dropping-particle" : "", "family" : "Burger", "given" : "Lukas", "non-dropping-particle" : "", "parse-names" : false, "suffix" : "" }, { "dropping-particle" : "", "family" : "Khorshid", "given" : "Mohsen", "non-dropping-particle" : "", "parse-names" : false, "suffix" : "" }, { "dropping-particle" : "", "family" : "Berninger", "given" : "Philipp", "non-dropping-particle" : "", "parse-names" : false, "suffix" : "" }, { "dropping-particle" : "", "family" : "Rothballer", "given" : "Andrea", "non-dropping-particle" : "", "parse-names" : false, "suffix" : "" }, { "dropping-particle" : "", "family" : "Jr", "given" : "Manuel Ascano", "non-dropping-particle" : "", "parse-names" : false, "suffix" : "" }, { "dropping-particle" : "", "family" : "Munschauer", "given" : "Mathias", "non-dropping-particle" : "", "parse-names" : false, "suffix" : "" }, { "dropping-particle" : "", "family" : "Ulrich", "given" : "Alexander", "non-dropping-particle" : "", "parse-names" : false, "suffix" : "" }, { "dropping-particle" : "", "family" : "Wardle", "given" : "Greg S", "non-dropping-particle" : "", "parse-names" : false, "suffix" : "" }, { "dropping-particle" : "", "family" : "Dewell", "given" : "Scott", "non-dropping-particle" : "", "parse-names" : false, "suffix" : "" }, { "dropping-particle" : "", "family" : "Zavolan", "given" : "Mihaela", "non-dropping-particle" : "", "parse-names" : false, "suffix" : "" }, { "dropping-particle" : "", "family" : "Tuschl", "given" : "Thomas", "non-dropping-particle" : "", "parse-names" : false, "suffix" : "" } ], "container-title" : "Cell", "id" : "ITEM-1", "issue" : "1", "issued" : { "date-parts" : [ [ "2010" ] ] }, "page" : "129-141", "title" : "Transcriptome-wide identification of RNA-binding protein and microRNA target sites by PAR-CLIP", "type" : "article-journal", "volume" : "141" }, "uris" : [ "http://www.mendeley.com/documents/?uuid=315dc32f-3c7f-44f9-9ce4-0dfadb2a2a1b", "http://www.mendeley.com/documents/?uuid=68c6512c-277f-4335-8907-f6fe067a8801" ] } ], "mendeley" : { "formattedCitation" : "(Hafner et al., 2010)", "plainTextFormattedCitation" : "(Hafner et al., 2010)", "previouslyFormattedCitation" : "(Hafner et al., 2010)"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(Hafner et al., 2010)</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"http://www.ncbi.nlm.nih.gov/geo/query/acc.cgi?acc=GSM538818" \t "_blank" </w:instrText>
      </w:r>
      <w:r>
        <w:fldChar w:fldCharType="separate"/>
      </w:r>
      <w:r w:rsidRPr="00D918EA">
        <w:rPr>
          <w:rFonts w:ascii="Times New Roman" w:eastAsia="Times New Roman" w:hAnsi="Times New Roman" w:cs="Times New Roman"/>
          <w:bdr w:val="none" w:sz="0" w:space="0" w:color="auto" w:frame="1"/>
        </w:rPr>
        <w:t>GSM538818</w:t>
      </w:r>
      <w:r>
        <w:rPr>
          <w:rFonts w:ascii="Times New Roman" w:eastAsia="Times New Roman" w:hAnsi="Times New Roman" w:cs="Times New Roman"/>
          <w:bdr w:val="none" w:sz="0" w:space="0" w:color="auto" w:frame="1"/>
        </w:rPr>
        <w:fldChar w:fldCharType="end"/>
      </w:r>
      <w:r>
        <w:rPr>
          <w:rFonts w:ascii="Times New Roman" w:hAnsi="Times New Roman" w:cs="Times New Roman"/>
        </w:rPr>
        <w:t xml:space="preserve">), transfecting miR-7 or miR-124 in HEK293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"10.1101/gr.091181.109", "ISBN" : "1549-5469 (Electronic)\\r1088-9051 (Linking)", "ISSN" : "1549-5469 (Electronic)", "PMID" : "19767416", "author" : [ { "dropping-particle" : "", "family" : "Hausser", "given" : "Jean", "non-dropping-particle" : "", "parse-names" : false, "suffix" : "" }, { "dropping-particle" : "", "family" : "Landthaler", "given" : "Markus", "non-dropping-particle" : "", "parse-names" : false, "suffix" : "" }, { "dropping-particle" : "", "family" : "Jaskiewicz", "given" : "Lukasz", "non-dropping-particle" : "", "parse-names" : false, "suffix" : "" }, { "dropping-particle" : "", "family" : "Gaidatzis", "given" : "Dimos", "non-dropping-particle" : "", "parse-names" : false, "suffix" : "" }, { "dropping-particle" : "", "family" : "Zavolan", "given" : "Mihaela", "non-dropping-particle" : "", "parse-names" : false, "suffix" : "" } ], "container-title" : "Genome Research", "id" : "ITEM-1", "issued" : { "date-parts" : [ [ "2009" ] ] }, "page" : "2009-2020", "title" : "mRNA binding of Argonaute / EIF2C \u2212 miRNA complexes and the degradation of miRNA targets Relative contribution of sequence and structure features to the mRNA binding of Argonaute / EIF2C \u2013 miRNA complexes and the degradation of miRNA targets", "type" : "article-journal" }, "uris" : [ "http://www.mendeley.com/documents/?uuid=c2a361c8-cf5f-4f58-af5d-71dc1a3280aa", "http://www.mendeley.com/documents/?uuid=9fe0d51c-5c56-4607-8750-780cbd5e128a" ] } ], "mendeley" : { "formattedCitation" : "(Hausser, Landthaler, Jaskiewicz, Gaidatzis, &amp; Zavolan, 2009)", "plainTextFormattedCitation" : "(Hausser, Landthaler, Jaskiewicz, Gaidatzis, &amp; Zavolan, 2009)", "previouslyFormattedCitation" : "(Hausser, Landthaler, Jaskiewicz, Gaidatzis, &amp; Zavolan, 2009)"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(Hausser, Landthaler, Jaskiewicz, Gaidatzis, &amp; Zavolan, 2009)</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"http://www.ncbi.nlm.nih.gov/geo/query/acc.cgi?acc=GSM363763" \t "_blank" </w:instrText>
      </w:r>
      <w:r>
        <w:fldChar w:fldCharType="separate"/>
      </w:r>
      <w:r w:rsidRPr="00D918EA">
        <w:rPr>
          <w:rFonts w:ascii="Times New Roman" w:eastAsia="Times New Roman" w:hAnsi="Times New Roman" w:cs="Times New Roman"/>
          <w:bdr w:val="none" w:sz="0" w:space="0" w:color="auto" w:frame="1"/>
        </w:rPr>
        <w:t>GSM363763</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p>
    <w:p w14:paraId="4C0EBB48" w14:textId="77777777" w:rsidR="00115DA0" w:rsidRDefault="00565ECF" w:rsidP="00115DA0">
      <w:pPr>
        <w:widowControl w:val="0"/>
        <w:autoSpaceDE w:val="0"/>
        <w:autoSpaceDN w:val="0"/>
        <w:adjustRightInd w:val="0"/>
        <w:spacing w:line="480" w:lineRule="auto"/>
        <w:rPr>
          <w:rFonts w:ascii="Times New Roman" w:hAnsi="Times New Roman" w:cs="Times New Roman"/>
        </w:rPr>
      </w:pPr>
      <w:r>
        <w:fldChar w:fldCharType="begin"/>
      </w:r>
      <w:r>
        <w:instrText xml:space="preserve"> HYPERLINK "http://www.ncbi.nlm.nih.gov/geo/query/acc.cgi?acc=GSM363766" \t "_blank" </w:instrText>
      </w:r>
      <w:r>
        <w:fldChar w:fldCharType="separate"/>
      </w:r>
      <w:r w:rsidRPr="00D918EA">
        <w:rPr>
          <w:rFonts w:ascii="Times New Roman" w:eastAsia="Times New Roman" w:hAnsi="Times New Roman" w:cs="Times New Roman"/>
          <w:bdr w:val="none" w:sz="0" w:space="0" w:color="auto" w:frame="1"/>
        </w:rPr>
        <w:t>GSM363766</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"http://www.ncbi.nlm.nih.gov/geo/query/acc.cgi?acc=GSM363769" \t "_blank" </w:instrText>
      </w:r>
      <w:r>
        <w:fldChar w:fldCharType="separate"/>
      </w:r>
      <w:r w:rsidRPr="00D918EA">
        <w:rPr>
          <w:rFonts w:ascii="Times New Roman" w:eastAsia="Times New Roman" w:hAnsi="Times New Roman" w:cs="Times New Roman"/>
          <w:bdr w:val="none" w:sz="0" w:space="0" w:color="auto" w:frame="1"/>
        </w:rPr>
        <w:t>GSM363769</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"http://www.ncbi.nlm.nih.gov/geo/query/acc.cgi?acc=GSM363772" \t "_blank" </w:instrText>
      </w:r>
      <w:r>
        <w:fldChar w:fldCharType="separate"/>
      </w:r>
      <w:r w:rsidRPr="00D918EA">
        <w:rPr>
          <w:rFonts w:ascii="Times New Roman" w:eastAsia="Times New Roman" w:hAnsi="Times New Roman" w:cs="Times New Roman"/>
          <w:bdr w:val="none" w:sz="0" w:space="0" w:color="auto" w:frame="1"/>
        </w:rPr>
        <w:t>GSM363772</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"http://www.ncbi.nlm.nih.gov/geo/query/acc.cgi?acc=GSM363775" \t "_blank" </w:instrText>
      </w:r>
      <w:r>
        <w:fldChar w:fldCharType="separate"/>
      </w:r>
      <w:r w:rsidRPr="00D918EA">
        <w:rPr>
          <w:rFonts w:ascii="Times New Roman" w:eastAsia="Times New Roman" w:hAnsi="Times New Roman" w:cs="Times New Roman"/>
          <w:bdr w:val="none" w:sz="0" w:space="0" w:color="auto" w:frame="1"/>
        </w:rPr>
        <w:t>GSM363775</w:t>
      </w:r>
      <w:r>
        <w:rPr>
          <w:rFonts w:ascii="Times New Roman" w:eastAsia="Times New Roman" w:hAnsi="Times New Roman" w:cs="Times New Roman"/>
          <w:bdr w:val="none" w:sz="0" w:space="0" w:color="auto" w:frame="1"/>
        </w:rPr>
        <w:fldChar w:fldCharType="end"/>
      </w:r>
      <w:r>
        <w:rPr>
          <w:rFonts w:ascii="Times New Roman" w:eastAsia="Times New Roman" w:hAnsi="Times New Roman" w:cs="Times New Roman"/>
          <w:shd w:val="clear" w:color="auto" w:fill="FFFEEE"/>
        </w:rPr>
        <w:t>,</w:t>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"http://www.ncbi.nlm.nih.gov/geo/query/acc.cgi?acc=GSM363778" \t "_blank" </w:instrText>
      </w:r>
      <w:r>
        <w:fldChar w:fldCharType="separate"/>
      </w:r>
      <w:r w:rsidRPr="00D918EA">
        <w:rPr>
          <w:rFonts w:ascii="Times New Roman" w:eastAsia="Times New Roman" w:hAnsi="Times New Roman" w:cs="Times New Roman"/>
          <w:bdr w:val="none" w:sz="0" w:space="0" w:color="auto" w:frame="1"/>
        </w:rPr>
        <w:t>GSM363778</w:t>
      </w:r>
      <w:r>
        <w:rPr>
          <w:rFonts w:ascii="Times New Roman" w:eastAsia="Times New Roman" w:hAnsi="Times New Roman" w:cs="Times New Roman"/>
          <w:bdr w:val="none" w:sz="0" w:space="0" w:color="auto" w:frame="1"/>
        </w:rPr>
        <w:fldChar w:fldCharType="end"/>
      </w:r>
      <w:r>
        <w:rPr>
          <w:rFonts w:ascii="Times New Roman" w:hAnsi="Times New Roman" w:cs="Times New Roman"/>
        </w:rPr>
        <w:t xml:space="preserve">), or of knocking out miR-155 in mouse B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"10.1016/j.molcel.2014.08.028", "ISSN" : "1097-4164", "PMID" : "25263593", "abstract" : "MicroRNAs (miRNAs) regulate target mRNAs through a combination of translational repression and mRNA destabilization, with mRNA destabilization dominating at steady state in the few contexts examined globally. Here, we extend the global steady-state measurements to additional mammalian contexts and find that regardless of the miRNA, cell type, growth condition, or translational state, mRNA destabilization explains most (66%-&gt;90%) miRNA-mediated repression. We also determine the relative dynamics of translational repression and mRNA destabilization for endogenous mRNAs as a miRNA is induced. Although translational repression occurs rapidly, its effect is relatively weak, such that by the time consequential repression ensues, the effect of mRNA destabilization dominates. These results imply that consequential miRNA-mediated repression is largely irreversible and provide other insights into the nature of miRNA-mediated regulation. They also simplify future studies, dramatically extending the known contexts and time points for which monitoring mRNA changes captures most of the direct miRNA effects.", "author" : [ { "dropping-particle" : "", "family" : "Eichhorn", "given" : "Stephen W", "non-dropping-particle" : "", "parse-names" : false, "suffix" : "" }, { "dropping-particle" : "", "family" : "Guo", "given" : "Huili", "non-dropping-particle" : "", "parse-names" : false, "suffix" : "" }, { "dropping-particle" : "", "family" : "McGeary", "given" : "Sean E", "non-dropping-particle" : "", "parse-names" : false, "suffix" : "" }, { "dropping-particle" : "", "family" : "Rodriguez-Mias", "given" : "Ricard a", "non-dropping-particle" : "", "parse-names" : false, "suffix" : "" }, { "dropping-particle" : "", "family" : "Shin", "given" : "Chanseok", "non-dropping-particle" : "", "parse-names" : false, "suffix" : "" }, { "dropping-particle" : "", "family" : "Baek", "given" : "Daehyun", "non-dropping-particle" : "", "parse-names" : false, "suffix" : "" }, { "dropping-particle" : "", "family" : "Hsu", "given" : "Shu-Hao", "non-dropping-particle" : "", "parse-names" : false, "suffix" : "" }, { "dropping-particle" : "", "family" : "Ghoshal", "given" : "Kalpana", "non-dropping-particle" : "", "parse-names" : false, "suffix" : "" }, { "dropping-particle" : "", "family" : "Vill\u00e9n", "given" : "Judit", "non-dropping-particle" : "", "parse-names" : false, "suffix" : "" }, { "dropping-particle" : "", "family" : "Bartel", "given" : "David P", "non-dropping-particle" : "", "parse-names" : false, "suffix" : "" } ], "container-title" : "Molecular cell", "id" : "ITEM-1", "issued" : { "date-parts" : [ [ "2014", "9", "24" ] ] }, "title" : "mRNA Destabilization Is the Dominant Effect of Mammalian MicroRNAs by the Time Substantial Repression Ensues.", "type" : "article-journal" }, "uris" : [ "http://www.mendeley.com/documents/?uuid=da37de2c-f27b-4a21-977b-c970c925f892" ] } ], "mendeley" : { "formattedCitation" : "(Eichhorn et al., 2014)", "plainTextFormattedCitation" : "(Eichhorn et al., 2014)", "previouslyFormattedCitation" : "(Eichhorn et al., 2014)"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(Eichhorn et al., 2014)</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"http://www.ncbi.nlm.nih.gov/geo/query/acc.cgi?acc=GSM1479572" \t "_blank" </w:instrText>
      </w:r>
      <w:r>
        <w:fldChar w:fldCharType="separate"/>
      </w:r>
      <w:r w:rsidRPr="00D918EA">
        <w:rPr>
          <w:rFonts w:ascii="Times New Roman" w:eastAsia="Times New Roman" w:hAnsi="Times New Roman" w:cs="Times New Roman"/>
          <w:bdr w:val="none" w:sz="0" w:space="0" w:color="auto" w:frame="1"/>
        </w:rPr>
        <w:t>GSM1479572</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"http://www.ncbi.nlm.nih.gov/geo/query/acc.cgi?acc=GSM1479576" \t "_blank" </w:instrText>
      </w:r>
      <w:r>
        <w:fldChar w:fldCharType="separate"/>
      </w:r>
      <w:r w:rsidRPr="00D918EA">
        <w:rPr>
          <w:rFonts w:ascii="Times New Roman" w:eastAsia="Times New Roman" w:hAnsi="Times New Roman" w:cs="Times New Roman"/>
          <w:bdr w:val="none" w:sz="0" w:space="0" w:color="auto" w:frame="1"/>
        </w:rPr>
        <w:t>GSM1479576</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"http://www.ncbi.nlm.nih.gov/geo/query/acc.cgi?acc=GSM1479580" \t "_blank" </w:instrText>
      </w:r>
      <w:r>
        <w:fldChar w:fldCharType="separate"/>
      </w:r>
      <w:r w:rsidRPr="00D918EA">
        <w:rPr>
          <w:rFonts w:ascii="Times New Roman" w:eastAsia="Times New Roman" w:hAnsi="Times New Roman" w:cs="Times New Roman"/>
          <w:bdr w:val="none" w:sz="0" w:space="0" w:color="auto" w:frame="1"/>
        </w:rPr>
        <w:t>GSM1479580</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"http://www.ncbi.nlm.nih.gov/geo/query/acc.cgi?acc=GSM1479584" \t "_blank" </w:instrText>
      </w:r>
      <w:r>
        <w:fldChar w:fldCharType="separate"/>
      </w:r>
      <w:r w:rsidRPr="00D918EA">
        <w:rPr>
          <w:rFonts w:ascii="Times New Roman" w:eastAsia="Times New Roman" w:hAnsi="Times New Roman" w:cs="Times New Roman"/>
          <w:bdr w:val="none" w:sz="0" w:space="0" w:color="auto" w:frame="1"/>
        </w:rPr>
        <w:t>GSM1479584</w:t>
      </w:r>
      <w:r>
        <w:rPr>
          <w:rFonts w:ascii="Times New Roman" w:eastAsia="Times New Roman" w:hAnsi="Times New Roman" w:cs="Times New Roman"/>
          <w:bdr w:val="none" w:sz="0" w:space="0" w:color="auto" w:frame="1"/>
        </w:rPr>
        <w:fldChar w:fldCharType="end"/>
      </w:r>
      <w:r>
        <w:rPr>
          <w:rFonts w:ascii="Times New Roman" w:hAnsi="Times New Roman" w:cs="Times New Roman"/>
        </w:rPr>
        <w:t xml:space="preserve">), T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"http://dx.doi.org/10.1016/j.molcel.2012.10.002", "ISSN" : "1097-2765", "abstract" : "Summary MicroRNAs (miRNAs) are essential components of gene regulation, but identification of miRNA targets remains a major challenge. Most target prediction and discovery relies on perfect complementarity of the miRNA seed to the 3\u2032 untranslated region (UTR). However, it is unclear to what extent miRNAs target sites without seed matches. Here, we performed\u00a0a transcriptome-wide identification of the endogenous targets of a single miRNA\u2014miR-155\u2014in a genetically controlled manner. We found that approximately 40% of miR-155-dependent Argonaute binding occurs at sites without perfect seed matches. The majority of these noncanonical sites feature extensive complementarity to the miRNA seed with one mismatch. These noncanonical sites confer regulation of gene expression, albeit less potently than canonical sites. Thus, noncanonical miRNA binding sites are widespread, often contain seed-like motifs, and can regulate gene expression, generating\u00a0a continuum of targeting and regulation. ", "author" : [ { "dropping-particle" : "", "family" : "Loeb", "given" : "Gabriel B", "non-dropping-particle" : "", "parse-names" : false, "suffix" : "" }, { "dropping-particle" : "", "family" : "Khan", "given" : "Aly A", "non-dropping-particle" : "", "parse-names" : false, "suffix" : "" }, { "dropping-particle" : "", "family" : "Canner", "given" : "David", "non-dropping-particle" : "", "parse-names" : false, "suffix" : "" }, { "dropping-particle" : "", "family" : "Hiatt", "given" : "Joseph B", "non-dropping-particle" : "", "parse-names" : false, "suffix" : "" }, { "dropping-particle" : "", "family" : "Shendure", "given" : "Jay", "non-dropping-particle" : "", "parse-names" : false, "suffix" : "" }, { "dropping-particle" : "", "family" : "Darnell", "given" : "Robert B", "non-dropping-particle" : "", "parse-names" : false, "suffix" : "" }, { "dropping-particle" : "", "family" : "Leslie", "given" : "Christina S", "non-dropping-particle" : "", "parse-names" : false, "suffix" : "" }, { "dropping-particle" : "", "family" : "Rudensky", "given" : "Alexander Y", "non-dropping-particle" : "", "parse-names" : false, "suffix" : "" } ], "container-title" : "Molecular Cell", "id" : "ITEM-1", "issue" : "5", "issued" : { "date-parts" : [ [ "2012" ] ] }, "page" : "760-770", "title" : "Transcriptome-wide miR-155 Binding Map Reveals Widespread Noncanonical MicroRNA Targeting", "type" : "article-journal", "volume" : "48" }, "uris" : [ "http://www.mendeley.com/documents/?uuid=228d7947-2597-4f16-8386-32de2ca20d66", "http://www.mendeley.com/documents/?uuid=56569044-1cf2-490f-b523-7c5f5a804e8b" ] } ], "mendeley" : { "formattedCitation" : "(Loeb et al., 2012)", "plainTextFormattedCitation" : "(Loeb et al., 2012)", "previouslyFormattedCitation" : "(Loeb et al., 2012)"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(Loeb et al., 2012)</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"http://www.ncbi.nlm.nih.gov/geo/query/acc.cgi?acc=GSM1012118" \t "_blank" </w:instrText>
      </w:r>
      <w:r>
        <w:fldChar w:fldCharType="separate"/>
      </w:r>
      <w:r w:rsidRPr="00D918EA">
        <w:rPr>
          <w:rFonts w:ascii="Times New Roman" w:eastAsia="Times New Roman" w:hAnsi="Times New Roman" w:cs="Times New Roman"/>
          <w:bdr w:val="none" w:sz="0" w:space="0" w:color="auto" w:frame="1"/>
        </w:rPr>
        <w:t>GSM1012118</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"http://www.ncbi.nlm.nih.gov/geo/query/acc.cgi?acc=GSM1012119" \t "_blank" </w:instrText>
      </w:r>
      <w:r>
        <w:fldChar w:fldCharType="separate"/>
      </w:r>
      <w:r w:rsidRPr="00D918EA">
        <w:rPr>
          <w:rFonts w:ascii="Times New Roman" w:eastAsia="Times New Roman" w:hAnsi="Times New Roman" w:cs="Times New Roman"/>
          <w:bdr w:val="none" w:sz="0" w:space="0" w:color="auto" w:frame="1"/>
        </w:rPr>
        <w:t>GSM1012119</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"http://www.ncbi.nlm.nih.gov/geo/query/acc.cgi?acc=GSM1012120" \t "_blank" </w:instrText>
      </w:r>
      <w:r>
        <w:fldChar w:fldCharType="separate"/>
      </w:r>
      <w:r w:rsidRPr="00D918EA">
        <w:rPr>
          <w:rFonts w:ascii="Times New Roman" w:eastAsia="Times New Roman" w:hAnsi="Times New Roman" w:cs="Times New Roman"/>
          <w:bdr w:val="none" w:sz="0" w:space="0" w:color="auto" w:frame="1"/>
        </w:rPr>
        <w:t>GSM1012120</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"http://www.ncbi.nlm.nih.gov/geo/query/acc.cgi?acc=GSM1012121" \t "_blank" </w:instrText>
      </w:r>
      <w:r>
        <w:fldChar w:fldCharType="separate"/>
      </w:r>
      <w:r w:rsidRPr="00D918EA">
        <w:rPr>
          <w:rFonts w:ascii="Times New Roman" w:eastAsia="Times New Roman" w:hAnsi="Times New Roman" w:cs="Times New Roman"/>
          <w:bdr w:val="none" w:sz="0" w:space="0" w:color="auto" w:frame="1"/>
        </w:rPr>
        <w:t>GSM1012121</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"http://www.ncbi.nlm.nih.gov/geo/query/acc.cgi?acc=GSM1012122" \t "_blank" </w:instrText>
      </w:r>
      <w:r>
        <w:fldChar w:fldCharType="separate"/>
      </w:r>
      <w:r w:rsidRPr="00D918EA">
        <w:rPr>
          <w:rFonts w:ascii="Times New Roman" w:eastAsia="Times New Roman" w:hAnsi="Times New Roman" w:cs="Times New Roman"/>
          <w:bdr w:val="none" w:sz="0" w:space="0" w:color="auto" w:frame="1"/>
        </w:rPr>
        <w:t>GSM1012122</w:t>
      </w:r>
      <w:r>
        <w:rPr>
          <w:rFonts w:ascii="Times New Roman" w:eastAsia="Times New Roman" w:hAnsi="Times New Roman" w:cs="Times New Roman"/>
          <w:bdr w:val="none" w:sz="0" w:space="0" w:color="auto" w:frame="1"/>
        </w:rPr>
        <w:fldChar w:fldCharType="end"/>
      </w:r>
      <w:r w:rsidRPr="00D918EA">
        <w:rPr>
          <w:rFonts w:ascii="Times New Roman" w:eastAsia="Times New Roman" w:hAnsi="Times New Roman" w:cs="Times New Roman"/>
          <w:shd w:val="clear" w:color="auto" w:fill="FFFEEE"/>
        </w:rPr>
        <w:t>, </w:t>
      </w:r>
      <w:r>
        <w:fldChar w:fldCharType="begin"/>
      </w:r>
      <w:r>
        <w:instrText xml:space="preserve"> HYPERLINK "http://www.ncbi.nlm.nih.gov/geo/query/acc.cgi?acc=GSM1012123" \t "_blank" </w:instrText>
      </w:r>
      <w:r>
        <w:fldChar w:fldCharType="separate"/>
      </w:r>
      <w:r w:rsidRPr="00D918EA">
        <w:rPr>
          <w:rFonts w:ascii="Times New Roman" w:eastAsia="Times New Roman" w:hAnsi="Times New Roman" w:cs="Times New Roman"/>
          <w:bdr w:val="none" w:sz="0" w:space="0" w:color="auto" w:frame="1"/>
        </w:rPr>
        <w:t>GSM1012123</w:t>
      </w:r>
      <w:r>
        <w:rPr>
          <w:rFonts w:ascii="Times New Roman" w:eastAsia="Times New Roman" w:hAnsi="Times New Roman" w:cs="Times New Roman"/>
          <w:bdr w:val="none" w:sz="0" w:space="0" w:color="auto" w:frame="1"/>
        </w:rPr>
        <w:fldChar w:fldCharType="end"/>
      </w:r>
      <w:r>
        <w:rPr>
          <w:rFonts w:ascii="Times New Roman" w:hAnsi="Times New Roman" w:cs="Times New Roman"/>
        </w:rPr>
        <w:t xml:space="preserve">), or Th1 and Th2 cells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"10.1126/science.1139253", "author" : [ { "dropping-particle" : "", "family" : "Rodriguez", "given" : "Antony", "non-dropping-particle" : "", "parse-names" : false, "suffix" : "" }, { "dropping-particle" : "", "family" : "Vigorito", "given" : "Elena", "non-dropping-particle" : "", "parse-names" : false, "suffix" : "" }, { "dropping-particle" : "", "family" : "Clare", "given" : "Simon", "non-dropping-particle" : "", "parse-names" : false, "suffix" : "" }, { "dropping-particle" : "V", "family" : "Warren", "given" : "Madhuri", "non-dropping-particle" : "", "parse-names" : false, "suffix" : "" }, { "dropping-particle" : "", "family" : "Couttet", "given" : "Philippe", "non-dropping-particle" : "", "parse-names" : false, "suffix" : "" }, { "dropping-particle" : "", "family" : "Soond", "given" : "Dalya R", "non-dropping-particle" : "", "parse-names" : false, "suffix" : "" }, { "dropping-particle" : "Van", "family" : "Dongen", "given" : "Stijn", "non-dropping-particle" : "", "parse-names" : false, "suffix" : "" }, { "dropping-particle" : "", "family" : "Grocock", "given" : "Russell J", "non-dropping-particle" : "", "parse-names" : false, "suffix" : "" }, { "dropping-particle" : "", "family" : "Das", "given" : "Partha P", "non-dropping-particle" : "", "parse-names" : false, "suffix" : "" }, { "dropping-particle" : "", "family" : "Miska", "given" : "Eric A", "non-dropping-particle" : "", "parse-names" : false, "suffix" : "" }, { "dropping-particle" : "", "family" : "Vetrie", "given" : "David", "non-dropping-particle" : "", "parse-names" : false, "suffix" : "" }, { "dropping-particle" : "", "family" : "Okkenhaug", "given" : "Klaus", "non-dropping-particle" : "", "parse-names" : false, "suffix" : "" }, { "dropping-particle" : "", "family" : "Enright", "given" : "Anton J", "non-dropping-particle" : "", "parse-names" : false, "suffix" : "" }, { "dropping-particle" : "", "family" : "Dougan", "given" : "Gordon", "non-dropping-particle" : "", "parse-names" : false, "suffix" : "" }, { "dropping-particle" : "", "family" : "Turner", "given" : "Martin", "non-dropping-particle" : "", "parse-names" : false, "suffix" : "" }, { "dropping-particle" : "", "family" : "Bradley", "given" : "Allan", "non-dropping-particle" : "", "parse-names" : false, "suffix" : "" } ], "container-title" : "Science", "id" : "ITEM-1", "issue" : "April", "issued" : { "date-parts" : [ [ "2007" ] ] }, "page" : "608-611", "title" : "Requirement of bic/microRNA-155 for normal immune function", "type" : "article-journal", "volume" : "981" }, "uris" : [ "http://www.mendeley.com/documents/?uuid=29910213-103b-4f3a-9808-15fbde91d259", "http://www.mendeley.com/documents/?uuid=1323521c-5b14-4871-b89e-db37496a898f" ] } ], "mendeley" : { "formattedCitation" : "(Rodriguez et al., 2007)", "plainTextFormattedCitation" : "(Rodriguez et al., 2007)", "previouslyFormattedCitation" : "(Rodriguez et al., 2007)"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(Rodriguez et al., 2007)</w:t>
      </w:r>
      <w:r>
        <w:rPr>
          <w:rFonts w:ascii="Times New Roman" w:hAnsi="Times New Roman" w:cs="Times New Roman"/>
        </w:rPr>
        <w:fldChar w:fldCharType="end"/>
      </w:r>
      <w:r>
        <w:rPr>
          <w:rFonts w:ascii="Times New Roman" w:hAnsi="Times New Roman" w:cs="Times New Roman"/>
        </w:rPr>
        <w:t xml:space="preserve"> (</w:t>
      </w:r>
      <w:r w:rsidRPr="00D918EA">
        <w:rPr>
          <w:rFonts w:ascii="Times New Roman" w:hAnsi="Times New Roman" w:cs="Times New Roman"/>
        </w:rPr>
        <w:t>E-TABM-232</w:t>
      </w:r>
      <w:r>
        <w:rPr>
          <w:rFonts w:ascii="Times New Roman" w:hAnsi="Times New Roman" w:cs="Times New Roman"/>
        </w:rPr>
        <w:t xml:space="preserve">), processed as described in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"10.7554/eLife.05005", "author" : [ { "dropping-particle" : "", "family" : "Agarwal", "given" : "Vikram", "non-dropping-particle" : "", "parse-names" : false, "suffix" : "" }, { "dropping-particle" : "", "family" : "Bell", "given" : "George W", "non-dropping-particle" : "", "parse-names" : false, "suffix" : "" }, { "dropping-particle" : "", "family" : "Nam", "given" : "Jin-wu", "non-dropping-particle" : "", "parse-names" : false, "suffix" : "" }, { "dropping-particle" : "", "family" : "Bartel", "given" : "David P", "non-dropping-particle" : "", "parse-names" : false, "suffix" : "" } ], "container-title" : "eLife", "id" : "ITEM-1", "issued" : { "date-parts" : [ [ "2015" ] ] }, "page" : "e05005", "title" : "Predicting effective microRNA target sites in mammalian mRNAs", "type" : "article-journal", "volume" : "4" }, "uris" : [ "http://www.mendeley.com/documents/?uuid=3f2c57a3-ae66-49a2-9007-50bf904eb1d8" ] } ], "mendeley" : { "formattedCitation" : "(Agarwal et al., 2015)", "plainTextFormattedCitation" : "(Agarwal et al., 2015)", "previouslyFormattedCitation" : "(Agarwal et al., 2015)"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(Agarwal et al., 2015)</w:t>
      </w:r>
      <w:r>
        <w:rPr>
          <w:rFonts w:ascii="Times New Roman" w:hAnsi="Times New Roman" w:cs="Times New Roman"/>
        </w:rPr>
        <w:fldChar w:fldCharType="end"/>
      </w:r>
      <w:r>
        <w:rPr>
          <w:rFonts w:ascii="Times New Roman" w:hAnsi="Times New Roman" w:cs="Times New Roman"/>
        </w:rPr>
        <w:t xml:space="preserve">, were provided by V. </w:t>
      </w:r>
      <w:proofErr w:type="spellStart"/>
      <w:r>
        <w:rPr>
          <w:rFonts w:ascii="Times New Roman" w:hAnsi="Times New Roman" w:cs="Times New Roman"/>
        </w:rPr>
        <w:t>Agarwal</w:t>
      </w:r>
      <w:proofErr w:type="spellEnd"/>
      <w:r>
        <w:rPr>
          <w:rFonts w:ascii="Times New Roman" w:hAnsi="Times New Roman" w:cs="Times New Roman"/>
        </w:rPr>
        <w:t xml:space="preserve">. Targets for the PAR-CLIP study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"10.1016/j.cell.2010.03.009.Transcriptome-wide", "ISBN" : "1097-4172; 0092-8674", "abstract" : "RNA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 "author" : [ { "dropping-particle" : "", "family" : "Hafner", "given" : "Markus", "non-dropping-particle" : "", "parse-names" : false, "suffix" : "" }, { "dropping-particle" : "", "family" : "Landthaler", "given" : "Markus", "non-dropping-particle" : "", "parse-names" : false, "suffix" : "" }, { "dropping-particle" : "", "family" : "Burger", "given" : "Lukas", "non-dropping-particle" : "", "parse-names" : false, "suffix" : "" }, { "dropping-particle" : "", "family" : "Khorshid", "given" : "Mohsen", "non-dropping-particle" : "", "parse-names" : false, "suffix" : "" }, { "dropping-particle" : "", "family" : "Berninger", "given" : "Philipp", "non-dropping-particle" : "", "parse-names" : false, "suffix" : "" }, { "dropping-particle" : "", "family" : "Rothballer", "given" : "Andrea", "non-dropping-particle" : "", "parse-names" : false, "suffix" : "" }, { "dropping-particle" : "", "family" : "Jr", "given" : "Manuel Ascano", "non-dropping-particle" : "", "parse-names" : false, "suffix" : "" }, { "dropping-particle" : "", "family" : "Munschauer", "given" : "Mathias", "non-dropping-particle" : "", "parse-names" : false, "suffix" : "" }, { "dropping-particle" : "", "family" : "Ulrich", "given" : "Alexander", "non-dropping-particle" : "", "parse-names" : false, "suffix" : "" }, { "dropping-particle" : "", "family" : "Wardle", "given" : "Greg S", "non-dropping-particle" : "", "parse-names" : false, "suffix" : "" }, { "dropping-particle" : "", "family" : "Dewell", "given" : "Scott", "non-dropping-particle" : "", "parse-names" : false, "suffix" : "" }, { "dropping-particle" : "", "family" : "Zavolan", "given" : "Mihaela", "non-dropping-particle" : "", "parse-names" : false, "suffix" : "" }, { "dropping-particle" : "", "family" : "Tuschl", "given" : "Thomas", "non-dropping-particle" : "", "parse-names" : false, "suffix" : "" } ], "container-title" : "Cell", "id" : "ITEM-1", "issue" : "1", "issued" : { "date-parts" : [ [ "2010" ] ] }, "page" : "129-141", "title" : "Transcriptome-wide identification of RNA-binding protein and microRNA target sites by PAR-CLIP", "type" : "article-journal", "volume" : "141" }, "uris" : [ "http://www.mendeley.com/documents/?uuid=68c6512c-277f-4335-8907-f6fe067a8801", "http://www.mendeley.com/documents/?uuid=315dc32f-3c7f-44f9-9ce4-0dfadb2a2a1b" ] } ], "mendeley" : { "formattedCitation" : "(Hafner et al., 2010)", "plainTextFormattedCitation" : "(Hafner et al., 2010)", "previouslyFormattedCitation" : "(Hafner et al., 2010)" }, "properties" : { "noteIndex" : 0 }, "schema" : "https://github.com/citation-style-language/schema/raw/master/csl-citation.json" }</w:instrText>
      </w:r>
      <w:r>
        <w:rPr>
          <w:rFonts w:ascii="Times New Roman" w:hAnsi="Times New Roman" w:cs="Times New Roman"/>
        </w:rPr>
        <w:fldChar w:fldCharType="separate"/>
      </w:r>
      <w:r w:rsidRPr="006E0FFE">
        <w:rPr>
          <w:rFonts w:ascii="Times New Roman" w:hAnsi="Times New Roman" w:cs="Times New Roman"/>
          <w:noProof/>
        </w:rPr>
        <w:t>(Hafner et al., 2010)</w:t>
      </w:r>
      <w:r>
        <w:rPr>
          <w:rFonts w:ascii="Times New Roman" w:hAnsi="Times New Roman" w:cs="Times New Roman"/>
        </w:rPr>
        <w:fldChar w:fldCharType="end"/>
      </w:r>
      <w:r>
        <w:rPr>
          <w:rFonts w:ascii="Times New Roman" w:hAnsi="Times New Roman" w:cs="Times New Roman"/>
        </w:rPr>
        <w:t xml:space="preserve"> were inferred from an online resource of HEK293 clusters observed after transfection of either miR-124 (</w:t>
      </w:r>
      <w:r>
        <w:fldChar w:fldCharType="begin"/>
      </w:r>
      <w:r>
        <w:instrText xml:space="preserve"> HYPERLINK "http://www.mirz.unibas.ch/restricted/clipdata/RESULTS/miR124_TRANSFECTION/miR124_TRANSFECTION.html" \t "_blank" </w:instrText>
      </w:r>
      <w:r>
        <w:fldChar w:fldCharType="separate"/>
      </w:r>
      <w:r w:rsidRPr="00E72C7B">
        <w:rPr>
          <w:rFonts w:ascii="Times New Roman" w:eastAsia="Times New Roman" w:hAnsi="Times New Roman" w:cs="Times New Roman"/>
          <w:bdr w:val="none" w:sz="0" w:space="0" w:color="auto" w:frame="1"/>
          <w:shd w:val="clear" w:color="auto" w:fill="FFFFFF"/>
        </w:rPr>
        <w:t>http://www.mirz.unibas.ch/restricted/clipdata/RESULTS/miR124_TRANSFECTION/miR124_TRANSFECTION.html</w:t>
      </w:r>
      <w:r>
        <w:rPr>
          <w:rFonts w:ascii="Times New Roman" w:eastAsia="Times New Roman" w:hAnsi="Times New Roman" w:cs="Times New Roman"/>
          <w:bdr w:val="none" w:sz="0" w:space="0" w:color="auto" w:frame="1"/>
          <w:shd w:val="clear" w:color="auto" w:fill="FFFFFF"/>
        </w:rPr>
        <w:fldChar w:fldCharType="end"/>
      </w:r>
      <w:r>
        <w:rPr>
          <w:rFonts w:ascii="Times New Roman" w:hAnsi="Times New Roman" w:cs="Times New Roman"/>
        </w:rPr>
        <w:t>) or miR-7 (</w:t>
      </w:r>
      <w:r>
        <w:fldChar w:fldCharType="begin"/>
      </w:r>
      <w:r>
        <w:instrText xml:space="preserve"> HYPERLINK "http://www.mirz.unibas.ch/restricted/clipdata/RESULTS/miR7_TRANSFECTION/miR7_TRANSFECTION.html" \t "_blank" </w:instrText>
      </w:r>
      <w:r>
        <w:fldChar w:fldCharType="separate"/>
      </w:r>
      <w:r w:rsidRPr="00E72C7B">
        <w:rPr>
          <w:rFonts w:ascii="Times New Roman" w:eastAsia="Times New Roman" w:hAnsi="Times New Roman" w:cs="Times New Roman"/>
          <w:bdr w:val="none" w:sz="0" w:space="0" w:color="auto" w:frame="1"/>
          <w:shd w:val="clear" w:color="auto" w:fill="FFFFFF"/>
        </w:rPr>
        <w:t>http://www.mirz.unibas.ch/restricted/clipdata/RESULTS/miR7_TRANSFECTION/miR7_TRANSFECTION.html</w:t>
      </w:r>
      <w:r>
        <w:rPr>
          <w:rFonts w:ascii="Times New Roman" w:eastAsia="Times New Roman" w:hAnsi="Times New Roman" w:cs="Times New Roman"/>
          <w:bdr w:val="none" w:sz="0" w:space="0" w:color="auto" w:frame="1"/>
          <w:shd w:val="clear" w:color="auto" w:fill="FFFFFF"/>
        </w:rPr>
        <w:fldChar w:fldCharType="end"/>
      </w:r>
      <w:r>
        <w:rPr>
          <w:rFonts w:ascii="Times New Roman" w:hAnsi="Times New Roman" w:cs="Times New Roman"/>
        </w:rPr>
        <w:t>).</w:t>
      </w:r>
    </w:p>
    <w:p w14:paraId="012A2121" w14:textId="77777777" w:rsidR="00435AB8" w:rsidRDefault="00435AB8" w:rsidP="00115DA0">
      <w:pPr>
        <w:widowControl w:val="0"/>
        <w:autoSpaceDE w:val="0"/>
        <w:autoSpaceDN w:val="0"/>
        <w:adjustRightInd w:val="0"/>
        <w:spacing w:line="480" w:lineRule="auto"/>
        <w:rPr>
          <w:rFonts w:ascii="Times New Roman" w:hAnsi="Times New Roman" w:cs="Times New Roman"/>
        </w:rPr>
      </w:pPr>
    </w:p>
    <w:p w14:paraId="4F292286" w14:textId="77777777" w:rsidR="00435AB8" w:rsidRDefault="00435AB8" w:rsidP="00435AB8">
      <w:pPr>
        <w:spacing w:line="480" w:lineRule="auto"/>
        <w:rPr>
          <w:rFonts w:ascii="Times New Roman" w:hAnsi="Times New Roman" w:cs="Times New Roman"/>
        </w:rPr>
      </w:pPr>
      <w:r>
        <w:rPr>
          <w:rFonts w:ascii="Times New Roman" w:hAnsi="Times New Roman" w:cs="Times New Roman"/>
          <w:b/>
        </w:rPr>
        <w:t>Assessing Z-linked dosage compensation using cross-species RNA-sequencing data</w:t>
      </w:r>
    </w:p>
    <w:p w14:paraId="1A4C13E6" w14:textId="4C3E88B3" w:rsidR="00435AB8" w:rsidRDefault="00435AB8" w:rsidP="00435AB8">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Raw </w:t>
      </w:r>
      <w:r w:rsidR="002D00F4">
        <w:rPr>
          <w:rFonts w:ascii="Times New Roman" w:hAnsi="Times New Roman" w:cs="Times New Roman"/>
        </w:rPr>
        <w:t>RNA-</w:t>
      </w:r>
      <w:proofErr w:type="spellStart"/>
      <w:r w:rsidR="002D00F4">
        <w:rPr>
          <w:rFonts w:ascii="Times New Roman" w:hAnsi="Times New Roman" w:cs="Times New Roman"/>
        </w:rPr>
        <w:t>seq</w:t>
      </w:r>
      <w:proofErr w:type="spellEnd"/>
      <w:r w:rsidR="002D00F4">
        <w:rPr>
          <w:rFonts w:ascii="Times New Roman" w:hAnsi="Times New Roman" w:cs="Times New Roman"/>
        </w:rPr>
        <w:t xml:space="preserve"> reads of male and female samples from 4 somatic tissues (liver, brain, kidney, and heart) from human, chicken and </w:t>
      </w:r>
      <w:proofErr w:type="spellStart"/>
      <w:r w:rsidR="002D00F4">
        <w:rPr>
          <w:rFonts w:ascii="Times New Roman" w:hAnsi="Times New Roman" w:cs="Times New Roman"/>
        </w:rPr>
        <w:t>anolis</w:t>
      </w:r>
      <w:proofErr w:type="spellEnd"/>
      <w:r w:rsidR="002D00F4">
        <w:rPr>
          <w:rFonts w:ascii="Times New Roman" w:hAnsi="Times New Roman" w:cs="Times New Roman"/>
        </w:rPr>
        <w:t xml:space="preserve"> were obtained from </w:t>
      </w:r>
      <w:r w:rsidR="00175200">
        <w:rPr>
          <w:rFonts w:ascii="Times New Roman" w:hAnsi="Times New Roman" w:cs="Times New Roman"/>
        </w:rPr>
        <w:fldChar w:fldCharType="begin" w:fldLock="1"/>
      </w:r>
      <w:r w:rsidR="00175200">
        <w:rPr>
          <w:rFonts w:ascii="Times New Roman" w:hAnsi="Times New Roman" w:cs="Times New Roman"/>
        </w:rPr>
        <w:instrText>ADDIN CSL_CITATION { "citationItems" : [ { "id" : "ITEM-1", "itemData" : { "DOI" : "10.1101/gr.223727.117", "ISSN" : "1088-9051", "author" : [ { "dropping-particle" : "", "family" : "Marin", "given" : "Ray", "non-dropping-particle" : "", "parse-names" : false, "suffix" : "" }, { "dropping-particle" : "", "family" : "Cortez", "given" : "Diego", "non-dropping-particle" : "", "parse-names" : false, "suffix" : "" }, { "dropping-particle" : "", "family" : "Lamanna", "given" : "Francesco", "non-dropping-particle" : "", "parse-names" : false, "suffix" : "" }, { "dropping-particle" : "", "family" : "Pradeepa", "given" : "Madapura M.", "non-dropping-particle" : "", "parse-names" : false, "suffix" : "" }, { "dropping-particle" : "", "family" : "Leushkin", "given" : "Evgeny", "non-dropping-particle" : "", "parse-names" : false, "suffix" : "" }, { "dropping-particle" : "", "family" : "Julien", "given" : "Philippe", "non-dropping-particle" : "", "parse-names" : false, "suffix" : "" }, { "dropping-particle" : "", "family" : "Liechti", "given" : "Ang\u00e9lica", "non-dropping-particle" : "", "parse-names" : false, "suffix" : "" }, { "dropping-particle" : "", "family" : "Halbert", "given" : "Jean", "non-dropping-particle" : "", "parse-names" : false, "suffix" : "" }, { "dropping-particle" : "", "family" : "Br\u00fcning", "given" : "Thoomke", "non-dropping-particle" : "", "parse-names" : false, "suffix" : "" }, { "dropping-particle" : "", "family" : "M\u00f6ssinger", "given" : "Katharina", "non-dropping-particle" : "", "parse-names" : false, "suffix" : "" }, { "dropping-particle" : "", "family" : "Trefzer", "given" : "Timo", "non-dropping-particle" : "", "parse-names" : false, "suffix" : "" }, { "dropping-particle" : "", "family" : "Conrad", "given" : "Christian", "non-dropping-particle" : "", "parse-names" : false, "suffix" : "" }, { "dropping-particle" : "", "family" : "Kerver", "given" : "Halie N.", "non-dropping-particle" : "", "parse-names" : false, "suffix" : "" }, { "dropping-particle" : "", "family" : "Wade", "given" : "Juli", "non-dropping-particle" : "", "parse-names" : false, "suffix" : "" }, { "dropping-particle" : "", "family" : "Tschopp", "given" : "Patrick", "non-dropping-particle" : "", "parse-names" : false, "suffix" : "" }, { "dropping-particle" : "", "family" : "Kaessmann", "given" : "Henrik", "non-dropping-particle" : "", "parse-names" : false, "suffix" : "" } ], "container-title" : "Genome Research", "id" : "ITEM-1", "issued" : { "date-parts" : [ [ "2017" ] ] }, "page" : "1-14", "title" : "Convergent origination of a Drosophila -like dosage compensation mechanism in a reptile lineage", "type" : "article-journal" }, "uris" : [ "http://www.mendeley.com/documents/?uuid=2c7fea6c-ee47-495a-b235-ee7781bd57ea" ] } ], "mendeley" : { "formattedCitation" : "(Marin et al., 2017)", "plainTextFormattedCitation" : "(Marin et al., 2017)" }, "properties" : { "noteIndex" : 0 }, "schema" : "https://github.com/citation-style-language/schema/raw/master/csl-citation.json" }</w:instrText>
      </w:r>
      <w:r w:rsidR="00175200">
        <w:rPr>
          <w:rFonts w:ascii="Times New Roman" w:hAnsi="Times New Roman" w:cs="Times New Roman"/>
        </w:rPr>
        <w:fldChar w:fldCharType="separate"/>
      </w:r>
      <w:r w:rsidR="00175200" w:rsidRPr="00175200">
        <w:rPr>
          <w:rFonts w:ascii="Times New Roman" w:hAnsi="Times New Roman" w:cs="Times New Roman"/>
          <w:noProof/>
        </w:rPr>
        <w:t>(Marin et al., 2017)</w:t>
      </w:r>
      <w:r w:rsidR="00175200">
        <w:rPr>
          <w:rFonts w:ascii="Times New Roman" w:hAnsi="Times New Roman" w:cs="Times New Roman"/>
        </w:rPr>
        <w:fldChar w:fldCharType="end"/>
      </w:r>
      <w:r w:rsidR="00175200">
        <w:rPr>
          <w:rFonts w:ascii="Times New Roman" w:hAnsi="Times New Roman" w:cs="Times New Roman"/>
        </w:rPr>
        <w:t xml:space="preserve"> </w:t>
      </w:r>
      <w:r>
        <w:rPr>
          <w:rFonts w:ascii="Times New Roman" w:hAnsi="Times New Roman" w:cs="Times New Roman"/>
        </w:rPr>
        <w:t>(</w:t>
      </w:r>
      <w:r w:rsidR="00363D79">
        <w:rPr>
          <w:rFonts w:ascii="Times New Roman" w:hAnsi="Times New Roman" w:cs="Times New Roman"/>
        </w:rPr>
        <w:t>GSE97367</w:t>
      </w:r>
      <w:r>
        <w:rPr>
          <w:rFonts w:ascii="Times New Roman" w:hAnsi="Times New Roman" w:cs="Times New Roman"/>
        </w:rPr>
        <w:t xml:space="preserve">). </w:t>
      </w:r>
      <w:proofErr w:type="spellStart"/>
      <w:r>
        <w:rPr>
          <w:rFonts w:ascii="Times New Roman" w:hAnsi="Times New Roman" w:cs="Times New Roman"/>
        </w:rPr>
        <w:t>Kallisto</w:t>
      </w:r>
      <w:proofErr w:type="spellEnd"/>
      <w:r>
        <w:rPr>
          <w:rFonts w:ascii="Times New Roman" w:hAnsi="Times New Roman" w:cs="Times New Roman"/>
        </w:rPr>
        <w:t xml:space="preserve"> was used to </w:t>
      </w:r>
      <w:proofErr w:type="spellStart"/>
      <w:r>
        <w:rPr>
          <w:rFonts w:ascii="Times New Roman" w:hAnsi="Times New Roman" w:cs="Times New Roman"/>
        </w:rPr>
        <w:t>pseudomap</w:t>
      </w:r>
      <w:proofErr w:type="spellEnd"/>
      <w:r>
        <w:rPr>
          <w:rFonts w:ascii="Times New Roman" w:hAnsi="Times New Roman" w:cs="Times New Roman"/>
        </w:rPr>
        <w:t xml:space="preserve"> reads and quantify transcript abundances (</w:t>
      </w:r>
      <w:r w:rsidR="002D00F4">
        <w:rPr>
          <w:rFonts w:ascii="Times New Roman" w:hAnsi="Times New Roman" w:cs="Times New Roman"/>
        </w:rPr>
        <w:t xml:space="preserve">human, </w:t>
      </w:r>
      <w:r>
        <w:rPr>
          <w:rFonts w:ascii="Times New Roman" w:hAnsi="Times New Roman" w:cs="Times New Roman"/>
        </w:rPr>
        <w:t>GENCODE v26</w:t>
      </w:r>
      <w:r w:rsidR="002D00F4">
        <w:rPr>
          <w:rFonts w:ascii="Times New Roman" w:hAnsi="Times New Roman" w:cs="Times New Roman"/>
        </w:rPr>
        <w:t xml:space="preserve">; chicken and </w:t>
      </w:r>
      <w:proofErr w:type="spellStart"/>
      <w:r w:rsidR="002D00F4">
        <w:rPr>
          <w:rFonts w:ascii="Times New Roman" w:hAnsi="Times New Roman" w:cs="Times New Roman"/>
        </w:rPr>
        <w:t>anolis</w:t>
      </w:r>
      <w:proofErr w:type="spellEnd"/>
      <w:r w:rsidR="002D00F4">
        <w:rPr>
          <w:rFonts w:ascii="Times New Roman" w:hAnsi="Times New Roman" w:cs="Times New Roman"/>
        </w:rPr>
        <w:t xml:space="preserve">, </w:t>
      </w:r>
      <w:proofErr w:type="spellStart"/>
      <w:r w:rsidR="002D00F4">
        <w:rPr>
          <w:rFonts w:ascii="Times New Roman" w:hAnsi="Times New Roman" w:cs="Times New Roman"/>
        </w:rPr>
        <w:t>Ensembl</w:t>
      </w:r>
      <w:proofErr w:type="spellEnd"/>
      <w:r w:rsidR="002D00F4">
        <w:rPr>
          <w:rFonts w:ascii="Times New Roman" w:hAnsi="Times New Roman" w:cs="Times New Roman"/>
        </w:rPr>
        <w:t xml:space="preserve"> 87</w:t>
      </w:r>
      <w:r>
        <w:rPr>
          <w:rFonts w:ascii="Times New Roman" w:hAnsi="Times New Roman" w:cs="Times New Roman"/>
        </w:rPr>
        <w:t xml:space="preserve">), with the following options: “--bias”, “--single”, “-l 200”, “-s 20.” </w:t>
      </w:r>
      <w:r w:rsidR="00C46D29">
        <w:rPr>
          <w:rFonts w:ascii="Times New Roman" w:hAnsi="Times New Roman" w:cs="Times New Roman"/>
        </w:rPr>
        <w:t xml:space="preserve">Transcripts were summed to the gene-level using the </w:t>
      </w:r>
      <w:proofErr w:type="spellStart"/>
      <w:r w:rsidR="00C46D29">
        <w:rPr>
          <w:rFonts w:ascii="Times New Roman" w:hAnsi="Times New Roman" w:cs="Times New Roman"/>
        </w:rPr>
        <w:t>tximport</w:t>
      </w:r>
      <w:proofErr w:type="spellEnd"/>
      <w:r w:rsidR="00C46D29">
        <w:rPr>
          <w:rFonts w:ascii="Times New Roman" w:hAnsi="Times New Roman" w:cs="Times New Roman"/>
        </w:rPr>
        <w:t xml:space="preserve"> R package with the option “</w:t>
      </w:r>
      <w:proofErr w:type="spellStart"/>
      <w:r w:rsidR="00C46D29">
        <w:rPr>
          <w:rFonts w:ascii="Times New Roman" w:hAnsi="Times New Roman" w:cs="Times New Roman"/>
        </w:rPr>
        <w:t>lengthscaledTPM</w:t>
      </w:r>
      <w:proofErr w:type="spellEnd"/>
      <w:r w:rsidR="00C46D29">
        <w:rPr>
          <w:rFonts w:ascii="Times New Roman" w:hAnsi="Times New Roman" w:cs="Times New Roman"/>
        </w:rPr>
        <w:t>.”</w:t>
      </w:r>
      <w:r w:rsidR="002D00F4">
        <w:rPr>
          <w:rFonts w:ascii="Times New Roman" w:hAnsi="Times New Roman" w:cs="Times New Roman"/>
        </w:rPr>
        <w:t xml:space="preserve"> </w:t>
      </w:r>
      <w:proofErr w:type="spellStart"/>
      <w:r w:rsidR="002D00F4">
        <w:rPr>
          <w:rFonts w:ascii="Times New Roman" w:hAnsi="Times New Roman" w:cs="Times New Roman"/>
        </w:rPr>
        <w:t>Ensembl</w:t>
      </w:r>
      <w:proofErr w:type="spellEnd"/>
      <w:r w:rsidR="002D00F4">
        <w:rPr>
          <w:rFonts w:ascii="Times New Roman" w:hAnsi="Times New Roman" w:cs="Times New Roman"/>
        </w:rPr>
        <w:t xml:space="preserve"> one-to-one </w:t>
      </w:r>
      <w:proofErr w:type="spellStart"/>
      <w:r w:rsidR="002D00F4">
        <w:rPr>
          <w:rFonts w:ascii="Times New Roman" w:hAnsi="Times New Roman" w:cs="Times New Roman"/>
        </w:rPr>
        <w:t>orthologs</w:t>
      </w:r>
      <w:proofErr w:type="spellEnd"/>
      <w:r w:rsidR="002D00F4">
        <w:rPr>
          <w:rFonts w:ascii="Times New Roman" w:hAnsi="Times New Roman" w:cs="Times New Roman"/>
        </w:rPr>
        <w:t xml:space="preserve"> were used, except for ancestral Z-linked genes, where </w:t>
      </w:r>
      <w:proofErr w:type="spellStart"/>
      <w:r w:rsidR="002D00F4">
        <w:rPr>
          <w:rFonts w:ascii="Times New Roman" w:hAnsi="Times New Roman" w:cs="Times New Roman"/>
        </w:rPr>
        <w:t>orthology</w:t>
      </w:r>
      <w:proofErr w:type="spellEnd"/>
      <w:r w:rsidR="002D00F4">
        <w:rPr>
          <w:rFonts w:ascii="Times New Roman" w:hAnsi="Times New Roman" w:cs="Times New Roman"/>
        </w:rPr>
        <w:t xml:space="preserve"> assignments </w:t>
      </w:r>
      <w:r w:rsidR="00946384">
        <w:rPr>
          <w:rFonts w:ascii="Times New Roman" w:hAnsi="Times New Roman" w:cs="Times New Roman"/>
        </w:rPr>
        <w:t>in Supplemental Table S4 were used</w:t>
      </w:r>
      <w:r w:rsidR="002D00F4">
        <w:rPr>
          <w:rFonts w:ascii="Times New Roman" w:hAnsi="Times New Roman" w:cs="Times New Roman"/>
        </w:rPr>
        <w:t xml:space="preserve">. </w:t>
      </w:r>
      <w:r w:rsidR="00946384">
        <w:rPr>
          <w:rFonts w:ascii="Times New Roman" w:hAnsi="Times New Roman" w:cs="Times New Roman"/>
        </w:rPr>
        <w:t>Within each tissue, g</w:t>
      </w:r>
      <w:r w:rsidR="002D00F4">
        <w:rPr>
          <w:rFonts w:ascii="Times New Roman" w:hAnsi="Times New Roman" w:cs="Times New Roman"/>
        </w:rPr>
        <w:t xml:space="preserve">ene-level counts were normalized across species using the trimmed median of means (TMM) method in the </w:t>
      </w:r>
      <w:proofErr w:type="spellStart"/>
      <w:r w:rsidR="002D00F4">
        <w:rPr>
          <w:rFonts w:ascii="Times New Roman" w:hAnsi="Times New Roman" w:cs="Times New Roman"/>
        </w:rPr>
        <w:t>edgeR</w:t>
      </w:r>
      <w:proofErr w:type="spellEnd"/>
      <w:r w:rsidR="002D00F4">
        <w:rPr>
          <w:rFonts w:ascii="Times New Roman" w:hAnsi="Times New Roman" w:cs="Times New Roman"/>
        </w:rPr>
        <w:t xml:space="preserve"> R package. </w:t>
      </w:r>
      <w:r w:rsidR="00946384">
        <w:rPr>
          <w:rFonts w:ascii="Times New Roman" w:hAnsi="Times New Roman" w:cs="Times New Roman"/>
        </w:rPr>
        <w:t>G</w:t>
      </w:r>
      <w:r w:rsidR="002D00F4">
        <w:rPr>
          <w:rFonts w:ascii="Times New Roman" w:hAnsi="Times New Roman" w:cs="Times New Roman"/>
        </w:rPr>
        <w:t xml:space="preserve">enes were only considered for analysis if they were expressed &gt; 1 TPM in all human, chicken, and </w:t>
      </w:r>
      <w:proofErr w:type="spellStart"/>
      <w:r w:rsidR="002D00F4">
        <w:rPr>
          <w:rFonts w:ascii="Times New Roman" w:hAnsi="Times New Roman" w:cs="Times New Roman"/>
        </w:rPr>
        <w:t>anolis</w:t>
      </w:r>
      <w:proofErr w:type="spellEnd"/>
      <w:r w:rsidR="002D00F4">
        <w:rPr>
          <w:rFonts w:ascii="Times New Roman" w:hAnsi="Times New Roman" w:cs="Times New Roman"/>
        </w:rPr>
        <w:t xml:space="preserve"> samples from that tissue. The </w:t>
      </w:r>
      <w:proofErr w:type="spellStart"/>
      <w:r>
        <w:rPr>
          <w:rFonts w:ascii="Times New Roman" w:hAnsi="Times New Roman" w:cs="Times New Roman"/>
        </w:rPr>
        <w:t>limma</w:t>
      </w:r>
      <w:proofErr w:type="spellEnd"/>
      <w:r>
        <w:rPr>
          <w:rFonts w:ascii="Times New Roman" w:hAnsi="Times New Roman" w:cs="Times New Roman"/>
        </w:rPr>
        <w:t>/</w:t>
      </w:r>
      <w:proofErr w:type="spellStart"/>
      <w:r>
        <w:rPr>
          <w:rFonts w:ascii="Times New Roman" w:hAnsi="Times New Roman" w:cs="Times New Roman"/>
        </w:rPr>
        <w:t>voom</w:t>
      </w:r>
      <w:proofErr w:type="spellEnd"/>
      <w:r>
        <w:rPr>
          <w:rFonts w:ascii="Times New Roman" w:hAnsi="Times New Roman" w:cs="Times New Roman"/>
        </w:rPr>
        <w:t xml:space="preserve"> </w:t>
      </w:r>
      <w:r w:rsidR="002D00F4">
        <w:rPr>
          <w:rFonts w:ascii="Times New Roman" w:hAnsi="Times New Roman" w:cs="Times New Roman"/>
        </w:rPr>
        <w:t xml:space="preserve">R package was </w:t>
      </w:r>
      <w:r>
        <w:rPr>
          <w:rFonts w:ascii="Times New Roman" w:hAnsi="Times New Roman" w:cs="Times New Roman"/>
        </w:rPr>
        <w:t>used</w:t>
      </w:r>
      <w:r w:rsidR="002D00F4">
        <w:rPr>
          <w:rFonts w:ascii="Times New Roman" w:hAnsi="Times New Roman" w:cs="Times New Roman"/>
        </w:rPr>
        <w:t xml:space="preserve"> to quantify the male/female</w:t>
      </w:r>
      <w:r w:rsidR="00363D79">
        <w:rPr>
          <w:rFonts w:ascii="Times New Roman" w:hAnsi="Times New Roman" w:cs="Times New Roman"/>
        </w:rPr>
        <w:t xml:space="preserve"> expression ratio in chicken</w:t>
      </w:r>
      <w:r w:rsidR="002D00F4">
        <w:rPr>
          <w:rFonts w:ascii="Times New Roman" w:hAnsi="Times New Roman" w:cs="Times New Roman"/>
        </w:rPr>
        <w:t xml:space="preserve"> relative to the male/female ratio in human and </w:t>
      </w:r>
      <w:proofErr w:type="spellStart"/>
      <w:r w:rsidR="002D00F4">
        <w:rPr>
          <w:rFonts w:ascii="Times New Roman" w:hAnsi="Times New Roman" w:cs="Times New Roman"/>
        </w:rPr>
        <w:t>anolis</w:t>
      </w:r>
      <w:proofErr w:type="spellEnd"/>
      <w:r>
        <w:rPr>
          <w:rFonts w:ascii="Times New Roman" w:hAnsi="Times New Roman" w:cs="Times New Roman"/>
        </w:rPr>
        <w:t xml:space="preserve">. </w:t>
      </w:r>
    </w:p>
    <w:p w14:paraId="13A91AA5" w14:textId="77777777" w:rsidR="00115DA0" w:rsidRDefault="00115DA0">
      <w:pPr>
        <w:rPr>
          <w:rFonts w:ascii="Times New Roman" w:hAnsi="Times New Roman" w:cs="Times New Roman"/>
        </w:rPr>
      </w:pPr>
      <w:r>
        <w:rPr>
          <w:rFonts w:ascii="Times New Roman" w:hAnsi="Times New Roman" w:cs="Times New Roman"/>
        </w:rPr>
        <w:br w:type="page"/>
      </w:r>
    </w:p>
    <w:p w14:paraId="6BEFC0FA" w14:textId="2A936328" w:rsidR="00175200" w:rsidRPr="00175200" w:rsidRDefault="00115DA0" w:rsidP="00175200">
      <w:pPr>
        <w:widowControl w:val="0"/>
        <w:autoSpaceDE w:val="0"/>
        <w:autoSpaceDN w:val="0"/>
        <w:adjustRightInd w:val="0"/>
        <w:ind w:left="480" w:hanging="480"/>
        <w:rPr>
          <w:rFonts w:ascii="Times New Roman" w:hAnsi="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175200" w:rsidRPr="00175200">
        <w:rPr>
          <w:rFonts w:ascii="Times New Roman" w:hAnsi="Times New Roman"/>
          <w:noProof/>
        </w:rPr>
        <w:t xml:space="preserve">Agarwal, V., Bell, G. W., Nam, J., and Bartel, D. P. (2015). Predicting effective microRNA target sites in mammalian mRNAs. </w:t>
      </w:r>
      <w:r w:rsidR="00175200" w:rsidRPr="00175200">
        <w:rPr>
          <w:rFonts w:ascii="Times New Roman" w:hAnsi="Times New Roman"/>
          <w:i/>
          <w:iCs/>
          <w:noProof/>
        </w:rPr>
        <w:t>eLife</w:t>
      </w:r>
      <w:r w:rsidR="00175200" w:rsidRPr="00175200">
        <w:rPr>
          <w:rFonts w:ascii="Times New Roman" w:hAnsi="Times New Roman"/>
          <w:noProof/>
        </w:rPr>
        <w:t xml:space="preserve">, </w:t>
      </w:r>
      <w:r w:rsidR="00175200" w:rsidRPr="00175200">
        <w:rPr>
          <w:rFonts w:ascii="Times New Roman" w:hAnsi="Times New Roman"/>
          <w:i/>
          <w:iCs/>
          <w:noProof/>
        </w:rPr>
        <w:t>4</w:t>
      </w:r>
      <w:r w:rsidR="00175200" w:rsidRPr="00175200">
        <w:rPr>
          <w:rFonts w:ascii="Times New Roman" w:hAnsi="Times New Roman"/>
          <w:noProof/>
        </w:rPr>
        <w:t>, e05005. https://doi.org/10.7554/eLife.05005</w:t>
      </w:r>
    </w:p>
    <w:p w14:paraId="67CB23D7"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Balaton, B. P., Cotton, A. M., and Brown, C. J. (2015). Derivation of consensus inactivation status for X-linked genes from genome-wide studies. </w:t>
      </w:r>
      <w:r w:rsidRPr="00175200">
        <w:rPr>
          <w:rFonts w:ascii="Times New Roman" w:hAnsi="Times New Roman"/>
          <w:i/>
          <w:iCs/>
          <w:noProof/>
        </w:rPr>
        <w:t>Biology of Sex Differences</w:t>
      </w:r>
      <w:r w:rsidRPr="00175200">
        <w:rPr>
          <w:rFonts w:ascii="Times New Roman" w:hAnsi="Times New Roman"/>
          <w:noProof/>
        </w:rPr>
        <w:t xml:space="preserve">, </w:t>
      </w:r>
      <w:r w:rsidRPr="00175200">
        <w:rPr>
          <w:rFonts w:ascii="Times New Roman" w:hAnsi="Times New Roman"/>
          <w:i/>
          <w:iCs/>
          <w:noProof/>
        </w:rPr>
        <w:t>6</w:t>
      </w:r>
      <w:r w:rsidRPr="00175200">
        <w:rPr>
          <w:rFonts w:ascii="Times New Roman" w:hAnsi="Times New Roman"/>
          <w:noProof/>
        </w:rPr>
        <w:t>, 35. https://doi.org/10.1186/s13293-015-0053-7</w:t>
      </w:r>
    </w:p>
    <w:p w14:paraId="772AD408"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Bellott, D. W., Hughes, J. F., Skaletsky, H., Brown, L. G., Pyntikova, T., Cho, T.-J., Koutseva, N., Zaghlul, S., Graves, T., Rock, S., Kremitzki, C., Fulton, R. S., Dugan, S., Ding, Y., Morton, D., Khan, Z., Lewis, L., … Page, D. C. (2014). Mammalian Y chromosomes retain widely expressed dosage-sensitive regulators. </w:t>
      </w:r>
      <w:r w:rsidRPr="00175200">
        <w:rPr>
          <w:rFonts w:ascii="Times New Roman" w:hAnsi="Times New Roman"/>
          <w:i/>
          <w:iCs/>
          <w:noProof/>
        </w:rPr>
        <w:t>Nature</w:t>
      </w:r>
      <w:r w:rsidRPr="00175200">
        <w:rPr>
          <w:rFonts w:ascii="Times New Roman" w:hAnsi="Times New Roman"/>
          <w:noProof/>
        </w:rPr>
        <w:t xml:space="preserve">, </w:t>
      </w:r>
      <w:r w:rsidRPr="00175200">
        <w:rPr>
          <w:rFonts w:ascii="Times New Roman" w:hAnsi="Times New Roman"/>
          <w:i/>
          <w:iCs/>
          <w:noProof/>
        </w:rPr>
        <w:t>508</w:t>
      </w:r>
      <w:r w:rsidRPr="00175200">
        <w:rPr>
          <w:rFonts w:ascii="Times New Roman" w:hAnsi="Times New Roman"/>
          <w:noProof/>
        </w:rPr>
        <w:t>(7497), 494–499. https://doi.org/10.1038/nature13206</w:t>
      </w:r>
    </w:p>
    <w:p w14:paraId="41152A72"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Bellott, D. W., Skaletsky, H., Cho, T.-J., Brown, L., Locke, D., Chen, N., Galkina, S., Pyntikova, T., Koutseva, N., Graves, T., Kremitzki, C., Warren, W. C., Clark, A. G., Gaginskaya, E., Wilson, R. K., and Page, D. C. (2017). Avian W and mammalian Y chromosomes convergently retained dosage-sensitive regulators. </w:t>
      </w:r>
      <w:r w:rsidRPr="00175200">
        <w:rPr>
          <w:rFonts w:ascii="Times New Roman" w:hAnsi="Times New Roman"/>
          <w:i/>
          <w:iCs/>
          <w:noProof/>
        </w:rPr>
        <w:t>Nature Genetics</w:t>
      </w:r>
      <w:r w:rsidRPr="00175200">
        <w:rPr>
          <w:rFonts w:ascii="Times New Roman" w:hAnsi="Times New Roman"/>
          <w:noProof/>
        </w:rPr>
        <w:t xml:space="preserve">, </w:t>
      </w:r>
      <w:r w:rsidRPr="00175200">
        <w:rPr>
          <w:rFonts w:ascii="Times New Roman" w:hAnsi="Times New Roman"/>
          <w:i/>
          <w:iCs/>
          <w:noProof/>
        </w:rPr>
        <w:t>in press</w:t>
      </w:r>
      <w:r w:rsidRPr="00175200">
        <w:rPr>
          <w:rFonts w:ascii="Times New Roman" w:hAnsi="Times New Roman"/>
          <w:noProof/>
        </w:rPr>
        <w:t>.</w:t>
      </w:r>
    </w:p>
    <w:p w14:paraId="640A34D9"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Carrel, L., and Willard, H. F. (2005). X-inactivation profile reveals extensive variability in X-linked gene expression in females. </w:t>
      </w:r>
      <w:r w:rsidRPr="00175200">
        <w:rPr>
          <w:rFonts w:ascii="Times New Roman" w:hAnsi="Times New Roman"/>
          <w:i/>
          <w:iCs/>
          <w:noProof/>
        </w:rPr>
        <w:t>Nature</w:t>
      </w:r>
      <w:r w:rsidRPr="00175200">
        <w:rPr>
          <w:rFonts w:ascii="Times New Roman" w:hAnsi="Times New Roman"/>
          <w:noProof/>
        </w:rPr>
        <w:t xml:space="preserve">, </w:t>
      </w:r>
      <w:r w:rsidRPr="00175200">
        <w:rPr>
          <w:rFonts w:ascii="Times New Roman" w:hAnsi="Times New Roman"/>
          <w:i/>
          <w:iCs/>
          <w:noProof/>
        </w:rPr>
        <w:t>434</w:t>
      </w:r>
      <w:r w:rsidRPr="00175200">
        <w:rPr>
          <w:rFonts w:ascii="Times New Roman" w:hAnsi="Times New Roman"/>
          <w:noProof/>
        </w:rPr>
        <w:t>(March), 400–404. https://doi.org/10.1038/nature03479</w:t>
      </w:r>
    </w:p>
    <w:p w14:paraId="769A5613"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Cotton, A. M., Ge, B., Light, N., Adoue, V., Pastinen, T., and Brown, C. J. (2013). Analysis of expressed SNPs identifies variable extents of expression from the human inactive X chromosome. </w:t>
      </w:r>
      <w:r w:rsidRPr="00175200">
        <w:rPr>
          <w:rFonts w:ascii="Times New Roman" w:hAnsi="Times New Roman"/>
          <w:i/>
          <w:iCs/>
          <w:noProof/>
        </w:rPr>
        <w:t>Genome Biology</w:t>
      </w:r>
      <w:r w:rsidRPr="00175200">
        <w:rPr>
          <w:rFonts w:ascii="Times New Roman" w:hAnsi="Times New Roman"/>
          <w:noProof/>
        </w:rPr>
        <w:t xml:space="preserve">, </w:t>
      </w:r>
      <w:r w:rsidRPr="00175200">
        <w:rPr>
          <w:rFonts w:ascii="Times New Roman" w:hAnsi="Times New Roman"/>
          <w:i/>
          <w:iCs/>
          <w:noProof/>
        </w:rPr>
        <w:t>14</w:t>
      </w:r>
      <w:r w:rsidRPr="00175200">
        <w:rPr>
          <w:rFonts w:ascii="Times New Roman" w:hAnsi="Times New Roman"/>
          <w:noProof/>
        </w:rPr>
        <w:t>(11), R122. https://doi.org/10.1186/gb-2013-14-11-r122</w:t>
      </w:r>
    </w:p>
    <w:p w14:paraId="19E510AA"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Cotton, A. M., Price, E. M., Jones, M. J., Balaton, B. P., Kobor, M. S., and Brown, C. J. (2015). Landscape of DNA methylation on the X chromosome reflects CpG density, functional chromatin state and X-chromosome inactivation. </w:t>
      </w:r>
      <w:r w:rsidRPr="00175200">
        <w:rPr>
          <w:rFonts w:ascii="Times New Roman" w:hAnsi="Times New Roman"/>
          <w:i/>
          <w:iCs/>
          <w:noProof/>
        </w:rPr>
        <w:t>Human Molecular Genetics</w:t>
      </w:r>
      <w:r w:rsidRPr="00175200">
        <w:rPr>
          <w:rFonts w:ascii="Times New Roman" w:hAnsi="Times New Roman"/>
          <w:noProof/>
        </w:rPr>
        <w:t xml:space="preserve">, </w:t>
      </w:r>
      <w:r w:rsidRPr="00175200">
        <w:rPr>
          <w:rFonts w:ascii="Times New Roman" w:hAnsi="Times New Roman"/>
          <w:i/>
          <w:iCs/>
          <w:noProof/>
        </w:rPr>
        <w:t>24</w:t>
      </w:r>
      <w:r w:rsidRPr="00175200">
        <w:rPr>
          <w:rFonts w:ascii="Times New Roman" w:hAnsi="Times New Roman"/>
          <w:noProof/>
        </w:rPr>
        <w:t>(6), 1528–1539. https://doi.org/10.1093/hmg/ddu564</w:t>
      </w:r>
    </w:p>
    <w:p w14:paraId="03BD03AE"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Eichhorn, S. W., Guo, H., McGeary, S. E., Rodriguez-Mias, R. a, Shin, C., Baek, D., Hsu, S.-H., Ghoshal, K., Villén, J., and Bartel, D. P. (2014). mRNA Destabilization Is the Dominant Effect of Mammalian MicroRNAs by the Time Substantial Repression Ensues. </w:t>
      </w:r>
      <w:r w:rsidRPr="00175200">
        <w:rPr>
          <w:rFonts w:ascii="Times New Roman" w:hAnsi="Times New Roman"/>
          <w:i/>
          <w:iCs/>
          <w:noProof/>
        </w:rPr>
        <w:t>Molecular Cell</w:t>
      </w:r>
      <w:r w:rsidRPr="00175200">
        <w:rPr>
          <w:rFonts w:ascii="Times New Roman" w:hAnsi="Times New Roman"/>
          <w:noProof/>
        </w:rPr>
        <w:t>. https://doi.org/10.1016/j.molcel.2014.08.028</w:t>
      </w:r>
    </w:p>
    <w:p w14:paraId="0542ED5A"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Friedman, R. C., Farh, K. K.-H., Burge, C. B., and Bartel, D. P. (2009). Most mammalian mRNAs are conserved targets of microRNAs. </w:t>
      </w:r>
      <w:r w:rsidRPr="00175200">
        <w:rPr>
          <w:rFonts w:ascii="Times New Roman" w:hAnsi="Times New Roman"/>
          <w:i/>
          <w:iCs/>
          <w:noProof/>
        </w:rPr>
        <w:t>Genome Research</w:t>
      </w:r>
      <w:r w:rsidRPr="00175200">
        <w:rPr>
          <w:rFonts w:ascii="Times New Roman" w:hAnsi="Times New Roman"/>
          <w:noProof/>
        </w:rPr>
        <w:t xml:space="preserve">, </w:t>
      </w:r>
      <w:r w:rsidRPr="00175200">
        <w:rPr>
          <w:rFonts w:ascii="Times New Roman" w:hAnsi="Times New Roman"/>
          <w:i/>
          <w:iCs/>
          <w:noProof/>
        </w:rPr>
        <w:t>19</w:t>
      </w:r>
      <w:r w:rsidRPr="00175200">
        <w:rPr>
          <w:rFonts w:ascii="Times New Roman" w:hAnsi="Times New Roman"/>
          <w:noProof/>
        </w:rPr>
        <w:t>(1), 92–105. https://doi.org/10.1101/gr.082701.108</w:t>
      </w:r>
    </w:p>
    <w:p w14:paraId="73983F94"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Hafner, M., Landthaler, M., Burger, L., Khorshid, M., Berninger, P., Rothballer, A., Jr, M. A., Munschauer, M., Ulrich, A., Wardle, G. S., Dewell, S., Zavolan, M., and Tuschl, T. (2010). Transcriptome-wide identification of RNA-binding protein and microRNA target sites by PAR-CLIP. </w:t>
      </w:r>
      <w:r w:rsidRPr="00175200">
        <w:rPr>
          <w:rFonts w:ascii="Times New Roman" w:hAnsi="Times New Roman"/>
          <w:i/>
          <w:iCs/>
          <w:noProof/>
        </w:rPr>
        <w:t>Cell</w:t>
      </w:r>
      <w:r w:rsidRPr="00175200">
        <w:rPr>
          <w:rFonts w:ascii="Times New Roman" w:hAnsi="Times New Roman"/>
          <w:noProof/>
        </w:rPr>
        <w:t xml:space="preserve">, </w:t>
      </w:r>
      <w:r w:rsidRPr="00175200">
        <w:rPr>
          <w:rFonts w:ascii="Times New Roman" w:hAnsi="Times New Roman"/>
          <w:i/>
          <w:iCs/>
          <w:noProof/>
        </w:rPr>
        <w:t>141</w:t>
      </w:r>
      <w:r w:rsidRPr="00175200">
        <w:rPr>
          <w:rFonts w:ascii="Times New Roman" w:hAnsi="Times New Roman"/>
          <w:noProof/>
        </w:rPr>
        <w:t>(1), 129–141. https://doi.org/10.1016/j.cell.2010.03.009.Transcriptome-wide</w:t>
      </w:r>
    </w:p>
    <w:p w14:paraId="32CBFF36"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Hausser, J., Landthaler, M., Jaskiewicz, L., Gaidatzis, D., and Zavolan, M. (2009). mRNA binding of Argonaute / EIF2C − miRNA complexes and the degradation of miRNA targets Relative contribution of sequence and structure features to the mRNA binding of Argonaute / EIF2C – miRNA complexes and the degradation of miRNA targets. </w:t>
      </w:r>
      <w:r w:rsidRPr="00175200">
        <w:rPr>
          <w:rFonts w:ascii="Times New Roman" w:hAnsi="Times New Roman"/>
          <w:i/>
          <w:iCs/>
          <w:noProof/>
        </w:rPr>
        <w:t>Genome Research</w:t>
      </w:r>
      <w:r w:rsidRPr="00175200">
        <w:rPr>
          <w:rFonts w:ascii="Times New Roman" w:hAnsi="Times New Roman"/>
          <w:noProof/>
        </w:rPr>
        <w:t>, 2009–2020. https://doi.org/10.1101/gr.091181.109</w:t>
      </w:r>
    </w:p>
    <w:p w14:paraId="570A8A91"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Linsley, P. S., Schelter, J., Burchard, J., Kibukawa, M., Martin, M. M., Bartz, S. R., Johnson, J. M., Cummins, J. M., Raymond, C. K., Dai, H., Chau, N., Cleary, M., Jackson, A. L., Carleton, M., and Lim, L. (2007). Transcripts targeted by the microRNA-16 family cooperatively regulate cell cycle progression. </w:t>
      </w:r>
      <w:r w:rsidRPr="00175200">
        <w:rPr>
          <w:rFonts w:ascii="Times New Roman" w:hAnsi="Times New Roman"/>
          <w:i/>
          <w:iCs/>
          <w:noProof/>
        </w:rPr>
        <w:t>Mol Cell Biol</w:t>
      </w:r>
      <w:r w:rsidRPr="00175200">
        <w:rPr>
          <w:rFonts w:ascii="Times New Roman" w:hAnsi="Times New Roman"/>
          <w:noProof/>
        </w:rPr>
        <w:t xml:space="preserve">, </w:t>
      </w:r>
      <w:r w:rsidRPr="00175200">
        <w:rPr>
          <w:rFonts w:ascii="Times New Roman" w:hAnsi="Times New Roman"/>
          <w:i/>
          <w:iCs/>
          <w:noProof/>
        </w:rPr>
        <w:t>27</w:t>
      </w:r>
      <w:r w:rsidRPr="00175200">
        <w:rPr>
          <w:rFonts w:ascii="Times New Roman" w:hAnsi="Times New Roman"/>
          <w:noProof/>
        </w:rPr>
        <w:t>(6), 2240–2252. https://doi.org/10.1128/MCB.02005-06</w:t>
      </w:r>
    </w:p>
    <w:p w14:paraId="4A72AF3F"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Loeb, G. B., Khan, A. A., Canner, D., Hiatt, J. B., Shendure, J., Darnell, R. B., Leslie, C. S., and Rudensky, A. Y. (2012). Transcriptome-wide miR-155 Binding Map Reveals Widespread Noncanonical MicroRNA Targeting. </w:t>
      </w:r>
      <w:r w:rsidRPr="00175200">
        <w:rPr>
          <w:rFonts w:ascii="Times New Roman" w:hAnsi="Times New Roman"/>
          <w:i/>
          <w:iCs/>
          <w:noProof/>
        </w:rPr>
        <w:t>Molecular Cell</w:t>
      </w:r>
      <w:r w:rsidRPr="00175200">
        <w:rPr>
          <w:rFonts w:ascii="Times New Roman" w:hAnsi="Times New Roman"/>
          <w:noProof/>
        </w:rPr>
        <w:t xml:space="preserve">, </w:t>
      </w:r>
      <w:r w:rsidRPr="00175200">
        <w:rPr>
          <w:rFonts w:ascii="Times New Roman" w:hAnsi="Times New Roman"/>
          <w:i/>
          <w:iCs/>
          <w:noProof/>
        </w:rPr>
        <w:t>48</w:t>
      </w:r>
      <w:r w:rsidRPr="00175200">
        <w:rPr>
          <w:rFonts w:ascii="Times New Roman" w:hAnsi="Times New Roman"/>
          <w:noProof/>
        </w:rPr>
        <w:t>(5), 760–770. https://doi.org/http://dx.doi.org/10.1016/j.molcel.2012.10.002</w:t>
      </w:r>
    </w:p>
    <w:p w14:paraId="2CB9E42C"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Marin, R., Cortez, D., Lamanna, F., Pradeepa, M. M., Leushkin, E., Julien, P., Liechti, A., Halbert, J., Brüning, T., Mössinger, K., Trefzer, T., Conrad, C., Kerver, H. N., Wade, J., Tschopp, P., and Kaessmann, H. (2017). Convergent origination of a Drosophila -like dosage compensation mechanism in a reptile lineage. </w:t>
      </w:r>
      <w:r w:rsidRPr="00175200">
        <w:rPr>
          <w:rFonts w:ascii="Times New Roman" w:hAnsi="Times New Roman"/>
          <w:i/>
          <w:iCs/>
          <w:noProof/>
        </w:rPr>
        <w:t>Genome Research</w:t>
      </w:r>
      <w:r w:rsidRPr="00175200">
        <w:rPr>
          <w:rFonts w:ascii="Times New Roman" w:hAnsi="Times New Roman"/>
          <w:noProof/>
        </w:rPr>
        <w:t>, 1–14. https://doi.org/10.1101/gr.223727.117</w:t>
      </w:r>
    </w:p>
    <w:p w14:paraId="72732F1E"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Mueller, J. L., Skaletsky, H., Brown, L. G., Zaghlul, S., Rock, S., Graves, T., Auger, K., Warren, W. C., Wilson, R. K., and Page, D. C. (2013). Independent specialization of the human and mouse X </w:t>
      </w:r>
      <w:bookmarkStart w:id="0" w:name="_GoBack"/>
      <w:r w:rsidRPr="00175200">
        <w:rPr>
          <w:rFonts w:ascii="Times New Roman" w:hAnsi="Times New Roman"/>
          <w:noProof/>
        </w:rPr>
        <w:t>chromosome</w:t>
      </w:r>
      <w:bookmarkEnd w:id="0"/>
      <w:r w:rsidRPr="00175200">
        <w:rPr>
          <w:rFonts w:ascii="Times New Roman" w:hAnsi="Times New Roman"/>
          <w:noProof/>
        </w:rPr>
        <w:t xml:space="preserve">s for the male germ line. </w:t>
      </w:r>
      <w:r w:rsidRPr="00175200">
        <w:rPr>
          <w:rFonts w:ascii="Times New Roman" w:hAnsi="Times New Roman"/>
          <w:i/>
          <w:iCs/>
          <w:noProof/>
        </w:rPr>
        <w:t>Nature Genetics</w:t>
      </w:r>
      <w:r w:rsidRPr="00175200">
        <w:rPr>
          <w:rFonts w:ascii="Times New Roman" w:hAnsi="Times New Roman"/>
          <w:noProof/>
        </w:rPr>
        <w:t xml:space="preserve">, </w:t>
      </w:r>
      <w:r w:rsidRPr="00175200">
        <w:rPr>
          <w:rFonts w:ascii="Times New Roman" w:hAnsi="Times New Roman"/>
          <w:i/>
          <w:iCs/>
          <w:noProof/>
        </w:rPr>
        <w:t>45</w:t>
      </w:r>
      <w:r w:rsidRPr="00175200">
        <w:rPr>
          <w:rFonts w:ascii="Times New Roman" w:hAnsi="Times New Roman"/>
          <w:noProof/>
        </w:rPr>
        <w:t>(9), 1083–1087. https://doi.org/10.1038/ng.2705</w:t>
      </w:r>
    </w:p>
    <w:p w14:paraId="47E38883"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Quinlan, A. R., and Hall, I. M. (2010). BEDTools: A flexible suite of utilities for comparing genomic features. </w:t>
      </w:r>
      <w:r w:rsidRPr="00175200">
        <w:rPr>
          <w:rFonts w:ascii="Times New Roman" w:hAnsi="Times New Roman"/>
          <w:i/>
          <w:iCs/>
          <w:noProof/>
        </w:rPr>
        <w:t>Bioinformatics</w:t>
      </w:r>
      <w:r w:rsidRPr="00175200">
        <w:rPr>
          <w:rFonts w:ascii="Times New Roman" w:hAnsi="Times New Roman"/>
          <w:noProof/>
        </w:rPr>
        <w:t xml:space="preserve">, </w:t>
      </w:r>
      <w:r w:rsidRPr="00175200">
        <w:rPr>
          <w:rFonts w:ascii="Times New Roman" w:hAnsi="Times New Roman"/>
          <w:i/>
          <w:iCs/>
          <w:noProof/>
        </w:rPr>
        <w:t>26</w:t>
      </w:r>
      <w:r w:rsidRPr="00175200">
        <w:rPr>
          <w:rFonts w:ascii="Times New Roman" w:hAnsi="Times New Roman"/>
          <w:noProof/>
        </w:rPr>
        <w:t>(6), 841–842. https://doi.org/10.1093/bioinformatics/btq033</w:t>
      </w:r>
    </w:p>
    <w:p w14:paraId="7EF8D1BE" w14:textId="77777777" w:rsidR="00175200" w:rsidRPr="00175200" w:rsidRDefault="00175200" w:rsidP="00175200">
      <w:pPr>
        <w:widowControl w:val="0"/>
        <w:autoSpaceDE w:val="0"/>
        <w:autoSpaceDN w:val="0"/>
        <w:adjustRightInd w:val="0"/>
        <w:ind w:left="480" w:hanging="480"/>
        <w:rPr>
          <w:rFonts w:ascii="Times New Roman" w:hAnsi="Times New Roman"/>
          <w:noProof/>
        </w:rPr>
      </w:pPr>
      <w:r w:rsidRPr="00175200">
        <w:rPr>
          <w:rFonts w:ascii="Times New Roman" w:hAnsi="Times New Roman"/>
          <w:noProof/>
        </w:rPr>
        <w:t xml:space="preserve">Rodriguez, A., Vigorito, E., Clare, S., Warren, M. V, Couttet, P., Soond, D. R., Dongen, S. Van, Grocock, R. J., Das, P. P., Miska, E. A., Vetrie, D., Okkenhaug, K., Enright, A. J., Dougan, G., Turner, M., and Bradley, A. (2007). Requirement of bic/microRNA-155 for normal immune function. </w:t>
      </w:r>
      <w:r w:rsidRPr="00175200">
        <w:rPr>
          <w:rFonts w:ascii="Times New Roman" w:hAnsi="Times New Roman"/>
          <w:i/>
          <w:iCs/>
          <w:noProof/>
        </w:rPr>
        <w:t>Science</w:t>
      </w:r>
      <w:r w:rsidRPr="00175200">
        <w:rPr>
          <w:rFonts w:ascii="Times New Roman" w:hAnsi="Times New Roman"/>
          <w:noProof/>
        </w:rPr>
        <w:t xml:space="preserve">, </w:t>
      </w:r>
      <w:r w:rsidRPr="00175200">
        <w:rPr>
          <w:rFonts w:ascii="Times New Roman" w:hAnsi="Times New Roman"/>
          <w:i/>
          <w:iCs/>
          <w:noProof/>
        </w:rPr>
        <w:t>981</w:t>
      </w:r>
      <w:r w:rsidRPr="00175200">
        <w:rPr>
          <w:rFonts w:ascii="Times New Roman" w:hAnsi="Times New Roman"/>
          <w:noProof/>
        </w:rPr>
        <w:t>(April), 608–611. https://doi.org/10.1126/science.1139253</w:t>
      </w:r>
    </w:p>
    <w:p w14:paraId="5880B5B7" w14:textId="674B462C" w:rsidR="00565ECF" w:rsidRPr="00115DA0" w:rsidRDefault="00115DA0" w:rsidP="00175200">
      <w:pPr>
        <w:widowControl w:val="0"/>
        <w:autoSpaceDE w:val="0"/>
        <w:autoSpaceDN w:val="0"/>
        <w:adjustRightInd w:val="0"/>
        <w:ind w:left="480" w:hanging="480"/>
      </w:pPr>
      <w:r>
        <w:rPr>
          <w:rFonts w:ascii="Times New Roman" w:hAnsi="Times New Roman" w:cs="Times New Roman"/>
        </w:rPr>
        <w:fldChar w:fldCharType="end"/>
      </w:r>
      <w:r w:rsidRPr="00115DA0">
        <w:t xml:space="preserve"> </w:t>
      </w:r>
    </w:p>
    <w:sectPr w:rsidR="00565ECF" w:rsidRPr="00115DA0" w:rsidSect="00540326">
      <w:footerReference w:type="even" r:id="rId8"/>
      <w:footerReference w:type="default" r:id="rId9"/>
      <w:pgSz w:w="12240" w:h="15840"/>
      <w:pgMar w:top="1440" w:right="1440" w:bottom="1440" w:left="1440" w:header="720" w:footer="432" w:gutter="0"/>
      <w:lnNumType w:countBy="1" w:restart="continuous"/>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0E346" w14:textId="77777777" w:rsidR="00175200" w:rsidRDefault="00175200">
      <w:r>
        <w:separator/>
      </w:r>
    </w:p>
  </w:endnote>
  <w:endnote w:type="continuationSeparator" w:id="0">
    <w:p w14:paraId="2DF01E86" w14:textId="77777777" w:rsidR="00175200" w:rsidRDefault="001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BDB9E" w14:textId="77777777" w:rsidR="00175200" w:rsidRDefault="00175200" w:rsidP="005403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C50F44" w14:textId="77777777" w:rsidR="00175200" w:rsidRDefault="001752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93EF" w14:textId="77777777" w:rsidR="00175200" w:rsidRDefault="00175200" w:rsidP="005403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48B">
      <w:rPr>
        <w:rStyle w:val="PageNumber"/>
        <w:noProof/>
      </w:rPr>
      <w:t>9</w:t>
    </w:r>
    <w:r>
      <w:rPr>
        <w:rStyle w:val="PageNumber"/>
      </w:rPr>
      <w:fldChar w:fldCharType="end"/>
    </w:r>
  </w:p>
  <w:p w14:paraId="3FF42FEF" w14:textId="77777777" w:rsidR="00175200" w:rsidRDefault="001752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6808F" w14:textId="77777777" w:rsidR="00175200" w:rsidRDefault="00175200">
      <w:r>
        <w:separator/>
      </w:r>
    </w:p>
  </w:footnote>
  <w:footnote w:type="continuationSeparator" w:id="0">
    <w:p w14:paraId="4277C546" w14:textId="77777777" w:rsidR="00175200" w:rsidRDefault="00175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F1"/>
    <w:rsid w:val="00115DA0"/>
    <w:rsid w:val="00131449"/>
    <w:rsid w:val="00175200"/>
    <w:rsid w:val="00187789"/>
    <w:rsid w:val="002D00F4"/>
    <w:rsid w:val="002E31D3"/>
    <w:rsid w:val="00315B48"/>
    <w:rsid w:val="00363D79"/>
    <w:rsid w:val="00435AB8"/>
    <w:rsid w:val="00540326"/>
    <w:rsid w:val="00565ECF"/>
    <w:rsid w:val="006B38EF"/>
    <w:rsid w:val="006E462C"/>
    <w:rsid w:val="007824AA"/>
    <w:rsid w:val="00822FF1"/>
    <w:rsid w:val="008A348B"/>
    <w:rsid w:val="00946384"/>
    <w:rsid w:val="009C0213"/>
    <w:rsid w:val="009E24D8"/>
    <w:rsid w:val="00AF4B8E"/>
    <w:rsid w:val="00C46D29"/>
    <w:rsid w:val="00CB5AB2"/>
    <w:rsid w:val="00D563D1"/>
    <w:rsid w:val="00D56AA8"/>
    <w:rsid w:val="00D728FA"/>
    <w:rsid w:val="00DC0273"/>
    <w:rsid w:val="00E8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C601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F1"/>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FF1"/>
    <w:pPr>
      <w:tabs>
        <w:tab w:val="center" w:pos="4320"/>
        <w:tab w:val="right" w:pos="8640"/>
      </w:tabs>
    </w:pPr>
  </w:style>
  <w:style w:type="character" w:customStyle="1" w:styleId="FooterChar">
    <w:name w:val="Footer Char"/>
    <w:basedOn w:val="DefaultParagraphFont"/>
    <w:link w:val="Footer"/>
    <w:uiPriority w:val="99"/>
    <w:rsid w:val="00822FF1"/>
    <w:rPr>
      <w:lang w:eastAsia="ja-JP"/>
    </w:rPr>
  </w:style>
  <w:style w:type="character" w:styleId="PageNumber">
    <w:name w:val="page number"/>
    <w:basedOn w:val="DefaultParagraphFont"/>
    <w:uiPriority w:val="99"/>
    <w:semiHidden/>
    <w:unhideWhenUsed/>
    <w:rsid w:val="00822FF1"/>
  </w:style>
  <w:style w:type="paragraph" w:styleId="BalloonText">
    <w:name w:val="Balloon Text"/>
    <w:basedOn w:val="Normal"/>
    <w:link w:val="BalloonTextChar"/>
    <w:uiPriority w:val="99"/>
    <w:semiHidden/>
    <w:unhideWhenUsed/>
    <w:rsid w:val="00822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FF1"/>
    <w:rPr>
      <w:rFonts w:ascii="Lucida Grande" w:hAnsi="Lucida Grande" w:cs="Lucida Grande"/>
      <w:sz w:val="18"/>
      <w:szCs w:val="18"/>
      <w:lang w:eastAsia="ja-JP"/>
    </w:rPr>
  </w:style>
  <w:style w:type="character" w:styleId="LineNumber">
    <w:name w:val="line number"/>
    <w:basedOn w:val="DefaultParagraphFont"/>
    <w:uiPriority w:val="99"/>
    <w:semiHidden/>
    <w:unhideWhenUsed/>
    <w:rsid w:val="00822FF1"/>
  </w:style>
  <w:style w:type="character" w:styleId="Hyperlink">
    <w:name w:val="Hyperlink"/>
    <w:basedOn w:val="DefaultParagraphFont"/>
    <w:uiPriority w:val="99"/>
    <w:unhideWhenUsed/>
    <w:rsid w:val="00D563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F1"/>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FF1"/>
    <w:pPr>
      <w:tabs>
        <w:tab w:val="center" w:pos="4320"/>
        <w:tab w:val="right" w:pos="8640"/>
      </w:tabs>
    </w:pPr>
  </w:style>
  <w:style w:type="character" w:customStyle="1" w:styleId="FooterChar">
    <w:name w:val="Footer Char"/>
    <w:basedOn w:val="DefaultParagraphFont"/>
    <w:link w:val="Footer"/>
    <w:uiPriority w:val="99"/>
    <w:rsid w:val="00822FF1"/>
    <w:rPr>
      <w:lang w:eastAsia="ja-JP"/>
    </w:rPr>
  </w:style>
  <w:style w:type="character" w:styleId="PageNumber">
    <w:name w:val="page number"/>
    <w:basedOn w:val="DefaultParagraphFont"/>
    <w:uiPriority w:val="99"/>
    <w:semiHidden/>
    <w:unhideWhenUsed/>
    <w:rsid w:val="00822FF1"/>
  </w:style>
  <w:style w:type="paragraph" w:styleId="BalloonText">
    <w:name w:val="Balloon Text"/>
    <w:basedOn w:val="Normal"/>
    <w:link w:val="BalloonTextChar"/>
    <w:uiPriority w:val="99"/>
    <w:semiHidden/>
    <w:unhideWhenUsed/>
    <w:rsid w:val="00822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FF1"/>
    <w:rPr>
      <w:rFonts w:ascii="Lucida Grande" w:hAnsi="Lucida Grande" w:cs="Lucida Grande"/>
      <w:sz w:val="18"/>
      <w:szCs w:val="18"/>
      <w:lang w:eastAsia="ja-JP"/>
    </w:rPr>
  </w:style>
  <w:style w:type="character" w:styleId="LineNumber">
    <w:name w:val="line number"/>
    <w:basedOn w:val="DefaultParagraphFont"/>
    <w:uiPriority w:val="99"/>
    <w:semiHidden/>
    <w:unhideWhenUsed/>
    <w:rsid w:val="00822FF1"/>
  </w:style>
  <w:style w:type="character" w:styleId="Hyperlink">
    <w:name w:val="Hyperlink"/>
    <w:basedOn w:val="DefaultParagraphFont"/>
    <w:uiPriority w:val="99"/>
    <w:unhideWhenUsed/>
    <w:rsid w:val="00D56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argetscan.org/vert_71/vert_71_data_download/Summary_Counts.all_predictions.txt.zip"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12673</Words>
  <Characters>72240</Characters>
  <Application>Microsoft Macintosh Word</Application>
  <DocSecurity>0</DocSecurity>
  <Lines>602</Lines>
  <Paragraphs>169</Paragraphs>
  <ScaleCrop>false</ScaleCrop>
  <Company/>
  <LinksUpToDate>false</LinksUpToDate>
  <CharactersWithSpaces>84744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Sahin Naqvi</dc:creator>
  <cp:keywords/>
  <dc:description/>
  <cp:lastModifiedBy>Sahin Naqvi</cp:lastModifiedBy>
  <cp:revision>17</cp:revision>
  <dcterms:created xsi:type="dcterms:W3CDTF">2017-09-20T16:07:00Z</dcterms:created>
  <dcterms:modified xsi:type="dcterms:W3CDTF">2018-01-29T19:07:00Z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71f7ea58-4472-3d09-8320-50bf6901665a</vt:lpwstr>
  </property>
  <property fmtid="{D5CDD505-2E9C-101B-9397-08002B2CF9AE}" pid="4" name="Mendeley Citation Style_1">
    <vt:lpwstr>http://csl.mendeley.com/styles/3776071/apa-2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http://csl.mendeley.com/styles/3776071/apa-2</vt:lpwstr>
  </property>
  <property fmtid="{D5CDD505-2E9C-101B-9397-08002B2CF9AE}" pid="12" name="Mendeley Recent Style Name 3_1">
    <vt:lpwstr>American Psychological Association 6th edition - Sahin Naqvi</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