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9994C" w14:textId="77777777" w:rsidR="003B393F" w:rsidRDefault="009C1517" w:rsidP="003B393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3E7A83"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696D71D9" wp14:editId="70BCAB63">
            <wp:extent cx="3449782" cy="267438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4_2015_10_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" t="7033" r="52267" b="51461"/>
                    <a:stretch/>
                  </pic:blipFill>
                  <pic:spPr bwMode="auto">
                    <a:xfrm>
                      <a:off x="0" y="0"/>
                      <a:ext cx="3459682" cy="268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5BE49" w14:textId="2981F86A" w:rsidR="008E441C" w:rsidRPr="003E7A83" w:rsidRDefault="00863CF1" w:rsidP="00AE26DD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9C12B7" w:rsidRPr="003E7A83">
        <w:rPr>
          <w:rFonts w:ascii="Times New Roman" w:hAnsi="Times New Roman" w:cs="Times New Roman"/>
          <w:b/>
          <w:sz w:val="22"/>
        </w:rPr>
        <w:t xml:space="preserve"> </w:t>
      </w:r>
      <w:r w:rsidR="0031328F" w:rsidRPr="003E7A83">
        <w:rPr>
          <w:rFonts w:ascii="Times New Roman" w:hAnsi="Times New Roman" w:cs="Times New Roman"/>
          <w:b/>
          <w:sz w:val="22"/>
        </w:rPr>
        <w:t>F</w:t>
      </w:r>
      <w:r w:rsidR="00BC7094" w:rsidRPr="003E7A83">
        <w:rPr>
          <w:rFonts w:ascii="Times New Roman" w:hAnsi="Times New Roman" w:cs="Times New Roman"/>
          <w:b/>
          <w:sz w:val="22"/>
        </w:rPr>
        <w:t xml:space="preserve">igure </w:t>
      </w:r>
      <w:r w:rsidR="00AE26DD">
        <w:rPr>
          <w:rFonts w:ascii="Times New Roman" w:hAnsi="Times New Roman" w:cs="Times New Roman"/>
          <w:b/>
          <w:sz w:val="22"/>
        </w:rPr>
        <w:t>S9</w:t>
      </w:r>
      <w:r w:rsidR="00CF6126" w:rsidRPr="003E7A83">
        <w:rPr>
          <w:rFonts w:ascii="Times New Roman" w:hAnsi="Times New Roman" w:cs="Times New Roman"/>
          <w:b/>
          <w:sz w:val="22"/>
        </w:rPr>
        <w:t xml:space="preserve">. </w:t>
      </w:r>
      <w:bookmarkStart w:id="0" w:name="OLE_LINK14"/>
      <w:bookmarkStart w:id="1" w:name="OLE_LINK13"/>
      <w:r w:rsidR="00CF6126" w:rsidRPr="003E7A83">
        <w:rPr>
          <w:rFonts w:ascii="Times New Roman" w:hAnsi="Times New Roman" w:cs="Times New Roman"/>
          <w:sz w:val="22"/>
        </w:rPr>
        <w:t xml:space="preserve">Fraction of genes significantly tended to use distal pAs (lengthen) and proximal pAs (shorten) </w:t>
      </w:r>
      <w:r w:rsidR="009D3FE2">
        <w:rPr>
          <w:rFonts w:ascii="Times New Roman" w:hAnsi="Times New Roman" w:cs="Times New Roman"/>
          <w:sz w:val="22"/>
        </w:rPr>
        <w:t xml:space="preserve">in </w:t>
      </w:r>
      <w:r w:rsidR="00CF6126" w:rsidRPr="003E7A83">
        <w:rPr>
          <w:rFonts w:ascii="Times New Roman" w:hAnsi="Times New Roman" w:cs="Times New Roman"/>
          <w:sz w:val="22"/>
        </w:rPr>
        <w:t xml:space="preserve">senescent MEFs (PD11) </w:t>
      </w:r>
      <w:r w:rsidR="009D3FE2">
        <w:rPr>
          <w:rFonts w:ascii="Times New Roman" w:hAnsi="Times New Roman" w:cs="Times New Roman"/>
          <w:sz w:val="22"/>
        </w:rPr>
        <w:t>comparing to</w:t>
      </w:r>
      <w:r w:rsidR="00CF6126" w:rsidRPr="003E7A83">
        <w:rPr>
          <w:rFonts w:ascii="Times New Roman" w:hAnsi="Times New Roman" w:cs="Times New Roman"/>
          <w:sz w:val="22"/>
        </w:rPr>
        <w:t xml:space="preserve"> early passage of MEFs (PD6), </w:t>
      </w:r>
      <w:bookmarkEnd w:id="0"/>
      <w:bookmarkEnd w:id="1"/>
      <w:r w:rsidR="00CF6126" w:rsidRPr="003E7A83">
        <w:rPr>
          <w:rFonts w:ascii="Times New Roman" w:hAnsi="Times New Roman" w:cs="Times New Roman"/>
          <w:sz w:val="22"/>
        </w:rPr>
        <w:t xml:space="preserve">and also </w:t>
      </w:r>
      <w:r w:rsidR="009D3FE2">
        <w:rPr>
          <w:rFonts w:ascii="Times New Roman" w:hAnsi="Times New Roman" w:cs="Times New Roman"/>
          <w:sz w:val="22"/>
        </w:rPr>
        <w:t xml:space="preserve">that in </w:t>
      </w:r>
      <w:r w:rsidR="00D11526">
        <w:rPr>
          <w:rFonts w:ascii="Times New Roman" w:hAnsi="Times New Roman" w:cs="Times New Roman"/>
          <w:sz w:val="22"/>
        </w:rPr>
        <w:t>VSMCs</w:t>
      </w:r>
      <w:r w:rsidR="00CF6126" w:rsidRPr="003E7A83">
        <w:rPr>
          <w:rFonts w:ascii="Times New Roman" w:hAnsi="Times New Roman" w:cs="Times New Roman"/>
          <w:sz w:val="22"/>
        </w:rPr>
        <w:t xml:space="preserve"> from old rats (2 years old) </w:t>
      </w:r>
      <w:r w:rsidR="009D3FE2">
        <w:rPr>
          <w:rFonts w:ascii="Times New Roman" w:hAnsi="Times New Roman" w:cs="Times New Roman"/>
          <w:sz w:val="22"/>
        </w:rPr>
        <w:t>comparing to</w:t>
      </w:r>
      <w:r w:rsidR="003B393F">
        <w:rPr>
          <w:rFonts w:ascii="Times New Roman" w:hAnsi="Times New Roman" w:cs="Times New Roman"/>
          <w:sz w:val="22"/>
        </w:rPr>
        <w:t xml:space="preserve"> young rats (2 weeks old).</w:t>
      </w:r>
      <w:bookmarkStart w:id="2" w:name="_GoBack"/>
      <w:bookmarkEnd w:id="2"/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02E5" w14:textId="77777777" w:rsidR="006C4E8F" w:rsidRDefault="006C4E8F" w:rsidP="00F24E97">
      <w:r>
        <w:separator/>
      </w:r>
    </w:p>
  </w:endnote>
  <w:endnote w:type="continuationSeparator" w:id="0">
    <w:p w14:paraId="79BD9920" w14:textId="77777777" w:rsidR="006C4E8F" w:rsidRDefault="006C4E8F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36F4C" w14:textId="77777777" w:rsidR="006C4E8F" w:rsidRDefault="006C4E8F" w:rsidP="00F24E97">
      <w:r>
        <w:separator/>
      </w:r>
    </w:p>
  </w:footnote>
  <w:footnote w:type="continuationSeparator" w:id="0">
    <w:p w14:paraId="46349C8F" w14:textId="77777777" w:rsidR="006C4E8F" w:rsidRDefault="006C4E8F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5DD4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B393F"/>
    <w:rsid w:val="003C20E5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C4E8F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962DA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26DD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2A23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5E25-E2E6-4F4E-A583-705F265A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5</cp:revision>
  <dcterms:created xsi:type="dcterms:W3CDTF">2017-11-19T10:13:00Z</dcterms:created>
  <dcterms:modified xsi:type="dcterms:W3CDTF">2018-01-11T11:47:00Z</dcterms:modified>
</cp:coreProperties>
</file>