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1377E" w14:textId="77777777" w:rsidR="00953BCA" w:rsidRPr="003E7A83" w:rsidRDefault="00953BCA" w:rsidP="00953BC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D892344" wp14:editId="111ADDDE">
            <wp:extent cx="5274310" cy="25292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 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BC58" w14:textId="62F8F695" w:rsidR="00953BCA" w:rsidRPr="003E7A83" w:rsidRDefault="00863CF1" w:rsidP="00953BC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8C12C6" w:rsidRPr="003E7A83">
        <w:rPr>
          <w:rFonts w:ascii="Times New Roman" w:hAnsi="Times New Roman" w:cs="Times New Roman"/>
          <w:b/>
          <w:sz w:val="22"/>
        </w:rPr>
        <w:t xml:space="preserve"> </w:t>
      </w:r>
      <w:r w:rsidR="00761B80" w:rsidRPr="003E7A83">
        <w:rPr>
          <w:rFonts w:ascii="Times New Roman" w:hAnsi="Times New Roman" w:cs="Times New Roman"/>
          <w:b/>
          <w:sz w:val="22"/>
        </w:rPr>
        <w:t xml:space="preserve">Figure </w:t>
      </w:r>
      <w:r w:rsidR="00E12392">
        <w:rPr>
          <w:rFonts w:ascii="Times New Roman" w:hAnsi="Times New Roman" w:cs="Times New Roman"/>
          <w:b/>
          <w:sz w:val="22"/>
        </w:rPr>
        <w:t>S5</w:t>
      </w:r>
      <w:bookmarkStart w:id="0" w:name="_GoBack"/>
      <w:bookmarkEnd w:id="0"/>
      <w:r w:rsidR="00071BB9" w:rsidRPr="003E7A83">
        <w:rPr>
          <w:rFonts w:ascii="Times New Roman" w:hAnsi="Times New Roman" w:cs="Times New Roman"/>
          <w:b/>
          <w:sz w:val="22"/>
        </w:rPr>
        <w:t>. Global lengthening of 3′ UTRs for genes with APA regulation during replicative senescence of MEFs.</w:t>
      </w:r>
      <w:r w:rsidR="00F5662D" w:rsidRPr="003E7A83">
        <w:rPr>
          <w:rFonts w:ascii="Times New Roman" w:hAnsi="Times New Roman" w:cs="Times New Roman"/>
          <w:sz w:val="22"/>
        </w:rPr>
        <w:t xml:space="preserve"> (A</w:t>
      </w:r>
      <w:r w:rsidR="00071BB9" w:rsidRPr="003E7A83">
        <w:rPr>
          <w:rFonts w:ascii="Times New Roman" w:hAnsi="Times New Roman" w:cs="Times New Roman"/>
          <w:sz w:val="22"/>
        </w:rPr>
        <w:t>) Box plot for relative expression of mRNA isoforms using distal pA sites (RUD scores) across G0, PD6,</w:t>
      </w:r>
      <w:r w:rsidR="00F5662D" w:rsidRPr="003E7A83">
        <w:rPr>
          <w:rFonts w:ascii="Times New Roman" w:hAnsi="Times New Roman" w:cs="Times New Roman"/>
          <w:sz w:val="22"/>
        </w:rPr>
        <w:t xml:space="preserve"> PD8, PD10, and PD11 of MEFs. (B</w:t>
      </w:r>
      <w:r w:rsidR="00071BB9" w:rsidRPr="003E7A83">
        <w:rPr>
          <w:rFonts w:ascii="Times New Roman" w:hAnsi="Times New Roman" w:cs="Times New Roman"/>
          <w:sz w:val="22"/>
        </w:rPr>
        <w:t>) Number of genes with higher RUD scores and number of genes with lower RUD scores by comparing PD11, PD10, and PD8 to PD6 given different cutoffs based on RNA-seq data. (***) P &lt; 0.001 and (*) P &lt; 0.05, two-tailed Wilcoxon signed rank test.</w:t>
      </w:r>
    </w:p>
    <w:p w14:paraId="7A085CC6" w14:textId="77777777" w:rsidR="00953BCA" w:rsidRPr="003E7A83" w:rsidRDefault="00953BCA" w:rsidP="00953BC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sectPr w:rsidR="00953BCA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E2234" w14:textId="77777777" w:rsidR="00911C11" w:rsidRDefault="00911C11" w:rsidP="00F24E97">
      <w:r>
        <w:separator/>
      </w:r>
    </w:p>
  </w:endnote>
  <w:endnote w:type="continuationSeparator" w:id="0">
    <w:p w14:paraId="3957AEAD" w14:textId="77777777" w:rsidR="00911C11" w:rsidRDefault="00911C11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CA2E1" w14:textId="77777777" w:rsidR="00911C11" w:rsidRDefault="00911C11" w:rsidP="00F24E97">
      <w:r>
        <w:separator/>
      </w:r>
    </w:p>
  </w:footnote>
  <w:footnote w:type="continuationSeparator" w:id="0">
    <w:p w14:paraId="20339F67" w14:textId="77777777" w:rsidR="00911C11" w:rsidRDefault="00911C11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199B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4D25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1C11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2392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CA3C-EE1F-4841-8C87-397A914E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3</cp:revision>
  <dcterms:created xsi:type="dcterms:W3CDTF">2017-11-19T09:07:00Z</dcterms:created>
  <dcterms:modified xsi:type="dcterms:W3CDTF">2017-11-19T09:38:00Z</dcterms:modified>
</cp:coreProperties>
</file>