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019BC" w14:textId="0EC6FED4" w:rsidR="00A4132E" w:rsidRPr="003E7A83" w:rsidRDefault="00A4132E" w:rsidP="00C85632">
      <w:pPr>
        <w:widowControl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sz w:val="22"/>
        </w:rPr>
      </w:pPr>
      <w:r w:rsidRPr="003E7A83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24BB966" wp14:editId="1E1446AA">
            <wp:extent cx="5274310" cy="47910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S3_2015_9_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3D824" w14:textId="77777777" w:rsidR="00CB6134" w:rsidRDefault="00CB6134" w:rsidP="00A4132E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</w:p>
    <w:p w14:paraId="75E815F6" w14:textId="6AA79365" w:rsidR="00A4132E" w:rsidRPr="003E7A83" w:rsidRDefault="00863CF1" w:rsidP="00A4132E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A4132E" w:rsidRPr="003E7A83">
        <w:rPr>
          <w:rFonts w:ascii="Times New Roman" w:hAnsi="Times New Roman" w:cs="Times New Roman"/>
          <w:b/>
          <w:sz w:val="22"/>
        </w:rPr>
        <w:t xml:space="preserve"> Figure </w:t>
      </w:r>
      <w:r w:rsidR="00A50304">
        <w:rPr>
          <w:rFonts w:ascii="Times New Roman" w:hAnsi="Times New Roman" w:cs="Times New Roman"/>
          <w:b/>
          <w:sz w:val="22"/>
        </w:rPr>
        <w:t>S</w:t>
      </w:r>
      <w:bookmarkStart w:id="0" w:name="_GoBack"/>
      <w:bookmarkEnd w:id="0"/>
      <w:r w:rsidR="00A4132E" w:rsidRPr="003E7A83">
        <w:rPr>
          <w:rFonts w:ascii="Times New Roman" w:hAnsi="Times New Roman" w:cs="Times New Roman"/>
          <w:b/>
          <w:sz w:val="22"/>
        </w:rPr>
        <w:t xml:space="preserve">4. </w:t>
      </w:r>
      <w:r w:rsidR="00A4132E" w:rsidRPr="003E7A83">
        <w:rPr>
          <w:rFonts w:ascii="Times New Roman" w:hAnsi="Times New Roman" w:cs="Times New Roman"/>
          <w:b/>
          <w:bCs/>
          <w:sz w:val="22"/>
        </w:rPr>
        <w:t xml:space="preserve">Correlation of expression measured by PA-seq and RNA-seq for genes with multiple pAs. </w:t>
      </w:r>
      <w:r w:rsidR="00A4132E" w:rsidRPr="003E7A83">
        <w:rPr>
          <w:rFonts w:ascii="Times New Roman" w:hAnsi="Times New Roman" w:cs="Times New Roman"/>
          <w:bCs/>
          <w:sz w:val="22"/>
        </w:rPr>
        <w:t>(A-D) Correlation of expression measured by PA-seq and RNA-seq for genes with APA regulation in PD6, PD8, PD10, and PD11.</w:t>
      </w:r>
      <w:r w:rsidR="00A4132E" w:rsidRPr="003E7A83">
        <w:rPr>
          <w:rFonts w:ascii="Times New Roman" w:hAnsi="Times New Roman" w:cs="Times New Roman"/>
          <w:sz w:val="22"/>
        </w:rPr>
        <w:t xml:space="preserve"> </w:t>
      </w:r>
      <w:bookmarkStart w:id="1" w:name="OLE_LINK417"/>
      <w:bookmarkStart w:id="2" w:name="OLE_LINK418"/>
      <w:r w:rsidR="00A4132E" w:rsidRPr="003E7A83">
        <w:rPr>
          <w:rFonts w:ascii="Times New Roman" w:hAnsi="Times New Roman" w:cs="Times New Roman"/>
          <w:bCs/>
          <w:sz w:val="22"/>
        </w:rPr>
        <w:t>Rho</w:t>
      </w:r>
      <w:bookmarkEnd w:id="1"/>
      <w:bookmarkEnd w:id="2"/>
      <w:r w:rsidR="00A4132E" w:rsidRPr="003E7A83">
        <w:rPr>
          <w:rFonts w:ascii="Times New Roman" w:hAnsi="Times New Roman" w:cs="Times New Roman"/>
          <w:bCs/>
          <w:sz w:val="22"/>
        </w:rPr>
        <w:t xml:space="preserve"> indicates Spearman's rank correlation coefficient.</w:t>
      </w:r>
    </w:p>
    <w:p w14:paraId="639F884F" w14:textId="77777777" w:rsidR="004A2A8B" w:rsidRPr="003E7A83" w:rsidRDefault="004A2A8B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sectPr w:rsidR="004A2A8B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E8F56" w14:textId="77777777" w:rsidR="00B04EE2" w:rsidRDefault="00B04EE2" w:rsidP="00F24E97">
      <w:r>
        <w:separator/>
      </w:r>
    </w:p>
  </w:endnote>
  <w:endnote w:type="continuationSeparator" w:id="0">
    <w:p w14:paraId="442D2BC1" w14:textId="77777777" w:rsidR="00B04EE2" w:rsidRDefault="00B04EE2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29560" w14:textId="77777777" w:rsidR="00B04EE2" w:rsidRDefault="00B04EE2" w:rsidP="00F24E97">
      <w:r>
        <w:separator/>
      </w:r>
    </w:p>
  </w:footnote>
  <w:footnote w:type="continuationSeparator" w:id="0">
    <w:p w14:paraId="58174BBC" w14:textId="77777777" w:rsidR="00B04EE2" w:rsidRDefault="00B04EE2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972E4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2917"/>
    <w:rsid w:val="00273DC8"/>
    <w:rsid w:val="002741CA"/>
    <w:rsid w:val="002841A9"/>
    <w:rsid w:val="0028535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3A2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5BA9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679E7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50304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4EE2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07C9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1B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34A3B-D6E6-4881-8892-A6A14C0A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5</cp:revision>
  <dcterms:created xsi:type="dcterms:W3CDTF">2017-11-19T09:07:00Z</dcterms:created>
  <dcterms:modified xsi:type="dcterms:W3CDTF">2017-11-19T09:38:00Z</dcterms:modified>
</cp:coreProperties>
</file>