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5729" w14:textId="128571D3" w:rsidR="00C50C6A" w:rsidRPr="003E7A83" w:rsidRDefault="00BD5214" w:rsidP="00BD5214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noProof/>
          <w:szCs w:val="21"/>
        </w:rPr>
        <w:drawing>
          <wp:inline distT="0" distB="0" distL="0" distR="0" wp14:anchorId="5BC6BEA6" wp14:editId="5B1E8894">
            <wp:extent cx="4667534" cy="5785571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Fig S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67" b="26802"/>
                    <a:stretch/>
                  </pic:blipFill>
                  <pic:spPr bwMode="auto">
                    <a:xfrm>
                      <a:off x="0" y="0"/>
                      <a:ext cx="4684640" cy="580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BA426" w14:textId="7C145748" w:rsidR="00F916E9" w:rsidRPr="004B4FDA" w:rsidRDefault="00863CF1" w:rsidP="00F916E9">
      <w:pPr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sz w:val="22"/>
        </w:rPr>
      </w:pPr>
      <w:r w:rsidRPr="00603D13">
        <w:rPr>
          <w:rFonts w:ascii="Times New Roman" w:hAnsi="Times New Roman" w:cs="Times New Roman"/>
          <w:b/>
          <w:sz w:val="22"/>
        </w:rPr>
        <w:t>Supplemental</w:t>
      </w:r>
      <w:r w:rsidR="00886CA4" w:rsidRPr="00603D13">
        <w:rPr>
          <w:rFonts w:ascii="Times New Roman" w:hAnsi="Times New Roman" w:cs="Times New Roman"/>
          <w:b/>
          <w:sz w:val="22"/>
        </w:rPr>
        <w:t xml:space="preserve"> Figure </w:t>
      </w:r>
      <w:r w:rsidR="007635D4">
        <w:rPr>
          <w:rFonts w:ascii="Times New Roman" w:hAnsi="Times New Roman" w:cs="Times New Roman"/>
          <w:b/>
          <w:sz w:val="22"/>
        </w:rPr>
        <w:t>S20</w:t>
      </w:r>
      <w:bookmarkStart w:id="0" w:name="_GoBack"/>
      <w:bookmarkEnd w:id="0"/>
      <w:r w:rsidR="00CF6126" w:rsidRPr="00603D13">
        <w:rPr>
          <w:rFonts w:ascii="Times New Roman" w:hAnsi="Times New Roman" w:cs="Times New Roman"/>
          <w:b/>
          <w:sz w:val="22"/>
        </w:rPr>
        <w:t xml:space="preserve">. </w:t>
      </w:r>
      <w:r w:rsidR="00F916E9" w:rsidRPr="007967A3">
        <w:rPr>
          <w:rFonts w:ascii="Times New Roman" w:hAnsi="Times New Roman"/>
          <w:b/>
          <w:color w:val="000000" w:themeColor="text1"/>
          <w:sz w:val="22"/>
        </w:rPr>
        <w:t>Gene expression of known cleavage and polyadenylation factors during replicative senescence of MEFs based on RNA-seq data (A) and qRT-PCR validation (B).</w:t>
      </w:r>
      <w:r w:rsidR="00F916E9" w:rsidRPr="004B4FDA">
        <w:rPr>
          <w:rFonts w:ascii="Times New Roman" w:hAnsi="Times New Roman"/>
          <w:color w:val="000000" w:themeColor="text1"/>
          <w:sz w:val="22"/>
        </w:rPr>
        <w:t xml:space="preserve"> (***) P &lt; 0.001, (**) P &lt; 0.01 and (*) P &lt; 0.05, two-tailed t-test.</w:t>
      </w:r>
    </w:p>
    <w:p w14:paraId="234C3861" w14:textId="77777777" w:rsidR="00F916E9" w:rsidRPr="003E7A83" w:rsidRDefault="00F916E9" w:rsidP="00C21872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sectPr w:rsidR="00F916E9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7371" w14:textId="77777777" w:rsidR="007667EE" w:rsidRDefault="007667EE" w:rsidP="00F24E97">
      <w:r>
        <w:separator/>
      </w:r>
    </w:p>
  </w:endnote>
  <w:endnote w:type="continuationSeparator" w:id="0">
    <w:p w14:paraId="6E4D32BF" w14:textId="77777777" w:rsidR="007667EE" w:rsidRDefault="007667EE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ED48" w14:textId="77777777" w:rsidR="007667EE" w:rsidRDefault="007667EE" w:rsidP="00F24E97">
      <w:r>
        <w:separator/>
      </w:r>
    </w:p>
  </w:footnote>
  <w:footnote w:type="continuationSeparator" w:id="0">
    <w:p w14:paraId="3FA8F4F5" w14:textId="77777777" w:rsidR="007667EE" w:rsidRDefault="007667EE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44C66"/>
    <w:rsid w:val="00146E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17CC"/>
    <w:rsid w:val="001F6095"/>
    <w:rsid w:val="00207644"/>
    <w:rsid w:val="002102CC"/>
    <w:rsid w:val="00221930"/>
    <w:rsid w:val="0022570A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01F1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8561D"/>
    <w:rsid w:val="0049208B"/>
    <w:rsid w:val="00492B0B"/>
    <w:rsid w:val="00494F2C"/>
    <w:rsid w:val="004A16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151DA"/>
    <w:rsid w:val="00523DEA"/>
    <w:rsid w:val="00526C47"/>
    <w:rsid w:val="005306E8"/>
    <w:rsid w:val="00531D23"/>
    <w:rsid w:val="005326D4"/>
    <w:rsid w:val="0054031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249A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A568E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3D13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2FF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635D4"/>
    <w:rsid w:val="007667EE"/>
    <w:rsid w:val="007720E0"/>
    <w:rsid w:val="00772FB9"/>
    <w:rsid w:val="0077379E"/>
    <w:rsid w:val="00783F70"/>
    <w:rsid w:val="00787EC4"/>
    <w:rsid w:val="00790341"/>
    <w:rsid w:val="007967A3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74CE4"/>
    <w:rsid w:val="00886CA4"/>
    <w:rsid w:val="00893078"/>
    <w:rsid w:val="00894329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A54"/>
    <w:rsid w:val="00932CC4"/>
    <w:rsid w:val="00934872"/>
    <w:rsid w:val="009374F8"/>
    <w:rsid w:val="00942434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BE2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47007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5214"/>
    <w:rsid w:val="00BD6270"/>
    <w:rsid w:val="00BD7CBD"/>
    <w:rsid w:val="00BE78DA"/>
    <w:rsid w:val="00BF57E0"/>
    <w:rsid w:val="00C114A0"/>
    <w:rsid w:val="00C21872"/>
    <w:rsid w:val="00C31EED"/>
    <w:rsid w:val="00C41419"/>
    <w:rsid w:val="00C41855"/>
    <w:rsid w:val="00C50176"/>
    <w:rsid w:val="00C50C6A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C45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37211"/>
    <w:rsid w:val="00D40005"/>
    <w:rsid w:val="00D43B0B"/>
    <w:rsid w:val="00D43DA3"/>
    <w:rsid w:val="00D44EA4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0AD9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028A"/>
    <w:rsid w:val="00F724A2"/>
    <w:rsid w:val="00F802BC"/>
    <w:rsid w:val="00F809BB"/>
    <w:rsid w:val="00F85778"/>
    <w:rsid w:val="00F916E9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7D9DFE46-0459-4123-B049-01464BA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A3D2-257D-417E-BD44-F6ACB448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dc:description>NE.Rep</dc:description>
  <cp:lastModifiedBy>TingNi</cp:lastModifiedBy>
  <cp:revision>15</cp:revision>
  <dcterms:created xsi:type="dcterms:W3CDTF">2017-11-19T13:17:00Z</dcterms:created>
  <dcterms:modified xsi:type="dcterms:W3CDTF">2018-01-19T05:50:00Z</dcterms:modified>
</cp:coreProperties>
</file>