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917AF" w14:textId="77777777" w:rsidR="00971F73" w:rsidRPr="003E7A83" w:rsidRDefault="000D3FBF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19A044A1" wp14:editId="34758737">
            <wp:extent cx="5274310" cy="5486400"/>
            <wp:effectExtent l="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E49" w14:textId="74BB1A99" w:rsidR="008E441C" w:rsidRPr="003E7A83" w:rsidRDefault="00863CF1" w:rsidP="003302EF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BC5BCF" w:rsidRPr="003E7A83">
        <w:rPr>
          <w:rFonts w:ascii="Times New Roman" w:hAnsi="Times New Roman" w:cs="Times New Roman"/>
          <w:b/>
          <w:sz w:val="22"/>
        </w:rPr>
        <w:t xml:space="preserve"> </w:t>
      </w:r>
      <w:r w:rsidR="00971F73" w:rsidRPr="003E7A83">
        <w:rPr>
          <w:rFonts w:ascii="Times New Roman" w:hAnsi="Times New Roman" w:cs="Times New Roman"/>
          <w:b/>
          <w:sz w:val="22"/>
        </w:rPr>
        <w:t xml:space="preserve">Figure </w:t>
      </w:r>
      <w:r w:rsidR="003302EF">
        <w:rPr>
          <w:rFonts w:ascii="Times New Roman" w:hAnsi="Times New Roman" w:cs="Times New Roman"/>
          <w:b/>
          <w:sz w:val="22"/>
        </w:rPr>
        <w:t>S</w:t>
      </w:r>
      <w:bookmarkStart w:id="0" w:name="_GoBack"/>
      <w:bookmarkEnd w:id="0"/>
      <w:r w:rsidR="00824848" w:rsidRPr="003E7A83">
        <w:rPr>
          <w:rFonts w:ascii="Times New Roman" w:hAnsi="Times New Roman" w:cs="Times New Roman"/>
          <w:b/>
          <w:sz w:val="22"/>
        </w:rPr>
        <w:t>2</w:t>
      </w:r>
      <w:r w:rsidR="00971F73" w:rsidRPr="003E7A83">
        <w:rPr>
          <w:rFonts w:ascii="Times New Roman" w:hAnsi="Times New Roman" w:cs="Times New Roman"/>
          <w:b/>
          <w:sz w:val="22"/>
        </w:rPr>
        <w:t>. Summary of pAs in MEFs identified by PA-seq.</w:t>
      </w:r>
      <w:r w:rsidR="00971F73" w:rsidRPr="003E7A83">
        <w:rPr>
          <w:rFonts w:ascii="Times New Roman" w:hAnsi="Times New Roman" w:cs="Times New Roman"/>
          <w:sz w:val="22"/>
        </w:rPr>
        <w:t xml:space="preserve"> (A) </w:t>
      </w:r>
      <w:r w:rsidR="00447AE5">
        <w:rPr>
          <w:rFonts w:ascii="Times New Roman" w:hAnsi="Times New Roman" w:cs="Times New Roman"/>
          <w:sz w:val="22"/>
        </w:rPr>
        <w:t>C</w:t>
      </w:r>
      <w:r w:rsidR="00971F73" w:rsidRPr="003E7A83">
        <w:rPr>
          <w:rFonts w:ascii="Times New Roman" w:hAnsi="Times New Roman" w:cs="Times New Roman"/>
          <w:sz w:val="22"/>
        </w:rPr>
        <w:t xml:space="preserve">ategories of </w:t>
      </w:r>
      <w:r w:rsidR="00447AE5">
        <w:rPr>
          <w:rFonts w:ascii="Times New Roman" w:hAnsi="Times New Roman" w:cs="Times New Roman"/>
          <w:sz w:val="22"/>
        </w:rPr>
        <w:t>g</w:t>
      </w:r>
      <w:r w:rsidR="00447AE5" w:rsidRPr="003E7A83">
        <w:rPr>
          <w:rFonts w:ascii="Times New Roman" w:hAnsi="Times New Roman" w:cs="Times New Roman"/>
          <w:sz w:val="22"/>
        </w:rPr>
        <w:t>ene</w:t>
      </w:r>
      <w:r w:rsidR="00447AE5">
        <w:rPr>
          <w:rFonts w:ascii="Times New Roman" w:hAnsi="Times New Roman" w:cs="Times New Roman"/>
          <w:sz w:val="22"/>
        </w:rPr>
        <w:t>s</w:t>
      </w:r>
      <w:r w:rsidR="00447AE5" w:rsidRPr="003E7A83">
        <w:rPr>
          <w:rFonts w:ascii="Times New Roman" w:hAnsi="Times New Roman" w:cs="Times New Roman"/>
          <w:sz w:val="22"/>
        </w:rPr>
        <w:t xml:space="preserve"> </w:t>
      </w:r>
      <w:r w:rsidR="00447AE5">
        <w:rPr>
          <w:rFonts w:ascii="Times New Roman" w:hAnsi="Times New Roman" w:cs="Times New Roman"/>
          <w:sz w:val="22"/>
        </w:rPr>
        <w:t xml:space="preserve">with identified </w:t>
      </w:r>
      <w:r w:rsidR="00971F73" w:rsidRPr="003E7A83">
        <w:rPr>
          <w:rFonts w:ascii="Times New Roman" w:hAnsi="Times New Roman" w:cs="Times New Roman"/>
          <w:sz w:val="22"/>
        </w:rPr>
        <w:t xml:space="preserve">pAs based on RefSeq annotation. (B) </w:t>
      </w:r>
      <w:r w:rsidR="007349DF">
        <w:rPr>
          <w:rFonts w:ascii="Times New Roman" w:hAnsi="Times New Roman" w:cs="Times New Roman"/>
          <w:sz w:val="22"/>
        </w:rPr>
        <w:t>Genomic l</w:t>
      </w:r>
      <w:r w:rsidR="00971F73" w:rsidRPr="003E7A83">
        <w:rPr>
          <w:rFonts w:ascii="Times New Roman" w:hAnsi="Times New Roman" w:cs="Times New Roman"/>
          <w:sz w:val="22"/>
        </w:rPr>
        <w:t>ocation</w:t>
      </w:r>
      <w:r w:rsidR="00447AE5">
        <w:rPr>
          <w:rFonts w:ascii="Times New Roman" w:hAnsi="Times New Roman" w:cs="Times New Roman"/>
          <w:sz w:val="22"/>
        </w:rPr>
        <w:t xml:space="preserve"> distribution</w:t>
      </w:r>
      <w:r w:rsidR="00971F73" w:rsidRPr="003E7A83">
        <w:rPr>
          <w:rFonts w:ascii="Times New Roman" w:hAnsi="Times New Roman" w:cs="Times New Roman"/>
          <w:sz w:val="22"/>
        </w:rPr>
        <w:t xml:space="preserve"> of the identified pAs. (C) </w:t>
      </w:r>
      <w:r w:rsidR="00845C8F">
        <w:rPr>
          <w:rFonts w:ascii="Times New Roman" w:hAnsi="Times New Roman" w:cs="Times New Roman"/>
          <w:sz w:val="22"/>
        </w:rPr>
        <w:t>Genomic l</w:t>
      </w:r>
      <w:r w:rsidR="00971F73" w:rsidRPr="003E7A83">
        <w:rPr>
          <w:rFonts w:ascii="Times New Roman" w:hAnsi="Times New Roman" w:cs="Times New Roman"/>
          <w:sz w:val="22"/>
        </w:rPr>
        <w:t>ocation</w:t>
      </w:r>
      <w:r w:rsidR="00447AE5">
        <w:rPr>
          <w:rFonts w:ascii="Times New Roman" w:hAnsi="Times New Roman" w:cs="Times New Roman"/>
          <w:sz w:val="22"/>
        </w:rPr>
        <w:t xml:space="preserve"> distribution</w:t>
      </w:r>
      <w:r w:rsidR="00971F73" w:rsidRPr="003E7A83">
        <w:rPr>
          <w:rFonts w:ascii="Times New Roman" w:hAnsi="Times New Roman" w:cs="Times New Roman"/>
          <w:sz w:val="22"/>
        </w:rPr>
        <w:t xml:space="preserve"> of </w:t>
      </w:r>
      <w:r w:rsidR="00447AE5">
        <w:rPr>
          <w:rFonts w:ascii="Times New Roman" w:hAnsi="Times New Roman" w:cs="Times New Roman"/>
          <w:sz w:val="22"/>
        </w:rPr>
        <w:t xml:space="preserve">tags in </w:t>
      </w:r>
      <w:r w:rsidR="00971F73" w:rsidRPr="003E7A83">
        <w:rPr>
          <w:rFonts w:ascii="Times New Roman" w:hAnsi="Times New Roman" w:cs="Times New Roman"/>
          <w:sz w:val="22"/>
        </w:rPr>
        <w:t>the identified pA</w:t>
      </w:r>
      <w:r w:rsidR="00447AE5">
        <w:rPr>
          <w:rFonts w:ascii="Times New Roman" w:hAnsi="Times New Roman" w:cs="Times New Roman"/>
          <w:sz w:val="22"/>
        </w:rPr>
        <w:t>s</w:t>
      </w:r>
      <w:r w:rsidR="00845C8F">
        <w:rPr>
          <w:rFonts w:ascii="Times New Roman" w:hAnsi="Times New Roman" w:cs="Times New Roman"/>
          <w:sz w:val="22"/>
        </w:rPr>
        <w:t>.</w:t>
      </w:r>
      <w:r w:rsidR="00971F73" w:rsidRPr="003E7A83">
        <w:rPr>
          <w:rFonts w:ascii="Times New Roman" w:hAnsi="Times New Roman" w:cs="Times New Roman"/>
          <w:sz w:val="22"/>
        </w:rPr>
        <w:t xml:space="preserve"> (D) </w:t>
      </w:r>
      <w:r w:rsidR="00447AE5">
        <w:rPr>
          <w:rFonts w:ascii="Times New Roman" w:hAnsi="Times New Roman" w:cs="Times New Roman"/>
          <w:sz w:val="22"/>
        </w:rPr>
        <w:t>Distribution of n</w:t>
      </w:r>
      <w:r w:rsidR="00971F73" w:rsidRPr="003E7A83">
        <w:rPr>
          <w:rFonts w:ascii="Times New Roman" w:hAnsi="Times New Roman" w:cs="Times New Roman"/>
          <w:sz w:val="22"/>
        </w:rPr>
        <w:t>ucleotide composition</w:t>
      </w:r>
      <w:r w:rsidR="00447AE5">
        <w:rPr>
          <w:rFonts w:ascii="Times New Roman" w:hAnsi="Times New Roman" w:cs="Times New Roman"/>
          <w:sz w:val="22"/>
        </w:rPr>
        <w:t xml:space="preserve"> in the sequences</w:t>
      </w:r>
      <w:r w:rsidR="00971F73" w:rsidRPr="003E7A83">
        <w:rPr>
          <w:rFonts w:ascii="Times New Roman" w:hAnsi="Times New Roman" w:cs="Times New Roman"/>
          <w:sz w:val="22"/>
        </w:rPr>
        <w:t xml:space="preserve"> around the</w:t>
      </w:r>
      <w:r w:rsidR="00447AE5" w:rsidRPr="00447AE5">
        <w:rPr>
          <w:rFonts w:ascii="Times New Roman" w:hAnsi="Times New Roman" w:cs="Times New Roman"/>
          <w:sz w:val="22"/>
        </w:rPr>
        <w:t xml:space="preserve"> </w:t>
      </w:r>
      <w:r w:rsidR="00447AE5" w:rsidRPr="003E7A83">
        <w:rPr>
          <w:rFonts w:ascii="Times New Roman" w:hAnsi="Times New Roman" w:cs="Times New Roman"/>
          <w:sz w:val="22"/>
        </w:rPr>
        <w:t>identified</w:t>
      </w:r>
      <w:r w:rsidR="00971F73" w:rsidRPr="003E7A83">
        <w:rPr>
          <w:rFonts w:ascii="Times New Roman" w:hAnsi="Times New Roman" w:cs="Times New Roman"/>
          <w:sz w:val="22"/>
        </w:rPr>
        <w:t xml:space="preserve"> pAs. (E) </w:t>
      </w:r>
      <w:r w:rsidR="00447AE5">
        <w:rPr>
          <w:rFonts w:ascii="Times New Roman" w:hAnsi="Times New Roman" w:cs="Times New Roman"/>
          <w:sz w:val="22"/>
        </w:rPr>
        <w:t>T</w:t>
      </w:r>
      <w:r w:rsidR="00971F73" w:rsidRPr="003E7A83">
        <w:rPr>
          <w:rFonts w:ascii="Times New Roman" w:hAnsi="Times New Roman" w:cs="Times New Roman"/>
          <w:sz w:val="22"/>
        </w:rPr>
        <w:t xml:space="preserve">he canonical PAS motif, AATAAA, </w:t>
      </w:r>
      <w:r w:rsidR="00447AE5" w:rsidRPr="003E7A83">
        <w:rPr>
          <w:rFonts w:ascii="Times New Roman" w:hAnsi="Times New Roman" w:cs="Times New Roman"/>
          <w:sz w:val="22"/>
        </w:rPr>
        <w:t>identifie</w:t>
      </w:r>
      <w:r w:rsidR="00447AE5">
        <w:rPr>
          <w:rFonts w:ascii="Times New Roman" w:hAnsi="Times New Roman" w:cs="Times New Roman"/>
          <w:sz w:val="22"/>
        </w:rPr>
        <w:t xml:space="preserve">d </w:t>
      </w:r>
      <w:r w:rsidR="0089496B">
        <w:rPr>
          <w:rFonts w:ascii="Times New Roman" w:hAnsi="Times New Roman" w:cs="Times New Roman"/>
          <w:sz w:val="22"/>
        </w:rPr>
        <w:t>by ana</w:t>
      </w:r>
      <w:r w:rsidR="002A0083">
        <w:rPr>
          <w:rFonts w:ascii="Times New Roman" w:hAnsi="Times New Roman" w:cs="Times New Roman"/>
          <w:sz w:val="22"/>
        </w:rPr>
        <w:t>l</w:t>
      </w:r>
      <w:r w:rsidR="0089496B">
        <w:rPr>
          <w:rFonts w:ascii="Times New Roman" w:hAnsi="Times New Roman" w:cs="Times New Roman"/>
          <w:sz w:val="22"/>
        </w:rPr>
        <w:t xml:space="preserve">yzing the sequences </w:t>
      </w:r>
      <w:r w:rsidR="00971F73" w:rsidRPr="003E7A83">
        <w:rPr>
          <w:rFonts w:ascii="Times New Roman" w:hAnsi="Times New Roman" w:cs="Times New Roman"/>
          <w:sz w:val="22"/>
        </w:rPr>
        <w:t>from the upstream (-40 bp) of the pAs located in the intron, 3′ UTR, known pA, and extended 3′ UTR regions</w:t>
      </w:r>
      <w:r w:rsidR="0089496B" w:rsidRPr="0089496B">
        <w:rPr>
          <w:rFonts w:ascii="Times New Roman" w:hAnsi="Times New Roman" w:cs="Times New Roman"/>
          <w:sz w:val="22"/>
        </w:rPr>
        <w:t xml:space="preserve"> </w:t>
      </w:r>
      <w:r w:rsidR="0089496B">
        <w:rPr>
          <w:rFonts w:ascii="Times New Roman" w:hAnsi="Times New Roman" w:cs="Times New Roman"/>
          <w:sz w:val="22"/>
        </w:rPr>
        <w:t>using</w:t>
      </w:r>
      <w:r w:rsidR="0089496B" w:rsidRPr="003E7A83">
        <w:rPr>
          <w:rFonts w:ascii="Times New Roman" w:hAnsi="Times New Roman" w:cs="Times New Roman"/>
          <w:sz w:val="22"/>
        </w:rPr>
        <w:t xml:space="preserve"> MEME program</w:t>
      </w:r>
      <w:r w:rsidR="0089496B">
        <w:rPr>
          <w:rFonts w:ascii="Times New Roman" w:hAnsi="Times New Roman" w:cs="Times New Roman"/>
          <w:sz w:val="22"/>
        </w:rPr>
        <w:t xml:space="preserve">, </w:t>
      </w:r>
      <w:r w:rsidR="0089496B" w:rsidRPr="003E7A83">
        <w:rPr>
          <w:rFonts w:ascii="Times New Roman" w:hAnsi="Times New Roman" w:cs="Times New Roman"/>
          <w:sz w:val="22"/>
        </w:rPr>
        <w:t>significant E-value</w:t>
      </w:r>
      <w:r w:rsidR="0089496B">
        <w:rPr>
          <w:rFonts w:ascii="Times New Roman" w:hAnsi="Times New Roman" w:cs="Times New Roman"/>
          <w:sz w:val="22"/>
        </w:rPr>
        <w:t>s were denoted</w:t>
      </w:r>
      <w:r w:rsidR="00971F73" w:rsidRPr="003E7A83">
        <w:rPr>
          <w:rFonts w:ascii="Times New Roman" w:hAnsi="Times New Roman" w:cs="Times New Roman"/>
          <w:sz w:val="22"/>
        </w:rPr>
        <w:t xml:space="preserve">. (F) </w:t>
      </w:r>
      <w:bookmarkStart w:id="1" w:name="OLE_LINK3"/>
      <w:bookmarkStart w:id="2" w:name="OLE_LINK4"/>
      <w:bookmarkStart w:id="3" w:name="OLE_LINK7"/>
      <w:bookmarkStart w:id="4" w:name="OLE_LINK9"/>
      <w:bookmarkStart w:id="5" w:name="OLE_LINK10"/>
      <w:r w:rsidR="0089496B">
        <w:rPr>
          <w:rFonts w:ascii="Times New Roman" w:hAnsi="Times New Roman" w:cs="Times New Roman"/>
          <w:sz w:val="22"/>
        </w:rPr>
        <w:t>Histogram of</w:t>
      </w:r>
      <w:bookmarkEnd w:id="1"/>
      <w:bookmarkEnd w:id="2"/>
      <w:bookmarkEnd w:id="3"/>
      <w:bookmarkEnd w:id="4"/>
      <w:bookmarkEnd w:id="5"/>
      <w:r w:rsidR="0089496B">
        <w:rPr>
          <w:rFonts w:ascii="Times New Roman" w:hAnsi="Times New Roman" w:cs="Times New Roman"/>
          <w:sz w:val="22"/>
        </w:rPr>
        <w:t xml:space="preserve"> t</w:t>
      </w:r>
      <w:r w:rsidR="00971F73" w:rsidRPr="003E7A83">
        <w:rPr>
          <w:rFonts w:ascii="Times New Roman" w:hAnsi="Times New Roman" w:cs="Times New Roman"/>
          <w:sz w:val="22"/>
        </w:rPr>
        <w:t>he number of protein-coding genes with different number</w:t>
      </w:r>
      <w:r w:rsidR="0089496B">
        <w:rPr>
          <w:rFonts w:ascii="Times New Roman" w:hAnsi="Times New Roman" w:cs="Times New Roman"/>
          <w:sz w:val="22"/>
        </w:rPr>
        <w:t>s</w:t>
      </w:r>
      <w:r w:rsidR="00971F73" w:rsidRPr="003E7A83">
        <w:rPr>
          <w:rFonts w:ascii="Times New Roman" w:hAnsi="Times New Roman" w:cs="Times New Roman"/>
          <w:sz w:val="22"/>
        </w:rPr>
        <w:t xml:space="preserve"> of pAs. (G) </w:t>
      </w:r>
      <w:r w:rsidR="0089496B">
        <w:rPr>
          <w:rFonts w:ascii="Times New Roman" w:hAnsi="Times New Roman" w:cs="Times New Roman"/>
          <w:sz w:val="22"/>
        </w:rPr>
        <w:t>Histogram of t</w:t>
      </w:r>
      <w:r w:rsidR="00971F73" w:rsidRPr="003E7A83">
        <w:rPr>
          <w:rFonts w:ascii="Times New Roman" w:hAnsi="Times New Roman" w:cs="Times New Roman"/>
          <w:sz w:val="22"/>
        </w:rPr>
        <w:t xml:space="preserve">he number of </w:t>
      </w:r>
      <w:r w:rsidR="0089496B">
        <w:rPr>
          <w:rFonts w:ascii="Times New Roman" w:hAnsi="Times New Roman" w:cs="Times New Roman"/>
          <w:sz w:val="22"/>
        </w:rPr>
        <w:t xml:space="preserve">non-coding genes </w:t>
      </w:r>
      <w:r w:rsidR="00971F73" w:rsidRPr="003E7A83">
        <w:rPr>
          <w:rFonts w:ascii="Times New Roman" w:hAnsi="Times New Roman" w:cs="Times New Roman"/>
          <w:sz w:val="22"/>
        </w:rPr>
        <w:t>with different number</w:t>
      </w:r>
      <w:r w:rsidR="0089496B">
        <w:rPr>
          <w:rFonts w:ascii="Times New Roman" w:hAnsi="Times New Roman" w:cs="Times New Roman"/>
          <w:sz w:val="22"/>
        </w:rPr>
        <w:t>s</w:t>
      </w:r>
      <w:r w:rsidR="00971F73" w:rsidRPr="003E7A83">
        <w:rPr>
          <w:rFonts w:ascii="Times New Roman" w:hAnsi="Times New Roman" w:cs="Times New Roman"/>
          <w:sz w:val="22"/>
        </w:rPr>
        <w:t xml:space="preserve"> of pAs. (H) Fraction of genes with the minimum frequency of minor 3′ UTR isoforms exceeding given thresholds (0%, 5%, 15%, 20%, 25%, 30%, 35% 40%, and 45%). Frequencies of minor isoforms were calculated by excluding the top isoform (green bars) and the top two isoforms (orange bars).</w:t>
      </w:r>
      <w:r w:rsidR="00ED040C" w:rsidRPr="003E7A83">
        <w:rPr>
          <w:rFonts w:ascii="Times New Roman" w:hAnsi="Times New Roman" w:cs="Times New Roman"/>
          <w:sz w:val="22"/>
        </w:rPr>
        <w:t xml:space="preserve"> 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E2993" w14:textId="77777777" w:rsidR="0026006D" w:rsidRDefault="0026006D" w:rsidP="00F24E97">
      <w:r>
        <w:separator/>
      </w:r>
    </w:p>
  </w:endnote>
  <w:endnote w:type="continuationSeparator" w:id="0">
    <w:p w14:paraId="12EE72C0" w14:textId="77777777" w:rsidR="0026006D" w:rsidRDefault="0026006D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A657C" w14:textId="77777777" w:rsidR="0026006D" w:rsidRDefault="0026006D" w:rsidP="00F24E97">
      <w:r>
        <w:separator/>
      </w:r>
    </w:p>
  </w:footnote>
  <w:footnote w:type="continuationSeparator" w:id="0">
    <w:p w14:paraId="42ABBB17" w14:textId="77777777" w:rsidR="0026006D" w:rsidRDefault="0026006D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006D"/>
    <w:rsid w:val="002677CA"/>
    <w:rsid w:val="00273DC8"/>
    <w:rsid w:val="002741CA"/>
    <w:rsid w:val="002841A9"/>
    <w:rsid w:val="00285AA6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02EF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0BA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744EF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48F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0F1D-6BC8-4A19-B168-FD908BC6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>china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3</cp:revision>
  <dcterms:created xsi:type="dcterms:W3CDTF">2017-11-19T09:11:00Z</dcterms:created>
  <dcterms:modified xsi:type="dcterms:W3CDTF">2017-11-19T09:28:00Z</dcterms:modified>
</cp:coreProperties>
</file>