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5F3B9" w14:textId="77777777" w:rsidR="009642A3" w:rsidRPr="00AC3680" w:rsidRDefault="009642A3" w:rsidP="009642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宋体" w:hAnsi="Times New Roman" w:cs="Times New Roman"/>
          <w:kern w:val="0"/>
          <w:sz w:val="22"/>
        </w:rPr>
      </w:pPr>
      <w:r w:rsidRPr="00AC3680">
        <w:rPr>
          <w:rFonts w:ascii="Times New Roman" w:eastAsia="宋体" w:hAnsi="Times New Roman" w:cs="Times New Roman"/>
          <w:noProof/>
          <w:kern w:val="0"/>
          <w:sz w:val="22"/>
        </w:rPr>
        <w:drawing>
          <wp:inline distT="0" distB="0" distL="0" distR="0" wp14:anchorId="0D516945" wp14:editId="074033BE">
            <wp:extent cx="5274310" cy="1383030"/>
            <wp:effectExtent l="0" t="0" r="254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GAA shif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3A659" w14:textId="1224BF2A" w:rsidR="009642A3" w:rsidRPr="00AC3680" w:rsidRDefault="00F7047D" w:rsidP="009642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Supplemental Fig. 18</w:t>
      </w:r>
      <w:bookmarkStart w:id="0" w:name="_GoBack"/>
      <w:bookmarkEnd w:id="0"/>
      <w:r w:rsidR="009642A3" w:rsidRPr="00AC3680">
        <w:rPr>
          <w:rFonts w:ascii="Times New Roman" w:eastAsia="宋体" w:hAnsi="Times New Roman" w:cs="Times New Roman"/>
          <w:b/>
          <w:kern w:val="0"/>
          <w:sz w:val="22"/>
        </w:rPr>
        <w:t xml:space="preserve">. Dual luciferase activity assay for the ‘AGAA’ motif shift in the alternative </w:t>
      </w:r>
      <w:r w:rsidR="009642A3" w:rsidRPr="00AC3680">
        <w:rPr>
          <w:rFonts w:ascii="Times New Roman" w:hAnsi="Times New Roman" w:cs="Times New Roman"/>
          <w:b/>
          <w:sz w:val="22"/>
        </w:rPr>
        <w:t xml:space="preserve">3′-UTR of </w:t>
      </w:r>
      <w:r w:rsidR="009642A3" w:rsidRPr="00AC3680">
        <w:rPr>
          <w:rFonts w:ascii="Times New Roman" w:hAnsi="Times New Roman" w:cs="Times New Roman"/>
          <w:b/>
          <w:i/>
          <w:sz w:val="22"/>
        </w:rPr>
        <w:t>Rras2</w:t>
      </w:r>
      <w:r w:rsidR="009642A3" w:rsidRPr="00AC3680">
        <w:rPr>
          <w:rFonts w:ascii="Times New Roman" w:eastAsia="宋体" w:hAnsi="Times New Roman" w:cs="Times New Roman"/>
          <w:b/>
          <w:kern w:val="0"/>
          <w:sz w:val="22"/>
        </w:rPr>
        <w:t>.</w:t>
      </w:r>
      <w:r w:rsidR="009642A3" w:rsidRPr="00AC3680">
        <w:rPr>
          <w:rFonts w:ascii="Times New Roman" w:eastAsia="宋体" w:hAnsi="Times New Roman" w:cs="Times New Roman"/>
          <w:kern w:val="0"/>
          <w:sz w:val="22"/>
        </w:rPr>
        <w:t xml:space="preserve"> (A) ‘AGAA’ was mutated to ‘CCCA’ in the Mut3 construct. The ‘AGAA’ motif was introduced into two different locations in the alternative </w:t>
      </w:r>
      <w:r w:rsidR="009642A3" w:rsidRPr="00AC3680">
        <w:rPr>
          <w:rFonts w:ascii="Times New Roman" w:hAnsi="Times New Roman" w:cs="Times New Roman"/>
          <w:sz w:val="22"/>
        </w:rPr>
        <w:t xml:space="preserve">3′-UTR of </w:t>
      </w:r>
      <w:r w:rsidR="009642A3" w:rsidRPr="00AC3680">
        <w:rPr>
          <w:rFonts w:ascii="Times New Roman" w:hAnsi="Times New Roman" w:cs="Times New Roman"/>
          <w:i/>
          <w:sz w:val="22"/>
        </w:rPr>
        <w:t>Rras2</w:t>
      </w:r>
      <w:r w:rsidR="009642A3" w:rsidRPr="00AC3680">
        <w:rPr>
          <w:rFonts w:ascii="Times New Roman" w:hAnsi="Times New Roman" w:cs="Times New Roman"/>
          <w:sz w:val="22"/>
        </w:rPr>
        <w:t xml:space="preserve">, which was labeled as ‘shift1’ and ‘shift2’. M denotes the full length 3′-UTR of </w:t>
      </w:r>
      <w:r w:rsidR="009642A3" w:rsidRPr="00AC3680">
        <w:rPr>
          <w:rFonts w:ascii="Times New Roman" w:hAnsi="Times New Roman" w:cs="Times New Roman"/>
          <w:i/>
          <w:sz w:val="22"/>
        </w:rPr>
        <w:t>Rras2</w:t>
      </w:r>
      <w:r w:rsidR="009642A3" w:rsidRPr="00AC3680">
        <w:rPr>
          <w:rFonts w:ascii="Times New Roman" w:hAnsi="Times New Roman" w:cs="Times New Roman"/>
          <w:sz w:val="22"/>
        </w:rPr>
        <w:t xml:space="preserve"> with a mutated proximal polyA signal to force usage of only the distal pA site. (B) Relative </w:t>
      </w:r>
      <w:r w:rsidR="009642A3" w:rsidRPr="00C36B8D">
        <w:rPr>
          <w:rFonts w:ascii="Times New Roman" w:hAnsi="Times New Roman" w:cs="Times New Roman"/>
          <w:i/>
          <w:sz w:val="22"/>
        </w:rPr>
        <w:t>Renilla</w:t>
      </w:r>
      <w:r w:rsidR="009642A3" w:rsidRPr="00AC3680">
        <w:rPr>
          <w:rFonts w:ascii="Times New Roman" w:hAnsi="Times New Roman" w:cs="Times New Roman"/>
          <w:sz w:val="22"/>
        </w:rPr>
        <w:t xml:space="preserve">/Firefly luciferase activity of constructs indicated in panel A. ** and *** represent p values of less than 0.01 and 0.001, respectively, </w:t>
      </w:r>
      <w:r w:rsidR="009642A3" w:rsidRPr="00AC3680">
        <w:rPr>
          <w:rFonts w:ascii="Times New Roman" w:hAnsi="Times New Roman" w:cs="Times New Roman"/>
          <w:i/>
          <w:sz w:val="22"/>
        </w:rPr>
        <w:t>t</w:t>
      </w:r>
      <w:r w:rsidR="009642A3" w:rsidRPr="00AC3680">
        <w:rPr>
          <w:rFonts w:ascii="Times New Roman" w:hAnsi="Times New Roman" w:cs="Times New Roman"/>
          <w:sz w:val="22"/>
        </w:rPr>
        <w:t>-test. ns denotes not significant.</w:t>
      </w:r>
    </w:p>
    <w:p w14:paraId="74F5BE49" w14:textId="6EE61FFC" w:rsidR="008E441C" w:rsidRPr="009642A3" w:rsidRDefault="008E441C" w:rsidP="009642A3"/>
    <w:sectPr w:rsidR="008E441C" w:rsidRPr="009642A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330AE" w14:textId="77777777" w:rsidR="00636167" w:rsidRDefault="00636167" w:rsidP="00F24E97">
      <w:r>
        <w:separator/>
      </w:r>
    </w:p>
  </w:endnote>
  <w:endnote w:type="continuationSeparator" w:id="0">
    <w:p w14:paraId="74C447E7" w14:textId="77777777" w:rsidR="00636167" w:rsidRDefault="00636167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491B" w14:textId="77777777" w:rsidR="00636167" w:rsidRDefault="00636167" w:rsidP="00F24E97">
      <w:r>
        <w:separator/>
      </w:r>
    </w:p>
  </w:footnote>
  <w:footnote w:type="continuationSeparator" w:id="0">
    <w:p w14:paraId="78F3D167" w14:textId="77777777" w:rsidR="00636167" w:rsidRDefault="00636167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57F45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77CA"/>
    <w:rsid w:val="00273DC8"/>
    <w:rsid w:val="002741CA"/>
    <w:rsid w:val="002841A9"/>
    <w:rsid w:val="00285AA6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67"/>
    <w:rsid w:val="00636196"/>
    <w:rsid w:val="00640EF0"/>
    <w:rsid w:val="0064318D"/>
    <w:rsid w:val="00647F1F"/>
    <w:rsid w:val="00651342"/>
    <w:rsid w:val="00656E36"/>
    <w:rsid w:val="00667854"/>
    <w:rsid w:val="006736D0"/>
    <w:rsid w:val="00676806"/>
    <w:rsid w:val="006820B5"/>
    <w:rsid w:val="00684389"/>
    <w:rsid w:val="00686C0D"/>
    <w:rsid w:val="00687456"/>
    <w:rsid w:val="006938E7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A15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29C7"/>
    <w:rsid w:val="00893078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42A3"/>
    <w:rsid w:val="00965BE4"/>
    <w:rsid w:val="009669FA"/>
    <w:rsid w:val="00971F73"/>
    <w:rsid w:val="00972023"/>
    <w:rsid w:val="009744EF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C3680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4948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97C01"/>
    <w:rsid w:val="00BA2F85"/>
    <w:rsid w:val="00BA5132"/>
    <w:rsid w:val="00BB037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31EED"/>
    <w:rsid w:val="00C36B8D"/>
    <w:rsid w:val="00C41419"/>
    <w:rsid w:val="00C41855"/>
    <w:rsid w:val="00C50176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48F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5248"/>
    <w:rsid w:val="00E8103B"/>
    <w:rsid w:val="00E85113"/>
    <w:rsid w:val="00E91A4A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047D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05FF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F90D8-F06A-41B5-981C-B1BEE229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538</Characters>
  <Application>Microsoft Office Word</Application>
  <DocSecurity>0</DocSecurity>
  <Lines>4</Lines>
  <Paragraphs>1</Paragraphs>
  <ScaleCrop>false</ScaleCrop>
  <Company>china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5</cp:revision>
  <dcterms:created xsi:type="dcterms:W3CDTF">2018-01-11T10:09:00Z</dcterms:created>
  <dcterms:modified xsi:type="dcterms:W3CDTF">2018-01-19T05:50:00Z</dcterms:modified>
</cp:coreProperties>
</file>