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F6B1F9" w14:textId="77777777" w:rsidR="009D52FF" w:rsidRDefault="009D52FF" w:rsidP="009D52FF">
      <w:pPr>
        <w:pStyle w:val="Normal1"/>
        <w:spacing w:before="120" w:line="360" w:lineRule="auto"/>
        <w:jc w:val="both"/>
        <w:rPr>
          <w:rFonts w:ascii="Times New Roman" w:hAnsi="Times New Roman" w:cs="Times New Roman"/>
          <w:b/>
          <w:color w:val="auto"/>
          <w:sz w:val="24"/>
          <w:szCs w:val="24"/>
        </w:rPr>
      </w:pPr>
      <w:r>
        <w:rPr>
          <w:rFonts w:ascii="Times New Roman" w:hAnsi="Times New Roman" w:cs="Times New Roman"/>
          <w:b/>
          <w:noProof/>
          <w:color w:val="auto"/>
          <w:sz w:val="24"/>
          <w:szCs w:val="24"/>
        </w:rPr>
        <w:drawing>
          <wp:inline distT="0" distB="0" distL="0" distR="0" wp14:anchorId="10EA91DE" wp14:editId="11EAB636">
            <wp:extent cx="5041900" cy="754380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1.pdf"/>
                    <pic:cNvPicPr/>
                  </pic:nvPicPr>
                  <pic:blipFill>
                    <a:blip r:embed="rId5">
                      <a:extLst>
                        <a:ext uri="{28A0092B-C50C-407E-A947-70E740481C1C}">
                          <a14:useLocalDpi xmlns:a14="http://schemas.microsoft.com/office/drawing/2010/main" val="0"/>
                        </a:ext>
                      </a:extLst>
                    </a:blip>
                    <a:stretch>
                      <a:fillRect/>
                    </a:stretch>
                  </pic:blipFill>
                  <pic:spPr>
                    <a:xfrm>
                      <a:off x="0" y="0"/>
                      <a:ext cx="5041900" cy="7543800"/>
                    </a:xfrm>
                    <a:prstGeom prst="rect">
                      <a:avLst/>
                    </a:prstGeom>
                  </pic:spPr>
                </pic:pic>
              </a:graphicData>
            </a:graphic>
          </wp:inline>
        </w:drawing>
      </w:r>
    </w:p>
    <w:p w14:paraId="5116877B" w14:textId="77777777" w:rsidR="009D52FF" w:rsidRPr="00A0485A" w:rsidRDefault="009D52FF" w:rsidP="009D52FF">
      <w:pPr>
        <w:pStyle w:val="Normal1"/>
        <w:spacing w:before="120" w:line="360" w:lineRule="auto"/>
        <w:jc w:val="both"/>
        <w:rPr>
          <w:rFonts w:ascii="Times New Roman" w:hAnsi="Times New Roman" w:cs="Times New Roman"/>
          <w:color w:val="auto"/>
          <w:sz w:val="24"/>
          <w:szCs w:val="24"/>
        </w:rPr>
      </w:pPr>
      <w:r w:rsidRPr="00A0485A">
        <w:rPr>
          <w:rFonts w:ascii="Times New Roman" w:hAnsi="Times New Roman" w:cs="Times New Roman"/>
          <w:b/>
          <w:color w:val="auto"/>
          <w:sz w:val="24"/>
          <w:szCs w:val="24"/>
        </w:rPr>
        <w:t>Figure S1.</w:t>
      </w:r>
      <w:r>
        <w:rPr>
          <w:rFonts w:ascii="Times New Roman" w:hAnsi="Times New Roman" w:cs="Times New Roman"/>
          <w:color w:val="auto"/>
          <w:sz w:val="24"/>
          <w:szCs w:val="24"/>
        </w:rPr>
        <w:t xml:space="preserve"> </w:t>
      </w:r>
      <w:proofErr w:type="gramStart"/>
      <w:r>
        <w:rPr>
          <w:rFonts w:ascii="Times New Roman" w:hAnsi="Times New Roman" w:cs="Times New Roman"/>
          <w:color w:val="auto"/>
          <w:sz w:val="24"/>
          <w:szCs w:val="24"/>
        </w:rPr>
        <w:t xml:space="preserve">Relationship between </w:t>
      </w:r>
      <w:r>
        <w:rPr>
          <w:rFonts w:ascii="Times New Roman" w:hAnsi="Times New Roman" w:cs="Times New Roman"/>
          <w:color w:val="000000" w:themeColor="text1"/>
          <w:sz w:val="24"/>
          <w:szCs w:val="24"/>
          <w:lang w:val="en-GB"/>
        </w:rPr>
        <w:t>MYC</w:t>
      </w:r>
      <w:r w:rsidRPr="00A0485A">
        <w:rPr>
          <w:rFonts w:ascii="Times New Roman" w:hAnsi="Times New Roman" w:cs="Times New Roman"/>
          <w:color w:val="auto"/>
          <w:sz w:val="24"/>
          <w:szCs w:val="24"/>
        </w:rPr>
        <w:t xml:space="preserve"> binding and gene regulation.</w:t>
      </w:r>
      <w:proofErr w:type="gramEnd"/>
      <w:r w:rsidRPr="00A0485A">
        <w:rPr>
          <w:rFonts w:ascii="Times New Roman" w:hAnsi="Times New Roman" w:cs="Times New Roman"/>
          <w:color w:val="auto"/>
          <w:sz w:val="24"/>
          <w:szCs w:val="24"/>
        </w:rPr>
        <w:t xml:space="preserve"> </w:t>
      </w:r>
      <w:r w:rsidRPr="00A0485A">
        <w:rPr>
          <w:rFonts w:ascii="Times New Roman" w:hAnsi="Times New Roman" w:cs="Times New Roman"/>
          <w:bCs/>
          <w:color w:val="auto"/>
          <w:sz w:val="24"/>
          <w:szCs w:val="24"/>
        </w:rPr>
        <w:t>(</w:t>
      </w:r>
      <w:r w:rsidRPr="00A0485A">
        <w:rPr>
          <w:rFonts w:ascii="Times New Roman" w:hAnsi="Times New Roman" w:cs="Times New Roman"/>
          <w:bCs/>
          <w:i/>
          <w:color w:val="auto"/>
          <w:sz w:val="24"/>
          <w:szCs w:val="24"/>
        </w:rPr>
        <w:t>A</w:t>
      </w:r>
      <w:r w:rsidRPr="00A0485A">
        <w:rPr>
          <w:rFonts w:ascii="Times New Roman" w:hAnsi="Times New Roman" w:cs="Times New Roman"/>
          <w:bCs/>
          <w:color w:val="auto"/>
          <w:sz w:val="24"/>
          <w:szCs w:val="24"/>
        </w:rPr>
        <w:t xml:space="preserve">) For various systems, and for the specific comparisons indicated on the left side, the figure displays scatter plots of the variation of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ChIP-</w:t>
      </w:r>
      <w:proofErr w:type="spellStart"/>
      <w:r w:rsidRPr="00A0485A">
        <w:rPr>
          <w:rFonts w:ascii="Times New Roman" w:hAnsi="Times New Roman" w:cs="Times New Roman"/>
          <w:bCs/>
          <w:color w:val="auto"/>
          <w:sz w:val="24"/>
          <w:szCs w:val="24"/>
        </w:rPr>
        <w:t>seq</w:t>
      </w:r>
      <w:proofErr w:type="spellEnd"/>
      <w:r w:rsidRPr="00A0485A">
        <w:rPr>
          <w:rFonts w:ascii="Times New Roman" w:hAnsi="Times New Roman" w:cs="Times New Roman"/>
          <w:bCs/>
          <w:color w:val="auto"/>
          <w:sz w:val="24"/>
          <w:szCs w:val="24"/>
        </w:rPr>
        <w:t xml:space="preserve"> signal within promoters (x-axis, sampled within 25 uniformly sized bins), vs. the corresponding transcriptional </w:t>
      </w:r>
      <w:r w:rsidRPr="00A0485A">
        <w:rPr>
          <w:rFonts w:ascii="Times New Roman" w:hAnsi="Times New Roman" w:cs="Times New Roman"/>
          <w:bCs/>
          <w:color w:val="auto"/>
          <w:sz w:val="24"/>
          <w:szCs w:val="24"/>
        </w:rPr>
        <w:lastRenderedPageBreak/>
        <w:t>variation (total RNA-</w:t>
      </w:r>
      <w:proofErr w:type="spellStart"/>
      <w:r w:rsidRPr="00A0485A">
        <w:rPr>
          <w:rFonts w:ascii="Times New Roman" w:hAnsi="Times New Roman" w:cs="Times New Roman"/>
          <w:bCs/>
          <w:color w:val="auto"/>
          <w:sz w:val="24"/>
          <w:szCs w:val="24"/>
        </w:rPr>
        <w:t>seq</w:t>
      </w:r>
      <w:proofErr w:type="spellEnd"/>
      <w:r w:rsidRPr="00A0485A">
        <w:rPr>
          <w:rFonts w:ascii="Times New Roman" w:hAnsi="Times New Roman" w:cs="Times New Roman"/>
          <w:bCs/>
          <w:color w:val="auto"/>
          <w:sz w:val="24"/>
          <w:szCs w:val="24"/>
        </w:rPr>
        <w:t>, y-axis). Left and right columns are specific for repressed and induced genes, respectively. Linear models, Spearman correlations and the corresponding p-value are indicated for each plot. (</w:t>
      </w:r>
      <w:r w:rsidRPr="00A0485A">
        <w:rPr>
          <w:rFonts w:ascii="Times New Roman" w:hAnsi="Times New Roman" w:cs="Times New Roman"/>
          <w:bCs/>
          <w:i/>
          <w:color w:val="auto"/>
          <w:sz w:val="24"/>
          <w:szCs w:val="24"/>
        </w:rPr>
        <w:t>B</w:t>
      </w:r>
      <w:r w:rsidRPr="00A0485A">
        <w:rPr>
          <w:rFonts w:ascii="Times New Roman" w:hAnsi="Times New Roman" w:cs="Times New Roman"/>
          <w:bCs/>
          <w:color w:val="auto"/>
          <w:sz w:val="24"/>
          <w:szCs w:val="24"/>
        </w:rPr>
        <w:t xml:space="preserve">) For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w:t>
      </w:r>
      <w:r>
        <w:rPr>
          <w:rFonts w:ascii="Times New Roman" w:hAnsi="Times New Roman" w:cs="Times New Roman"/>
          <w:bCs/>
          <w:color w:val="auto"/>
          <w:sz w:val="24"/>
          <w:szCs w:val="24"/>
        </w:rPr>
        <w:t xml:space="preserve">dependent (left) and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independent genes (right) in the </w:t>
      </w:r>
      <w:proofErr w:type="spellStart"/>
      <w:r w:rsidRPr="00A0485A">
        <w:rPr>
          <w:rFonts w:ascii="Times New Roman" w:hAnsi="Times New Roman" w:cs="Times New Roman"/>
          <w:bCs/>
          <w:color w:val="auto"/>
          <w:sz w:val="24"/>
          <w:szCs w:val="24"/>
        </w:rPr>
        <w:t>tet</w:t>
      </w:r>
      <w:proofErr w:type="spellEnd"/>
      <w:r w:rsidRPr="00A0485A">
        <w:rPr>
          <w:rFonts w:ascii="Times New Roman" w:hAnsi="Times New Roman" w:cs="Times New Roman"/>
          <w:bCs/>
          <w:color w:val="auto"/>
          <w:sz w:val="24"/>
          <w:szCs w:val="24"/>
        </w:rPr>
        <w:t xml:space="preserve">-MYC model, the figure displays density scatter plots (darker colors for higher density) of the variation of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ChIP-</w:t>
      </w:r>
      <w:proofErr w:type="spellStart"/>
      <w:r w:rsidRPr="00A0485A">
        <w:rPr>
          <w:rFonts w:ascii="Times New Roman" w:hAnsi="Times New Roman" w:cs="Times New Roman"/>
          <w:bCs/>
          <w:color w:val="auto"/>
          <w:sz w:val="24"/>
          <w:szCs w:val="24"/>
        </w:rPr>
        <w:t>seq</w:t>
      </w:r>
      <w:proofErr w:type="spellEnd"/>
      <w:r w:rsidRPr="00A0485A">
        <w:rPr>
          <w:rFonts w:ascii="Times New Roman" w:hAnsi="Times New Roman" w:cs="Times New Roman"/>
          <w:bCs/>
          <w:color w:val="auto"/>
          <w:sz w:val="24"/>
          <w:szCs w:val="24"/>
        </w:rPr>
        <w:t xml:space="preserve"> signal within promoters (x-axis), vs. the corresponding transcriptional variation (total RNA-</w:t>
      </w:r>
      <w:proofErr w:type="spellStart"/>
      <w:r w:rsidRPr="00A0485A">
        <w:rPr>
          <w:rFonts w:ascii="Times New Roman" w:hAnsi="Times New Roman" w:cs="Times New Roman"/>
          <w:bCs/>
          <w:color w:val="auto"/>
          <w:sz w:val="24"/>
          <w:szCs w:val="24"/>
        </w:rPr>
        <w:t>seq</w:t>
      </w:r>
      <w:proofErr w:type="spellEnd"/>
      <w:r w:rsidRPr="00A0485A">
        <w:rPr>
          <w:rFonts w:ascii="Times New Roman" w:hAnsi="Times New Roman" w:cs="Times New Roman"/>
          <w:bCs/>
          <w:color w:val="auto"/>
          <w:sz w:val="24"/>
          <w:szCs w:val="24"/>
        </w:rPr>
        <w:t>, y-axis). The red, blue and orange lines capture the trend for induced, repressed, and both (combined) set of genes, respectively. The trend lines are based on local polynomial regression fitting, by excluding data points below the 2</w:t>
      </w:r>
      <w:r w:rsidRPr="00A0485A">
        <w:rPr>
          <w:rFonts w:ascii="Times New Roman" w:hAnsi="Times New Roman" w:cs="Times New Roman"/>
          <w:bCs/>
          <w:color w:val="auto"/>
          <w:sz w:val="24"/>
          <w:szCs w:val="24"/>
          <w:vertAlign w:val="superscript"/>
        </w:rPr>
        <w:t>nd</w:t>
      </w:r>
      <w:r w:rsidRPr="00A0485A">
        <w:rPr>
          <w:rFonts w:ascii="Times New Roman" w:hAnsi="Times New Roman" w:cs="Times New Roman"/>
          <w:bCs/>
          <w:color w:val="auto"/>
          <w:sz w:val="24"/>
          <w:szCs w:val="24"/>
        </w:rPr>
        <w:t xml:space="preserve"> and above the 98</w:t>
      </w:r>
      <w:r w:rsidRPr="00A0485A">
        <w:rPr>
          <w:rFonts w:ascii="Times New Roman" w:hAnsi="Times New Roman" w:cs="Times New Roman"/>
          <w:bCs/>
          <w:color w:val="auto"/>
          <w:sz w:val="24"/>
          <w:szCs w:val="24"/>
          <w:vertAlign w:val="superscript"/>
        </w:rPr>
        <w:t>th</w:t>
      </w:r>
      <w:r w:rsidRPr="00A0485A">
        <w:rPr>
          <w:rFonts w:ascii="Times New Roman" w:hAnsi="Times New Roman" w:cs="Times New Roman"/>
          <w:bCs/>
          <w:color w:val="auto"/>
          <w:sz w:val="24"/>
          <w:szCs w:val="24"/>
        </w:rPr>
        <w:t xml:space="preserve"> percentile of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binding variation. The title reports for the same set of genes the Spearman correlation. The vertical dashed lines identify the amount of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change at which promoters begin increasing their share of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binding (see panel </w:t>
      </w:r>
      <w:r w:rsidRPr="00A0485A">
        <w:rPr>
          <w:rFonts w:ascii="Times New Roman" w:hAnsi="Times New Roman" w:cs="Times New Roman"/>
          <w:bCs/>
          <w:i/>
          <w:color w:val="auto"/>
          <w:sz w:val="24"/>
          <w:szCs w:val="24"/>
        </w:rPr>
        <w:t>B</w:t>
      </w:r>
      <w:r w:rsidRPr="00A0485A">
        <w:rPr>
          <w:rFonts w:ascii="Times New Roman" w:hAnsi="Times New Roman" w:cs="Times New Roman"/>
          <w:bCs/>
          <w:color w:val="auto"/>
          <w:sz w:val="24"/>
          <w:szCs w:val="24"/>
        </w:rPr>
        <w:t>). Triangles mark outliers data points (top 0.5% of the data on both the x- and y-axis) that were forced within the plot range limits - the original values for these data points were used to derive the trend lines and correlation values). (</w:t>
      </w:r>
      <w:r w:rsidRPr="00A0485A">
        <w:rPr>
          <w:rFonts w:ascii="Times New Roman" w:hAnsi="Times New Roman" w:cs="Times New Roman"/>
          <w:bCs/>
          <w:i/>
          <w:color w:val="auto"/>
          <w:sz w:val="24"/>
          <w:szCs w:val="24"/>
        </w:rPr>
        <w:t>C</w:t>
      </w:r>
      <w:r w:rsidRPr="00A0485A">
        <w:rPr>
          <w:rFonts w:ascii="Times New Roman" w:hAnsi="Times New Roman" w:cs="Times New Roman"/>
          <w:bCs/>
          <w:color w:val="auto"/>
          <w:sz w:val="24"/>
          <w:szCs w:val="24"/>
        </w:rPr>
        <w:t xml:space="preserve">) Receiver Operating Characteristic (ROC) curves for the ability of discriminating induced and repressed genes at growing thresholds of changes in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binding, based on the genes in (</w:t>
      </w:r>
      <w:r w:rsidRPr="00A0485A">
        <w:rPr>
          <w:rFonts w:ascii="Times New Roman" w:hAnsi="Times New Roman" w:cs="Times New Roman"/>
          <w:bCs/>
          <w:i/>
          <w:color w:val="auto"/>
          <w:sz w:val="24"/>
          <w:szCs w:val="24"/>
        </w:rPr>
        <w:t>B</w:t>
      </w:r>
      <w:r w:rsidRPr="00A0485A">
        <w:rPr>
          <w:rFonts w:ascii="Times New Roman" w:hAnsi="Times New Roman" w:cs="Times New Roman"/>
          <w:bCs/>
          <w:color w:val="auto"/>
          <w:sz w:val="24"/>
          <w:szCs w:val="24"/>
        </w:rPr>
        <w:t xml:space="preserve">). AUC: area under the curve. The dots correspond to the variation of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at which promoters begin increasing their share of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binding. These identified the best trade-off between sensitivity and specificity, thus maximizing the ability to simultaneously classify induced and repressed genes. (</w:t>
      </w:r>
      <w:r w:rsidRPr="00A0485A">
        <w:rPr>
          <w:rFonts w:ascii="Times New Roman" w:hAnsi="Times New Roman" w:cs="Times New Roman"/>
          <w:bCs/>
          <w:i/>
          <w:color w:val="auto"/>
          <w:sz w:val="24"/>
          <w:szCs w:val="24"/>
        </w:rPr>
        <w:t>D</w:t>
      </w:r>
      <w:r w:rsidRPr="00A0485A">
        <w:rPr>
          <w:rFonts w:ascii="Times New Roman" w:hAnsi="Times New Roman" w:cs="Times New Roman"/>
          <w:bCs/>
          <w:color w:val="auto"/>
          <w:sz w:val="24"/>
          <w:szCs w:val="24"/>
        </w:rPr>
        <w:t>) For various systems, and for the specific comparisons indicated in the title, the figure displays density scatter plots (darker colors for higher density) of the log</w:t>
      </w:r>
      <w:r w:rsidRPr="00A0485A">
        <w:rPr>
          <w:rFonts w:ascii="Times New Roman" w:hAnsi="Times New Roman" w:cs="Times New Roman"/>
          <w:bCs/>
          <w:color w:val="auto"/>
          <w:sz w:val="24"/>
          <w:szCs w:val="24"/>
          <w:vertAlign w:val="subscript"/>
        </w:rPr>
        <w:t>2</w:t>
      </w:r>
      <w:r w:rsidRPr="00A0485A">
        <w:rPr>
          <w:rFonts w:ascii="Times New Roman" w:hAnsi="Times New Roman" w:cs="Times New Roman"/>
          <w:bCs/>
          <w:color w:val="auto"/>
          <w:sz w:val="24"/>
          <w:szCs w:val="24"/>
        </w:rPr>
        <w:t xml:space="preserve"> variation of at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promoter peaks (x-axis), </w:t>
      </w:r>
      <w:proofErr w:type="spellStart"/>
      <w:r w:rsidRPr="00A0485A">
        <w:rPr>
          <w:rFonts w:ascii="Times New Roman" w:hAnsi="Times New Roman" w:cs="Times New Roman"/>
          <w:bCs/>
          <w:color w:val="auto"/>
          <w:sz w:val="24"/>
          <w:szCs w:val="24"/>
        </w:rPr>
        <w:t>vs</w:t>
      </w:r>
      <w:proofErr w:type="spellEnd"/>
      <w:r w:rsidRPr="00A0485A">
        <w:rPr>
          <w:rFonts w:ascii="Times New Roman" w:hAnsi="Times New Roman" w:cs="Times New Roman"/>
          <w:bCs/>
          <w:color w:val="auto"/>
          <w:sz w:val="24"/>
          <w:szCs w:val="24"/>
        </w:rPr>
        <w:t xml:space="preserve"> the corresponding intensity in the baseline condition (y-axis). The trend lines are based on local polynomial regression fitting, by excluding data points below the 2</w:t>
      </w:r>
      <w:r w:rsidRPr="00A0485A">
        <w:rPr>
          <w:rFonts w:ascii="Times New Roman" w:hAnsi="Times New Roman" w:cs="Times New Roman"/>
          <w:bCs/>
          <w:color w:val="auto"/>
          <w:sz w:val="24"/>
          <w:szCs w:val="24"/>
          <w:vertAlign w:val="superscript"/>
        </w:rPr>
        <w:t>nd</w:t>
      </w:r>
      <w:r w:rsidRPr="00A0485A">
        <w:rPr>
          <w:rFonts w:ascii="Times New Roman" w:hAnsi="Times New Roman" w:cs="Times New Roman"/>
          <w:bCs/>
          <w:color w:val="auto"/>
          <w:sz w:val="24"/>
          <w:szCs w:val="24"/>
        </w:rPr>
        <w:t xml:space="preserve"> and above the 98</w:t>
      </w:r>
      <w:r w:rsidRPr="00A0485A">
        <w:rPr>
          <w:rFonts w:ascii="Times New Roman" w:hAnsi="Times New Roman" w:cs="Times New Roman"/>
          <w:bCs/>
          <w:color w:val="auto"/>
          <w:sz w:val="24"/>
          <w:szCs w:val="24"/>
          <w:vertAlign w:val="superscript"/>
        </w:rPr>
        <w:t>th</w:t>
      </w:r>
      <w:r w:rsidRPr="00A0485A">
        <w:rPr>
          <w:rFonts w:ascii="Times New Roman" w:hAnsi="Times New Roman" w:cs="Times New Roman"/>
          <w:bCs/>
          <w:color w:val="auto"/>
          <w:sz w:val="24"/>
          <w:szCs w:val="24"/>
        </w:rPr>
        <w:t xml:space="preserve"> percentile of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binding variation. The vertical solid lines indicate the point of no variation in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binding (i.e. saturation), while the vertical dashed lines indicate the level of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gain corresponding to an increase in the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share.</w:t>
      </w:r>
      <w:r w:rsidRPr="00A0485A">
        <w:rPr>
          <w:rFonts w:ascii="Times New Roman" w:hAnsi="Times New Roman" w:cs="Times New Roman"/>
          <w:bCs/>
          <w:i/>
          <w:color w:val="auto"/>
          <w:sz w:val="24"/>
          <w:szCs w:val="24"/>
        </w:rPr>
        <w:t xml:space="preserve"> </w:t>
      </w:r>
      <w:r w:rsidRPr="00A0485A">
        <w:rPr>
          <w:rFonts w:ascii="Times New Roman" w:hAnsi="Times New Roman" w:cs="Times New Roman"/>
          <w:bCs/>
          <w:color w:val="auto"/>
          <w:sz w:val="24"/>
          <w:szCs w:val="24"/>
        </w:rPr>
        <w:t>Triangles mark outliers data points (top 0.5% of the data on both the x- and y-axis) that were forced within the plot range limits. (</w:t>
      </w:r>
      <w:r w:rsidRPr="00A0485A">
        <w:rPr>
          <w:rFonts w:ascii="Times New Roman" w:hAnsi="Times New Roman" w:cs="Times New Roman"/>
          <w:bCs/>
          <w:i/>
          <w:color w:val="auto"/>
          <w:sz w:val="24"/>
          <w:szCs w:val="24"/>
        </w:rPr>
        <w:t>E</w:t>
      </w:r>
      <w:r w:rsidRPr="00A0485A">
        <w:rPr>
          <w:rFonts w:ascii="Times New Roman" w:hAnsi="Times New Roman" w:cs="Times New Roman"/>
          <w:bCs/>
          <w:color w:val="auto"/>
          <w:sz w:val="24"/>
          <w:szCs w:val="24"/>
        </w:rPr>
        <w:t>) Receiver Operating Characteristic (ROC) curves for the ability of discriminating induced and repressed genes at growing thresholds of: (</w:t>
      </w:r>
      <w:proofErr w:type="spellStart"/>
      <w:r w:rsidRPr="00A0485A">
        <w:rPr>
          <w:rFonts w:ascii="Times New Roman" w:hAnsi="Times New Roman" w:cs="Times New Roman"/>
          <w:bCs/>
          <w:color w:val="auto"/>
          <w:sz w:val="24"/>
          <w:szCs w:val="24"/>
        </w:rPr>
        <w:t>i</w:t>
      </w:r>
      <w:proofErr w:type="spellEnd"/>
      <w:r w:rsidRPr="00A0485A">
        <w:rPr>
          <w:rFonts w:ascii="Times New Roman" w:hAnsi="Times New Roman" w:cs="Times New Roman"/>
          <w:bCs/>
          <w:color w:val="auto"/>
          <w:sz w:val="24"/>
          <w:szCs w:val="24"/>
        </w:rPr>
        <w:t xml:space="preserve">) changes in the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share compared to control conditions (</w:t>
      </w:r>
      <w:r w:rsidRPr="00A0485A">
        <w:rPr>
          <w:rFonts w:ascii="Symbol" w:hAnsi="Symbol" w:cs="Times New Roman"/>
          <w:bCs/>
          <w:color w:val="auto"/>
          <w:sz w:val="24"/>
          <w:szCs w:val="24"/>
        </w:rPr>
        <w:t></w:t>
      </w:r>
      <w:r>
        <w:rPr>
          <w:rFonts w:ascii="Times New Roman" w:hAnsi="Times New Roman" w:cs="Times New Roman"/>
          <w:color w:val="000000" w:themeColor="text1"/>
          <w:sz w:val="24"/>
          <w:szCs w:val="24"/>
          <w:lang w:val="en-GB"/>
        </w:rPr>
        <w:t>MYC</w:t>
      </w:r>
      <w:r>
        <w:rPr>
          <w:rFonts w:ascii="Times New Roman" w:hAnsi="Times New Roman" w:cs="Times New Roman"/>
          <w:bCs/>
          <w:color w:val="auto"/>
          <w:sz w:val="24"/>
          <w:szCs w:val="24"/>
        </w:rPr>
        <w:t>s</w:t>
      </w:r>
      <w:r w:rsidRPr="00A0485A">
        <w:rPr>
          <w:rFonts w:ascii="Times New Roman" w:hAnsi="Times New Roman" w:cs="Times New Roman"/>
          <w:bCs/>
          <w:color w:val="auto"/>
          <w:sz w:val="24"/>
          <w:szCs w:val="24"/>
        </w:rPr>
        <w:t xml:space="preserve">hare), (ii) </w:t>
      </w:r>
      <w:r>
        <w:rPr>
          <w:rFonts w:ascii="Times New Roman" w:hAnsi="Times New Roman" w:cs="Times New Roman"/>
          <w:bCs/>
          <w:color w:val="auto"/>
          <w:sz w:val="24"/>
          <w:szCs w:val="24"/>
        </w:rPr>
        <w:t>ZBTB17</w:t>
      </w:r>
      <w:r w:rsidRPr="00A0485A">
        <w:rPr>
          <w:rFonts w:ascii="Times New Roman" w:hAnsi="Times New Roman" w:cs="Times New Roman"/>
          <w:bCs/>
          <w:color w:val="auto"/>
          <w:sz w:val="24"/>
          <w:szCs w:val="24"/>
        </w:rPr>
        <w:t xml:space="preserve"> binding, (iii) a linear model combining </w:t>
      </w:r>
      <w:r w:rsidRPr="00A0485A">
        <w:rPr>
          <w:rFonts w:ascii="Symbol" w:hAnsi="Symbol" w:cs="Times New Roman"/>
          <w:bCs/>
          <w:color w:val="auto"/>
          <w:sz w:val="24"/>
          <w:szCs w:val="24"/>
        </w:rPr>
        <w:t></w:t>
      </w:r>
      <w:r w:rsidRPr="00C73CD6">
        <w:rPr>
          <w:rFonts w:ascii="Times New Roman" w:hAnsi="Times New Roman" w:cs="Times New Roman"/>
          <w:color w:val="000000" w:themeColor="text1"/>
          <w:sz w:val="24"/>
          <w:szCs w:val="24"/>
          <w:lang w:val="en-GB"/>
        </w:rPr>
        <w:t xml:space="preserve"> </w:t>
      </w:r>
      <w:r>
        <w:rPr>
          <w:rFonts w:ascii="Times New Roman" w:hAnsi="Times New Roman" w:cs="Times New Roman"/>
          <w:color w:val="000000" w:themeColor="text1"/>
          <w:sz w:val="24"/>
          <w:szCs w:val="24"/>
          <w:lang w:val="en-GB"/>
        </w:rPr>
        <w:t>MYC</w:t>
      </w:r>
      <w:r>
        <w:rPr>
          <w:rFonts w:ascii="Times New Roman" w:hAnsi="Times New Roman" w:cs="Times New Roman"/>
          <w:bCs/>
          <w:color w:val="auto"/>
          <w:sz w:val="24"/>
          <w:szCs w:val="24"/>
        </w:rPr>
        <w:t>s</w:t>
      </w:r>
      <w:r w:rsidRPr="00A0485A">
        <w:rPr>
          <w:rFonts w:ascii="Times New Roman" w:hAnsi="Times New Roman" w:cs="Times New Roman"/>
          <w:bCs/>
          <w:color w:val="auto"/>
          <w:sz w:val="24"/>
          <w:szCs w:val="24"/>
        </w:rPr>
        <w:t xml:space="preserve">hare and </w:t>
      </w:r>
      <w:r>
        <w:rPr>
          <w:rFonts w:ascii="Times New Roman" w:hAnsi="Times New Roman" w:cs="Times New Roman"/>
          <w:bCs/>
          <w:color w:val="auto"/>
          <w:sz w:val="24"/>
          <w:szCs w:val="24"/>
        </w:rPr>
        <w:t xml:space="preserve">ZBTB17 </w:t>
      </w:r>
      <w:r w:rsidRPr="00A0485A">
        <w:rPr>
          <w:rFonts w:ascii="Times New Roman" w:hAnsi="Times New Roman" w:cs="Times New Roman"/>
          <w:bCs/>
          <w:color w:val="auto"/>
          <w:sz w:val="24"/>
          <w:szCs w:val="24"/>
        </w:rPr>
        <w:t xml:space="preserve">binding, (iv) a linear model combining </w:t>
      </w:r>
      <w:r w:rsidRPr="00A0485A">
        <w:rPr>
          <w:rFonts w:ascii="Symbol" w:hAnsi="Symbol" w:cs="Times New Roman"/>
          <w:bCs/>
          <w:color w:val="auto"/>
          <w:sz w:val="24"/>
          <w:szCs w:val="24"/>
        </w:rPr>
        <w:t></w:t>
      </w:r>
      <w:r>
        <w:rPr>
          <w:rFonts w:ascii="Times New Roman" w:hAnsi="Times New Roman" w:cs="Times New Roman"/>
          <w:color w:val="000000" w:themeColor="text1"/>
          <w:sz w:val="24"/>
          <w:szCs w:val="24"/>
          <w:lang w:val="en-GB"/>
        </w:rPr>
        <w:t>MYC</w:t>
      </w:r>
      <w:r>
        <w:rPr>
          <w:rFonts w:ascii="Times New Roman" w:hAnsi="Times New Roman" w:cs="Times New Roman"/>
          <w:bCs/>
          <w:color w:val="auto"/>
          <w:sz w:val="24"/>
          <w:szCs w:val="24"/>
        </w:rPr>
        <w:t>s</w:t>
      </w:r>
      <w:r w:rsidRPr="00A0485A">
        <w:rPr>
          <w:rFonts w:ascii="Times New Roman" w:hAnsi="Times New Roman" w:cs="Times New Roman"/>
          <w:bCs/>
          <w:color w:val="auto"/>
          <w:sz w:val="24"/>
          <w:szCs w:val="24"/>
        </w:rPr>
        <w:t xml:space="preserve">hare and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w:t>
      </w:r>
      <w:r>
        <w:rPr>
          <w:rFonts w:ascii="Times New Roman" w:hAnsi="Times New Roman" w:cs="Times New Roman"/>
          <w:bCs/>
          <w:color w:val="auto"/>
          <w:sz w:val="24"/>
          <w:szCs w:val="24"/>
        </w:rPr>
        <w:t xml:space="preserve">ZBTB17 </w:t>
      </w:r>
      <w:r w:rsidRPr="00A0485A">
        <w:rPr>
          <w:rFonts w:ascii="Times New Roman" w:hAnsi="Times New Roman" w:cs="Times New Roman"/>
          <w:bCs/>
          <w:color w:val="auto"/>
          <w:sz w:val="24"/>
          <w:szCs w:val="24"/>
        </w:rPr>
        <w:t xml:space="preserve">ratio. Apart from </w:t>
      </w:r>
      <w:r w:rsidRPr="00A0485A">
        <w:rPr>
          <w:rFonts w:ascii="Symbol" w:hAnsi="Symbol" w:cs="Times New Roman"/>
          <w:bCs/>
          <w:color w:val="auto"/>
          <w:sz w:val="24"/>
          <w:szCs w:val="24"/>
        </w:rPr>
        <w:t></w:t>
      </w:r>
      <w:r>
        <w:rPr>
          <w:rFonts w:ascii="Times New Roman" w:hAnsi="Times New Roman" w:cs="Times New Roman"/>
          <w:color w:val="000000" w:themeColor="text1"/>
          <w:sz w:val="24"/>
          <w:szCs w:val="24"/>
          <w:lang w:val="en-GB"/>
        </w:rPr>
        <w:t>MYC</w:t>
      </w:r>
      <w:r>
        <w:rPr>
          <w:rFonts w:ascii="Times New Roman" w:hAnsi="Times New Roman" w:cs="Times New Roman"/>
          <w:bCs/>
          <w:color w:val="auto"/>
          <w:sz w:val="24"/>
          <w:szCs w:val="24"/>
        </w:rPr>
        <w:t>s</w:t>
      </w:r>
      <w:r w:rsidRPr="00A0485A">
        <w:rPr>
          <w:rFonts w:ascii="Times New Roman" w:hAnsi="Times New Roman" w:cs="Times New Roman"/>
          <w:bCs/>
          <w:color w:val="auto"/>
          <w:sz w:val="24"/>
          <w:szCs w:val="24"/>
        </w:rPr>
        <w:t xml:space="preserve">hare,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and </w:t>
      </w:r>
      <w:r>
        <w:rPr>
          <w:rFonts w:ascii="Times New Roman" w:hAnsi="Times New Roman" w:cs="Times New Roman"/>
          <w:bCs/>
          <w:color w:val="auto"/>
          <w:sz w:val="24"/>
          <w:szCs w:val="24"/>
        </w:rPr>
        <w:t xml:space="preserve">ZBTB17 </w:t>
      </w:r>
      <w:r w:rsidRPr="00A0485A">
        <w:rPr>
          <w:rFonts w:ascii="Times New Roman" w:hAnsi="Times New Roman" w:cs="Times New Roman"/>
          <w:bCs/>
          <w:color w:val="auto"/>
          <w:sz w:val="24"/>
          <w:szCs w:val="24"/>
        </w:rPr>
        <w:t xml:space="preserve">binding were quantified in the control conditions. Genes that were differentially expressed and bound by either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or </w:t>
      </w:r>
      <w:r>
        <w:rPr>
          <w:rFonts w:ascii="Times New Roman" w:hAnsi="Times New Roman" w:cs="Times New Roman"/>
          <w:bCs/>
          <w:color w:val="auto"/>
          <w:sz w:val="24"/>
          <w:szCs w:val="24"/>
        </w:rPr>
        <w:t xml:space="preserve">ZBTB17 </w:t>
      </w:r>
      <w:r w:rsidRPr="00A0485A">
        <w:rPr>
          <w:rFonts w:ascii="Times New Roman" w:hAnsi="Times New Roman" w:cs="Times New Roman"/>
          <w:bCs/>
          <w:color w:val="auto"/>
          <w:sz w:val="24"/>
          <w:szCs w:val="24"/>
        </w:rPr>
        <w:t xml:space="preserve">in the control or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-overexpression condition were considered (3400, 4215, and 3109 genes for </w:t>
      </w:r>
      <w:r w:rsidRPr="00A0485A">
        <w:rPr>
          <w:rFonts w:ascii="Times New Roman" w:hAnsi="Times New Roman" w:cs="Times New Roman"/>
          <w:color w:val="auto"/>
          <w:sz w:val="24"/>
          <w:szCs w:val="24"/>
        </w:rPr>
        <w:t>U2OS</w:t>
      </w:r>
      <w:r>
        <w:rPr>
          <w:rFonts w:ascii="Times New Roman" w:hAnsi="Times New Roman" w:cs="Times New Roman"/>
          <w:color w:val="auto"/>
          <w:sz w:val="24"/>
          <w:szCs w:val="24"/>
          <w:vertAlign w:val="superscript"/>
        </w:rPr>
        <w:t>t</w:t>
      </w:r>
      <w:r w:rsidRPr="00A0485A">
        <w:rPr>
          <w:rFonts w:ascii="Times New Roman" w:hAnsi="Times New Roman" w:cs="Times New Roman"/>
          <w:color w:val="auto"/>
          <w:sz w:val="24"/>
          <w:szCs w:val="24"/>
          <w:vertAlign w:val="superscript"/>
        </w:rPr>
        <w:t>et-M</w:t>
      </w:r>
      <w:r>
        <w:rPr>
          <w:rFonts w:ascii="Times New Roman" w:hAnsi="Times New Roman" w:cs="Times New Roman"/>
          <w:color w:val="auto"/>
          <w:sz w:val="24"/>
          <w:szCs w:val="24"/>
          <w:vertAlign w:val="superscript"/>
        </w:rPr>
        <w:t>YC</w:t>
      </w:r>
      <w:r w:rsidRPr="00A0485A">
        <w:rPr>
          <w:rFonts w:ascii="Times New Roman" w:hAnsi="Times New Roman" w:cs="Times New Roman"/>
          <w:color w:val="auto"/>
          <w:sz w:val="24"/>
          <w:szCs w:val="24"/>
        </w:rPr>
        <w:t>, 3T9</w:t>
      </w:r>
      <w:r>
        <w:rPr>
          <w:rFonts w:ascii="Times New Roman" w:hAnsi="Times New Roman" w:cs="Times New Roman"/>
          <w:color w:val="auto"/>
          <w:sz w:val="24"/>
          <w:szCs w:val="24"/>
          <w:vertAlign w:val="superscript"/>
        </w:rPr>
        <w:t>MYC-</w:t>
      </w:r>
      <w:r w:rsidRPr="00A0485A">
        <w:rPr>
          <w:rFonts w:ascii="Times New Roman" w:hAnsi="Times New Roman" w:cs="Times New Roman"/>
          <w:color w:val="auto"/>
          <w:sz w:val="24"/>
          <w:szCs w:val="24"/>
          <w:vertAlign w:val="superscript"/>
        </w:rPr>
        <w:t>ER</w:t>
      </w:r>
      <w:r w:rsidRPr="00A0485A">
        <w:rPr>
          <w:rFonts w:ascii="Times New Roman" w:hAnsi="Times New Roman" w:cs="Times New Roman"/>
          <w:bCs/>
          <w:color w:val="auto"/>
          <w:sz w:val="24"/>
          <w:szCs w:val="24"/>
        </w:rPr>
        <w:t xml:space="preserve">, and </w:t>
      </w:r>
      <w:r w:rsidRPr="00A0485A">
        <w:rPr>
          <w:rFonts w:ascii="Times New Roman" w:hAnsi="Times New Roman" w:cs="Times New Roman"/>
          <w:color w:val="auto"/>
          <w:sz w:val="24"/>
          <w:szCs w:val="24"/>
        </w:rPr>
        <w:t>Eµ-</w:t>
      </w:r>
      <w:proofErr w:type="spellStart"/>
      <w:r w:rsidRPr="00A0485A">
        <w:rPr>
          <w:rFonts w:ascii="Times New Roman" w:hAnsi="Times New Roman" w:cs="Times New Roman"/>
          <w:i/>
          <w:color w:val="auto"/>
          <w:sz w:val="24"/>
          <w:szCs w:val="24"/>
        </w:rPr>
        <w:t>myc</w:t>
      </w:r>
      <w:proofErr w:type="spellEnd"/>
      <w:r w:rsidRPr="00A0485A">
        <w:rPr>
          <w:rFonts w:ascii="Times New Roman" w:hAnsi="Times New Roman" w:cs="Times New Roman"/>
          <w:color w:val="auto"/>
          <w:sz w:val="24"/>
          <w:szCs w:val="24"/>
        </w:rPr>
        <w:t xml:space="preserve"> models, respectively)</w:t>
      </w:r>
      <w:r w:rsidRPr="00A0485A">
        <w:rPr>
          <w:rFonts w:ascii="Times New Roman" w:hAnsi="Times New Roman" w:cs="Times New Roman"/>
          <w:bCs/>
          <w:color w:val="auto"/>
          <w:sz w:val="24"/>
          <w:szCs w:val="24"/>
        </w:rPr>
        <w:t>. AUC: area under the curve. (</w:t>
      </w:r>
      <w:r w:rsidRPr="00A0485A">
        <w:rPr>
          <w:rFonts w:ascii="Times New Roman" w:hAnsi="Times New Roman" w:cs="Times New Roman"/>
          <w:bCs/>
          <w:i/>
          <w:color w:val="auto"/>
          <w:sz w:val="24"/>
          <w:szCs w:val="24"/>
        </w:rPr>
        <w:t>F</w:t>
      </w:r>
      <w:r w:rsidRPr="00A0485A">
        <w:rPr>
          <w:rFonts w:ascii="Times New Roman" w:hAnsi="Times New Roman" w:cs="Times New Roman"/>
          <w:bCs/>
          <w:color w:val="auto"/>
          <w:sz w:val="24"/>
          <w:szCs w:val="24"/>
        </w:rPr>
        <w:t xml:space="preserve">) For each condition as in (a) scatter plot of the changes in the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share compared to control conditions (y-axis), compared with the </w:t>
      </w:r>
      <w:r>
        <w:rPr>
          <w:rFonts w:ascii="Times New Roman" w:hAnsi="Times New Roman" w:cs="Times New Roman"/>
          <w:bCs/>
          <w:color w:val="auto"/>
          <w:sz w:val="24"/>
          <w:szCs w:val="24"/>
        </w:rPr>
        <w:t xml:space="preserve">ZBTB17 </w:t>
      </w:r>
      <w:r w:rsidRPr="00A0485A">
        <w:rPr>
          <w:rFonts w:ascii="Times New Roman" w:hAnsi="Times New Roman" w:cs="Times New Roman"/>
          <w:bCs/>
          <w:color w:val="auto"/>
          <w:sz w:val="24"/>
          <w:szCs w:val="24"/>
        </w:rPr>
        <w:t xml:space="preserve">binding in the control condition (x-axis). Transcriptional induction and repression are color coded in red and blue, respectively, the darker the color the greater the modulation. The dashed black line depicts the ability of the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share to partition induced from repressed genes. The solid black line displays the linear model discriminating induced from repressed genes, based on the combined information from x- and y-axis, and the correlation between the linear model and transcriptional modulation is reported. (</w:t>
      </w:r>
      <w:r w:rsidRPr="00A0485A">
        <w:rPr>
          <w:rFonts w:ascii="Times New Roman" w:hAnsi="Times New Roman" w:cs="Times New Roman"/>
          <w:bCs/>
          <w:i/>
          <w:color w:val="auto"/>
          <w:sz w:val="24"/>
          <w:szCs w:val="24"/>
        </w:rPr>
        <w:t>G</w:t>
      </w:r>
      <w:r w:rsidRPr="00A0485A">
        <w:rPr>
          <w:rFonts w:ascii="Times New Roman" w:hAnsi="Times New Roman" w:cs="Times New Roman"/>
          <w:bCs/>
          <w:color w:val="auto"/>
          <w:sz w:val="24"/>
          <w:szCs w:val="24"/>
        </w:rPr>
        <w:t xml:space="preserve">) The differential expression in liver tumors induced by wild-type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(WT) and by a mutant defective in </w:t>
      </w:r>
      <w:r>
        <w:rPr>
          <w:rFonts w:ascii="Times New Roman" w:hAnsi="Times New Roman" w:cs="Times New Roman"/>
          <w:bCs/>
          <w:color w:val="auto"/>
          <w:sz w:val="24"/>
          <w:szCs w:val="24"/>
        </w:rPr>
        <w:t xml:space="preserve">ZBTB17 </w:t>
      </w:r>
      <w:r w:rsidRPr="00A0485A">
        <w:rPr>
          <w:rFonts w:ascii="Times New Roman" w:hAnsi="Times New Roman" w:cs="Times New Roman"/>
          <w:bCs/>
          <w:color w:val="auto"/>
          <w:sz w:val="24"/>
          <w:szCs w:val="24"/>
        </w:rPr>
        <w:t>binding (VD) is compared and displayed as histogram: primary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-dependent) repressed genes have lower repression in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VD and primary induced genes have lower activation (Spearman p-values </w:t>
      </w:r>
      <w:r>
        <w:rPr>
          <w:rFonts w:ascii="Times New Roman" w:hAnsi="Times New Roman" w:cs="Times New Roman"/>
          <w:bCs/>
          <w:color w:val="auto"/>
          <w:sz w:val="24"/>
          <w:szCs w:val="24"/>
        </w:rPr>
        <w:t>&lt; 2.2e-16 in</w:t>
      </w:r>
      <w:r w:rsidRPr="00A0485A">
        <w:rPr>
          <w:rFonts w:ascii="Times New Roman" w:hAnsi="Times New Roman" w:cs="Times New Roman"/>
          <w:bCs/>
          <w:color w:val="auto"/>
          <w:sz w:val="24"/>
          <w:szCs w:val="24"/>
        </w:rPr>
        <w:t xml:space="preserve"> both for the average of the distributions being different from 0); all primary and secondary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-independent)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responders are reported as background.</w:t>
      </w:r>
    </w:p>
    <w:p w14:paraId="68585458" w14:textId="77777777" w:rsidR="009D52FF" w:rsidRPr="00A0485A" w:rsidRDefault="009D52FF" w:rsidP="009D52FF">
      <w:pPr>
        <w:pStyle w:val="Normal1"/>
        <w:spacing w:before="120" w:line="360" w:lineRule="auto"/>
        <w:jc w:val="both"/>
        <w:rPr>
          <w:rFonts w:ascii="Times New Roman" w:hAnsi="Times New Roman" w:cs="Times New Roman"/>
          <w:b/>
          <w:bCs/>
          <w:color w:val="auto"/>
          <w:sz w:val="24"/>
          <w:szCs w:val="24"/>
        </w:rPr>
      </w:pPr>
    </w:p>
    <w:p w14:paraId="1FA8ABEE" w14:textId="77777777" w:rsidR="009D52FF" w:rsidRDefault="009D52FF" w:rsidP="009D52FF">
      <w:pPr>
        <w:pStyle w:val="Normal1"/>
        <w:spacing w:before="120" w:line="360" w:lineRule="auto"/>
        <w:jc w:val="both"/>
        <w:rPr>
          <w:rFonts w:ascii="Times New Roman" w:hAnsi="Times New Roman" w:cs="Times New Roman"/>
          <w:b/>
          <w:bCs/>
          <w:color w:val="auto"/>
          <w:sz w:val="24"/>
          <w:szCs w:val="24"/>
        </w:rPr>
      </w:pPr>
      <w:r>
        <w:rPr>
          <w:rFonts w:ascii="Times New Roman" w:hAnsi="Times New Roman" w:cs="Times New Roman"/>
          <w:b/>
          <w:bCs/>
          <w:noProof/>
          <w:color w:val="auto"/>
          <w:sz w:val="24"/>
          <w:szCs w:val="24"/>
        </w:rPr>
        <w:drawing>
          <wp:inline distT="0" distB="0" distL="0" distR="0" wp14:anchorId="745CF0CF" wp14:editId="2C8F2212">
            <wp:extent cx="5270500" cy="4436745"/>
            <wp:effectExtent l="0" t="0" r="1270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2.pdf"/>
                    <pic:cNvPicPr/>
                  </pic:nvPicPr>
                  <pic:blipFill>
                    <a:blip r:embed="rId6">
                      <a:extLst>
                        <a:ext uri="{28A0092B-C50C-407E-A947-70E740481C1C}">
                          <a14:useLocalDpi xmlns:a14="http://schemas.microsoft.com/office/drawing/2010/main" val="0"/>
                        </a:ext>
                      </a:extLst>
                    </a:blip>
                    <a:stretch>
                      <a:fillRect/>
                    </a:stretch>
                  </pic:blipFill>
                  <pic:spPr>
                    <a:xfrm>
                      <a:off x="0" y="0"/>
                      <a:ext cx="5270500" cy="4436745"/>
                    </a:xfrm>
                    <a:prstGeom prst="rect">
                      <a:avLst/>
                    </a:prstGeom>
                  </pic:spPr>
                </pic:pic>
              </a:graphicData>
            </a:graphic>
          </wp:inline>
        </w:drawing>
      </w:r>
    </w:p>
    <w:p w14:paraId="24D89BE2" w14:textId="77777777" w:rsidR="009D52FF" w:rsidRPr="00A0485A" w:rsidRDefault="009D52FF" w:rsidP="009D52FF">
      <w:pPr>
        <w:pStyle w:val="Normal1"/>
        <w:spacing w:before="120" w:line="360" w:lineRule="auto"/>
        <w:jc w:val="both"/>
        <w:rPr>
          <w:rFonts w:ascii="Times New Roman" w:hAnsi="Times New Roman" w:cs="Times New Roman"/>
          <w:bCs/>
          <w:color w:val="auto"/>
          <w:sz w:val="24"/>
          <w:szCs w:val="24"/>
        </w:rPr>
      </w:pPr>
      <w:r w:rsidRPr="00A0485A">
        <w:rPr>
          <w:rFonts w:ascii="Times New Roman" w:hAnsi="Times New Roman" w:cs="Times New Roman"/>
          <w:b/>
          <w:bCs/>
          <w:color w:val="auto"/>
          <w:sz w:val="24"/>
          <w:szCs w:val="24"/>
        </w:rPr>
        <w:t xml:space="preserve">Figure S2. </w:t>
      </w:r>
      <w:proofErr w:type="gramStart"/>
      <w:r w:rsidRPr="00A0485A">
        <w:rPr>
          <w:rFonts w:ascii="Times New Roman" w:hAnsi="Times New Roman" w:cs="Times New Roman"/>
          <w:bCs/>
          <w:color w:val="auto"/>
          <w:sz w:val="24"/>
          <w:szCs w:val="24"/>
        </w:rPr>
        <w:t xml:space="preserve">Time-course of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activation in 3T9</w:t>
      </w:r>
      <w:r>
        <w:rPr>
          <w:rFonts w:ascii="Times New Roman" w:hAnsi="Times New Roman" w:cs="Times New Roman"/>
          <w:bCs/>
          <w:color w:val="auto"/>
          <w:sz w:val="24"/>
          <w:szCs w:val="24"/>
          <w:vertAlign w:val="superscript"/>
        </w:rPr>
        <w:t>MYC-</w:t>
      </w:r>
      <w:r w:rsidRPr="00A0485A">
        <w:rPr>
          <w:rFonts w:ascii="Times New Roman" w:hAnsi="Times New Roman" w:cs="Times New Roman"/>
          <w:bCs/>
          <w:color w:val="auto"/>
          <w:sz w:val="24"/>
          <w:szCs w:val="24"/>
          <w:vertAlign w:val="superscript"/>
        </w:rPr>
        <w:t>ER</w:t>
      </w:r>
      <w:r w:rsidRPr="00A0485A">
        <w:rPr>
          <w:rFonts w:ascii="Times New Roman" w:hAnsi="Times New Roman" w:cs="Times New Roman"/>
          <w:bCs/>
          <w:color w:val="auto"/>
          <w:sz w:val="24"/>
          <w:szCs w:val="24"/>
        </w:rPr>
        <w:t xml:space="preserve"> cells.</w:t>
      </w:r>
      <w:proofErr w:type="gramEnd"/>
      <w:r w:rsidRPr="00A0485A">
        <w:rPr>
          <w:rFonts w:ascii="Times New Roman" w:hAnsi="Times New Roman" w:cs="Times New Roman"/>
          <w:bCs/>
          <w:color w:val="auto"/>
          <w:sz w:val="24"/>
          <w:szCs w:val="24"/>
        </w:rPr>
        <w:t xml:space="preserve"> (</w:t>
      </w:r>
      <w:r w:rsidRPr="00A0485A">
        <w:rPr>
          <w:rFonts w:ascii="Times New Roman" w:hAnsi="Times New Roman" w:cs="Times New Roman"/>
          <w:bCs/>
          <w:i/>
          <w:color w:val="auto"/>
          <w:sz w:val="24"/>
          <w:szCs w:val="24"/>
        </w:rPr>
        <w:t>A</w:t>
      </w:r>
      <w:r w:rsidRPr="00A0485A">
        <w:rPr>
          <w:rFonts w:ascii="Times New Roman" w:hAnsi="Times New Roman" w:cs="Times New Roman"/>
          <w:bCs/>
          <w:color w:val="auto"/>
          <w:sz w:val="24"/>
          <w:szCs w:val="24"/>
        </w:rPr>
        <w:t>)</w:t>
      </w:r>
      <w:r w:rsidRPr="00A0485A">
        <w:rPr>
          <w:rFonts w:ascii="Times New Roman" w:hAnsi="Times New Roman" w:cs="Times New Roman"/>
          <w:b/>
          <w:bCs/>
          <w:color w:val="auto"/>
          <w:sz w:val="24"/>
          <w:szCs w:val="24"/>
        </w:rPr>
        <w:t xml:space="preserve"> </w:t>
      </w:r>
      <w:r w:rsidRPr="00A0485A">
        <w:rPr>
          <w:rFonts w:ascii="Times New Roman" w:hAnsi="Times New Roman" w:cs="Times New Roman"/>
          <w:bCs/>
          <w:color w:val="auto"/>
          <w:sz w:val="24"/>
          <w:szCs w:val="24"/>
        </w:rPr>
        <w:t>Western blots (representative of two independent experiments) showing the cellular localizatio</w:t>
      </w:r>
      <w:r>
        <w:rPr>
          <w:rFonts w:ascii="Times New Roman" w:hAnsi="Times New Roman" w:cs="Times New Roman"/>
          <w:bCs/>
          <w:color w:val="auto"/>
          <w:sz w:val="24"/>
          <w:szCs w:val="24"/>
        </w:rPr>
        <w:t>n of the MYC-</w:t>
      </w:r>
      <w:r w:rsidRPr="00A0485A">
        <w:rPr>
          <w:rFonts w:ascii="Times New Roman" w:hAnsi="Times New Roman" w:cs="Times New Roman"/>
          <w:bCs/>
          <w:color w:val="auto"/>
          <w:sz w:val="24"/>
          <w:szCs w:val="24"/>
        </w:rPr>
        <w:t xml:space="preserve">ER protein before or after OHT addition for the indicated times. </w:t>
      </w:r>
      <w:proofErr w:type="spellStart"/>
      <w:r w:rsidRPr="00A0485A">
        <w:rPr>
          <w:rFonts w:ascii="Times New Roman" w:hAnsi="Times New Roman" w:cs="Times New Roman"/>
          <w:bCs/>
          <w:color w:val="auto"/>
          <w:sz w:val="24"/>
          <w:szCs w:val="24"/>
        </w:rPr>
        <w:t>Vinculin</w:t>
      </w:r>
      <w:proofErr w:type="spellEnd"/>
      <w:r w:rsidRPr="00A0485A">
        <w:rPr>
          <w:rFonts w:ascii="Times New Roman" w:hAnsi="Times New Roman" w:cs="Times New Roman"/>
          <w:bCs/>
          <w:color w:val="auto"/>
          <w:sz w:val="24"/>
          <w:szCs w:val="24"/>
        </w:rPr>
        <w:t xml:space="preserve"> was used as cytoplasmic marker protein, histone H3 as marker for the chromatin-bound fraction. The soluble fraction includes cytoplasm and nucleoplasm. (</w:t>
      </w:r>
      <w:r w:rsidRPr="00A0485A">
        <w:rPr>
          <w:rFonts w:ascii="Times New Roman" w:hAnsi="Times New Roman" w:cs="Times New Roman"/>
          <w:bCs/>
          <w:i/>
          <w:color w:val="auto"/>
          <w:sz w:val="24"/>
          <w:szCs w:val="24"/>
        </w:rPr>
        <w:t>B</w:t>
      </w:r>
      <w:r w:rsidRPr="00A0485A">
        <w:rPr>
          <w:rFonts w:ascii="Times New Roman" w:hAnsi="Times New Roman" w:cs="Times New Roman"/>
          <w:bCs/>
          <w:color w:val="auto"/>
          <w:sz w:val="24"/>
          <w:szCs w:val="24"/>
        </w:rPr>
        <w:t>)</w:t>
      </w:r>
      <w:r w:rsidRPr="00A0485A">
        <w:rPr>
          <w:rFonts w:ascii="Times New Roman" w:hAnsi="Times New Roman" w:cs="Times New Roman"/>
          <w:b/>
          <w:bCs/>
          <w:color w:val="auto"/>
          <w:sz w:val="24"/>
          <w:szCs w:val="24"/>
        </w:rPr>
        <w:t xml:space="preserve"> </w:t>
      </w:r>
      <w:r w:rsidRPr="00A0485A">
        <w:rPr>
          <w:rFonts w:ascii="Times New Roman" w:hAnsi="Times New Roman" w:cs="Times New Roman"/>
          <w:bCs/>
          <w:color w:val="auto"/>
          <w:sz w:val="24"/>
          <w:szCs w:val="24"/>
        </w:rPr>
        <w:t xml:space="preserve">RT-PCR of mature vs. immature mRNA expression levels after </w:t>
      </w:r>
      <w:r>
        <w:rPr>
          <w:rFonts w:ascii="Times New Roman" w:hAnsi="Times New Roman" w:cs="Times New Roman"/>
          <w:color w:val="000000" w:themeColor="text1"/>
          <w:sz w:val="24"/>
          <w:szCs w:val="24"/>
          <w:lang w:val="en-GB"/>
        </w:rPr>
        <w:t>MYC</w:t>
      </w:r>
      <w:r w:rsidRPr="00A0485A">
        <w:rPr>
          <w:rFonts w:ascii="Times New Roman" w:hAnsi="Times New Roman" w:cs="Times New Roman"/>
          <w:bCs/>
          <w:color w:val="auto"/>
          <w:sz w:val="24"/>
          <w:szCs w:val="24"/>
        </w:rPr>
        <w:t xml:space="preserve"> activation for the indicated time-points of the early OHT response. Primer location within exons (“E”) or introns (“I”) is indicated below the bars. Data are normalized to Rplp0 and plotted relative to the expression levels before OHT activation. (</w:t>
      </w:r>
      <w:r w:rsidRPr="00A0485A">
        <w:rPr>
          <w:rFonts w:ascii="Times New Roman" w:hAnsi="Times New Roman" w:cs="Times New Roman"/>
          <w:bCs/>
          <w:i/>
          <w:color w:val="auto"/>
          <w:sz w:val="24"/>
          <w:szCs w:val="24"/>
        </w:rPr>
        <w:t>C</w:t>
      </w:r>
      <w:r w:rsidRPr="00A0485A">
        <w:rPr>
          <w:rFonts w:ascii="Times New Roman" w:hAnsi="Times New Roman" w:cs="Times New Roman"/>
          <w:bCs/>
          <w:color w:val="auto"/>
          <w:sz w:val="24"/>
          <w:szCs w:val="24"/>
        </w:rPr>
        <w:t>)</w:t>
      </w:r>
      <w:r w:rsidRPr="00A0485A">
        <w:rPr>
          <w:rFonts w:ascii="Times New Roman" w:hAnsi="Times New Roman" w:cs="Times New Roman"/>
          <w:b/>
          <w:bCs/>
          <w:color w:val="auto"/>
          <w:sz w:val="24"/>
          <w:szCs w:val="24"/>
        </w:rPr>
        <w:t xml:space="preserve"> </w:t>
      </w:r>
      <w:r w:rsidRPr="00A0485A">
        <w:rPr>
          <w:rFonts w:ascii="Times New Roman" w:hAnsi="Times New Roman" w:cs="Times New Roman"/>
          <w:bCs/>
          <w:color w:val="auto"/>
          <w:sz w:val="24"/>
          <w:szCs w:val="24"/>
        </w:rPr>
        <w:t>As in (</w:t>
      </w:r>
      <w:r w:rsidRPr="00A0485A">
        <w:rPr>
          <w:rFonts w:ascii="Times New Roman" w:hAnsi="Times New Roman" w:cs="Times New Roman"/>
          <w:bCs/>
          <w:i/>
          <w:color w:val="auto"/>
          <w:sz w:val="24"/>
          <w:szCs w:val="24"/>
        </w:rPr>
        <w:t>B</w:t>
      </w:r>
      <w:r w:rsidRPr="00A0485A">
        <w:rPr>
          <w:rFonts w:ascii="Times New Roman" w:hAnsi="Times New Roman" w:cs="Times New Roman"/>
          <w:bCs/>
          <w:color w:val="auto"/>
          <w:sz w:val="24"/>
          <w:szCs w:val="24"/>
        </w:rPr>
        <w:t>) for the late OHT response in the indicated genes and regions.</w:t>
      </w:r>
    </w:p>
    <w:p w14:paraId="24E0FF73" w14:textId="77777777" w:rsidR="009D52FF" w:rsidRPr="00A0485A" w:rsidRDefault="009D52FF" w:rsidP="009D52FF">
      <w:pPr>
        <w:pStyle w:val="Normal1"/>
        <w:spacing w:before="120" w:line="360" w:lineRule="auto"/>
        <w:jc w:val="both"/>
        <w:rPr>
          <w:b/>
          <w:bCs/>
          <w:color w:val="4F81BD" w:themeColor="accent1"/>
          <w:sz w:val="24"/>
          <w:szCs w:val="24"/>
        </w:rPr>
      </w:pPr>
    </w:p>
    <w:p w14:paraId="66B4AA27" w14:textId="77777777" w:rsidR="009D52FF" w:rsidRDefault="009D52FF" w:rsidP="009D52FF">
      <w:pPr>
        <w:pStyle w:val="Normal1"/>
        <w:spacing w:before="120" w:line="360" w:lineRule="auto"/>
        <w:jc w:val="both"/>
        <w:rPr>
          <w:rFonts w:ascii="Times New Roman" w:hAnsi="Times New Roman" w:cs="Times New Roman"/>
          <w:b/>
          <w:bCs/>
          <w:color w:val="auto"/>
          <w:sz w:val="24"/>
          <w:szCs w:val="24"/>
        </w:rPr>
      </w:pPr>
      <w:r>
        <w:rPr>
          <w:rFonts w:ascii="Times New Roman" w:hAnsi="Times New Roman" w:cs="Times New Roman"/>
          <w:b/>
          <w:bCs/>
          <w:noProof/>
          <w:color w:val="auto"/>
          <w:sz w:val="24"/>
          <w:szCs w:val="24"/>
        </w:rPr>
        <w:drawing>
          <wp:inline distT="0" distB="0" distL="0" distR="0" wp14:anchorId="0A1AE389" wp14:editId="4497ADD3">
            <wp:extent cx="4808220" cy="886438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3.pdf"/>
                    <pic:cNvPicPr/>
                  </pic:nvPicPr>
                  <pic:blipFill>
                    <a:blip r:embed="rId7">
                      <a:extLst>
                        <a:ext uri="{28A0092B-C50C-407E-A947-70E740481C1C}">
                          <a14:useLocalDpi xmlns:a14="http://schemas.microsoft.com/office/drawing/2010/main" val="0"/>
                        </a:ext>
                      </a:extLst>
                    </a:blip>
                    <a:stretch>
                      <a:fillRect/>
                    </a:stretch>
                  </pic:blipFill>
                  <pic:spPr>
                    <a:xfrm>
                      <a:off x="0" y="0"/>
                      <a:ext cx="4808220" cy="8864385"/>
                    </a:xfrm>
                    <a:prstGeom prst="rect">
                      <a:avLst/>
                    </a:prstGeom>
                  </pic:spPr>
                </pic:pic>
              </a:graphicData>
            </a:graphic>
          </wp:inline>
        </w:drawing>
      </w:r>
      <w:bookmarkStart w:id="0" w:name="_GoBack"/>
      <w:bookmarkEnd w:id="0"/>
    </w:p>
    <w:p w14:paraId="3BF09008" w14:textId="77777777" w:rsidR="009D52FF" w:rsidRPr="00A0485A" w:rsidRDefault="009D52FF" w:rsidP="009D52FF">
      <w:pPr>
        <w:pStyle w:val="Normal1"/>
        <w:spacing w:before="120" w:line="360" w:lineRule="auto"/>
        <w:jc w:val="both"/>
        <w:rPr>
          <w:rFonts w:ascii="Times New Roman" w:hAnsi="Times New Roman" w:cs="Times New Roman"/>
          <w:bCs/>
          <w:color w:val="auto"/>
          <w:sz w:val="24"/>
          <w:szCs w:val="24"/>
        </w:rPr>
      </w:pPr>
      <w:r w:rsidRPr="00A0485A">
        <w:rPr>
          <w:rFonts w:ascii="Times New Roman" w:hAnsi="Times New Roman" w:cs="Times New Roman"/>
          <w:b/>
          <w:bCs/>
          <w:color w:val="auto"/>
          <w:sz w:val="24"/>
          <w:szCs w:val="24"/>
        </w:rPr>
        <w:t xml:space="preserve">Figure S3. </w:t>
      </w:r>
      <w:r w:rsidRPr="00A0485A">
        <w:rPr>
          <w:rFonts w:ascii="Times New Roman" w:hAnsi="Times New Roman" w:cs="Times New Roman"/>
          <w:bCs/>
          <w:color w:val="auto"/>
          <w:sz w:val="24"/>
          <w:szCs w:val="24"/>
        </w:rPr>
        <w:t>Dynamics of RNAPII loading and progression along transcriptional units: model evaluation. (</w:t>
      </w:r>
      <w:r w:rsidRPr="00A0485A">
        <w:rPr>
          <w:rFonts w:ascii="Times New Roman" w:hAnsi="Times New Roman" w:cs="Times New Roman"/>
          <w:bCs/>
          <w:i/>
          <w:color w:val="auto"/>
          <w:sz w:val="24"/>
          <w:szCs w:val="24"/>
        </w:rPr>
        <w:t>A</w:t>
      </w:r>
      <w:r w:rsidRPr="00A0485A">
        <w:rPr>
          <w:rFonts w:ascii="Times New Roman" w:hAnsi="Times New Roman" w:cs="Times New Roman"/>
          <w:bCs/>
          <w:color w:val="auto"/>
          <w:sz w:val="24"/>
          <w:szCs w:val="24"/>
        </w:rPr>
        <w:t xml:space="preserve">) The quality of partitioning the dataset in N clusters (2&lt;N&lt;40, x-axis) using k-means was evaluated. For each N, the quality of the clustering was determined using the </w:t>
      </w:r>
      <w:proofErr w:type="spellStart"/>
      <w:r w:rsidRPr="00A0485A">
        <w:rPr>
          <w:rFonts w:ascii="Times New Roman" w:hAnsi="Times New Roman" w:cs="Times New Roman"/>
          <w:bCs/>
          <w:color w:val="auto"/>
          <w:sz w:val="24"/>
          <w:szCs w:val="24"/>
        </w:rPr>
        <w:t>Akaike</w:t>
      </w:r>
      <w:proofErr w:type="spellEnd"/>
      <w:r w:rsidRPr="00A0485A">
        <w:rPr>
          <w:rFonts w:ascii="Times New Roman" w:hAnsi="Times New Roman" w:cs="Times New Roman"/>
          <w:bCs/>
          <w:color w:val="auto"/>
          <w:sz w:val="24"/>
          <w:szCs w:val="24"/>
        </w:rPr>
        <w:t xml:space="preserve"> information criterion (AIC, y-axis). </w:t>
      </w:r>
      <w:proofErr w:type="gramStart"/>
      <w:r w:rsidRPr="00A0485A">
        <w:rPr>
          <w:rFonts w:ascii="Times New Roman" w:hAnsi="Times New Roman" w:cs="Times New Roman"/>
          <w:bCs/>
          <w:color w:val="auto"/>
          <w:sz w:val="24"/>
          <w:szCs w:val="24"/>
        </w:rPr>
        <w:t>The lower the AIC, the higher the quality of clustering (in terms of having high within-cluster homogeneity and low between-clusters similarity).</w:t>
      </w:r>
      <w:proofErr w:type="gramEnd"/>
      <w:r w:rsidRPr="00A0485A">
        <w:rPr>
          <w:rFonts w:ascii="Times New Roman" w:hAnsi="Times New Roman" w:cs="Times New Roman"/>
          <w:bCs/>
          <w:color w:val="auto"/>
          <w:sz w:val="24"/>
          <w:szCs w:val="24"/>
        </w:rPr>
        <w:t xml:space="preserve"> The dashed line and arrow identify in 14 the optimal number of </w:t>
      </w:r>
      <w:proofErr w:type="gramStart"/>
      <w:r w:rsidRPr="00A0485A">
        <w:rPr>
          <w:rFonts w:ascii="Times New Roman" w:hAnsi="Times New Roman" w:cs="Times New Roman"/>
          <w:bCs/>
          <w:color w:val="auto"/>
          <w:sz w:val="24"/>
          <w:szCs w:val="24"/>
        </w:rPr>
        <w:t>clusters,</w:t>
      </w:r>
      <w:proofErr w:type="gramEnd"/>
      <w:r w:rsidRPr="00A0485A">
        <w:rPr>
          <w:rFonts w:ascii="Times New Roman" w:hAnsi="Times New Roman" w:cs="Times New Roman"/>
          <w:bCs/>
          <w:color w:val="auto"/>
          <w:sz w:val="24"/>
          <w:szCs w:val="24"/>
        </w:rPr>
        <w:t xml:space="preserve"> as further increasing N is not fully justified by a significant increase in cluster quality, see methods. (</w:t>
      </w:r>
      <w:r w:rsidRPr="00A0485A">
        <w:rPr>
          <w:rFonts w:ascii="Times New Roman" w:hAnsi="Times New Roman" w:cs="Times New Roman"/>
          <w:bCs/>
          <w:i/>
          <w:color w:val="auto"/>
          <w:sz w:val="24"/>
          <w:szCs w:val="24"/>
        </w:rPr>
        <w:t>B</w:t>
      </w:r>
      <w:r w:rsidRPr="00A0485A">
        <w:rPr>
          <w:rFonts w:ascii="Times New Roman" w:hAnsi="Times New Roman" w:cs="Times New Roman"/>
          <w:bCs/>
          <w:color w:val="auto"/>
          <w:sz w:val="24"/>
          <w:szCs w:val="24"/>
        </w:rPr>
        <w:t>) Left column: RNAPII flux at promoters (p</w:t>
      </w:r>
      <w:r w:rsidRPr="00A0485A">
        <w:rPr>
          <w:rFonts w:ascii="Times New Roman" w:hAnsi="Times New Roman" w:cs="Times New Roman"/>
          <w:bCs/>
          <w:color w:val="auto"/>
          <w:sz w:val="24"/>
          <w:szCs w:val="24"/>
          <w:vertAlign w:val="subscript"/>
        </w:rPr>
        <w:t>1</w:t>
      </w:r>
      <w:r w:rsidRPr="00A0485A">
        <w:rPr>
          <w:rFonts w:ascii="Times New Roman" w:hAnsi="Times New Roman" w:cs="Times New Roman"/>
          <w:bCs/>
          <w:color w:val="auto"/>
          <w:sz w:val="24"/>
          <w:szCs w:val="24"/>
        </w:rPr>
        <w:t>, solid lines for cl1-12); for each cluster, a black dashed line identifies flux levels of the untreated condition, while a grey dashed line at 0 separates positive (recruitment) from negative (loss) flux levels. Middle column: as the left column with restricted y-axis. Right column: modulation of the model rates p</w:t>
      </w:r>
      <w:r w:rsidRPr="00A0485A">
        <w:rPr>
          <w:rFonts w:ascii="Times New Roman" w:hAnsi="Times New Roman" w:cs="Times New Roman"/>
          <w:bCs/>
          <w:color w:val="auto"/>
          <w:sz w:val="24"/>
          <w:szCs w:val="24"/>
          <w:vertAlign w:val="subscript"/>
        </w:rPr>
        <w:t>2-4</w:t>
      </w:r>
      <w:r w:rsidRPr="00A0485A">
        <w:rPr>
          <w:rFonts w:ascii="Times New Roman" w:hAnsi="Times New Roman" w:cs="Times New Roman"/>
          <w:bCs/>
          <w:color w:val="auto"/>
          <w:sz w:val="24"/>
          <w:szCs w:val="24"/>
        </w:rPr>
        <w:t xml:space="preserve"> as log</w:t>
      </w:r>
      <w:r w:rsidRPr="00A0485A">
        <w:rPr>
          <w:rFonts w:ascii="Times New Roman" w:hAnsi="Times New Roman" w:cs="Times New Roman"/>
          <w:bCs/>
          <w:color w:val="auto"/>
          <w:sz w:val="24"/>
          <w:szCs w:val="24"/>
          <w:vertAlign w:val="subscript"/>
        </w:rPr>
        <w:t>2</w:t>
      </w:r>
      <w:r w:rsidRPr="00A0485A">
        <w:rPr>
          <w:rFonts w:ascii="Times New Roman" w:hAnsi="Times New Roman" w:cs="Times New Roman"/>
          <w:bCs/>
          <w:color w:val="auto"/>
          <w:sz w:val="24"/>
          <w:szCs w:val="24"/>
        </w:rPr>
        <w:t>ratio with respect to the untreated condition. (</w:t>
      </w:r>
      <w:r w:rsidRPr="00A0485A">
        <w:rPr>
          <w:rFonts w:ascii="Times New Roman" w:hAnsi="Times New Roman" w:cs="Times New Roman"/>
          <w:bCs/>
          <w:i/>
          <w:color w:val="auto"/>
          <w:sz w:val="24"/>
          <w:szCs w:val="24"/>
        </w:rPr>
        <w:t>C</w:t>
      </w:r>
      <w:r w:rsidRPr="00A0485A">
        <w:rPr>
          <w:rFonts w:ascii="Times New Roman" w:hAnsi="Times New Roman" w:cs="Times New Roman"/>
          <w:bCs/>
          <w:color w:val="auto"/>
          <w:sz w:val="24"/>
          <w:szCs w:val="24"/>
        </w:rPr>
        <w:t>) For each cluster and time point of OHT treatment, average density of RNAPII ChIP-</w:t>
      </w:r>
      <w:proofErr w:type="spellStart"/>
      <w:r w:rsidRPr="00A0485A">
        <w:rPr>
          <w:rFonts w:ascii="Times New Roman" w:hAnsi="Times New Roman" w:cs="Times New Roman"/>
          <w:bCs/>
          <w:color w:val="auto"/>
          <w:sz w:val="24"/>
          <w:szCs w:val="24"/>
        </w:rPr>
        <w:t>seq</w:t>
      </w:r>
      <w:proofErr w:type="spellEnd"/>
      <w:r w:rsidRPr="00A0485A">
        <w:rPr>
          <w:rFonts w:ascii="Times New Roman" w:hAnsi="Times New Roman" w:cs="Times New Roman"/>
          <w:bCs/>
          <w:color w:val="auto"/>
          <w:sz w:val="24"/>
          <w:szCs w:val="24"/>
        </w:rPr>
        <w:t xml:space="preserve"> reads (dots) within various portions of the transcriptional units, and the average synthesis rate. Solid lines represent the fit of the model. (</w:t>
      </w:r>
      <w:r w:rsidRPr="00A0485A">
        <w:rPr>
          <w:rFonts w:ascii="Times New Roman" w:hAnsi="Times New Roman" w:cs="Times New Roman"/>
          <w:bCs/>
          <w:i/>
          <w:color w:val="auto"/>
          <w:sz w:val="24"/>
          <w:szCs w:val="24"/>
        </w:rPr>
        <w:t>D</w:t>
      </w:r>
      <w:r w:rsidRPr="00A0485A">
        <w:rPr>
          <w:rFonts w:ascii="Times New Roman" w:hAnsi="Times New Roman" w:cs="Times New Roman"/>
          <w:bCs/>
          <w:color w:val="auto"/>
          <w:sz w:val="24"/>
          <w:szCs w:val="24"/>
        </w:rPr>
        <w:t>) Variance</w:t>
      </w:r>
      <w:r w:rsidRPr="00A0485A">
        <w:rPr>
          <w:rFonts w:ascii="Times New Roman" w:hAnsi="Times New Roman" w:cs="Times New Roman"/>
          <w:b/>
          <w:bCs/>
          <w:color w:val="auto"/>
          <w:sz w:val="24"/>
          <w:szCs w:val="24"/>
        </w:rPr>
        <w:t xml:space="preserve"> </w:t>
      </w:r>
      <w:r w:rsidRPr="00A0485A">
        <w:rPr>
          <w:rFonts w:ascii="Times New Roman" w:hAnsi="Times New Roman" w:cs="Times New Roman"/>
          <w:bCs/>
          <w:color w:val="auto"/>
          <w:sz w:val="24"/>
          <w:szCs w:val="24"/>
        </w:rPr>
        <w:t>explained by the model for each cluster in a set of 10 fold cross-validations. (</w:t>
      </w:r>
      <w:r w:rsidRPr="00A0485A">
        <w:rPr>
          <w:rFonts w:ascii="Times New Roman" w:hAnsi="Times New Roman" w:cs="Times New Roman"/>
          <w:bCs/>
          <w:i/>
          <w:color w:val="auto"/>
          <w:sz w:val="24"/>
          <w:szCs w:val="24"/>
        </w:rPr>
        <w:t>E</w:t>
      </w:r>
      <w:r w:rsidRPr="00A0485A">
        <w:rPr>
          <w:rFonts w:ascii="Times New Roman" w:hAnsi="Times New Roman" w:cs="Times New Roman"/>
          <w:bCs/>
          <w:color w:val="auto"/>
          <w:sz w:val="24"/>
          <w:szCs w:val="24"/>
        </w:rPr>
        <w:t xml:space="preserve">) As in Supplementary Fig. 2a, Western blots (representative of two independent experiments) showing the cellular localization of the RNAPII before or after OHT addition for the indicated times. </w:t>
      </w:r>
    </w:p>
    <w:p w14:paraId="16D25209" w14:textId="77777777" w:rsidR="009D52FF" w:rsidRPr="00A0485A" w:rsidRDefault="009D52FF" w:rsidP="009D52FF">
      <w:pPr>
        <w:pStyle w:val="Normal1"/>
        <w:spacing w:before="120" w:line="360" w:lineRule="auto"/>
        <w:jc w:val="both"/>
        <w:rPr>
          <w:b/>
          <w:bCs/>
          <w:color w:val="4F81BD" w:themeColor="accent1"/>
          <w:sz w:val="24"/>
          <w:szCs w:val="24"/>
        </w:rPr>
      </w:pPr>
    </w:p>
    <w:p w14:paraId="1DA1CF8E" w14:textId="77777777" w:rsidR="009D52FF" w:rsidRDefault="009D52FF" w:rsidP="009D52FF">
      <w:pPr>
        <w:pStyle w:val="Normal1"/>
        <w:spacing w:before="120" w:line="360" w:lineRule="auto"/>
        <w:jc w:val="both"/>
        <w:rPr>
          <w:rFonts w:ascii="Times New Roman" w:hAnsi="Times New Roman" w:cs="Times New Roman"/>
          <w:b/>
          <w:bCs/>
          <w:color w:val="auto"/>
          <w:sz w:val="24"/>
          <w:szCs w:val="24"/>
        </w:rPr>
      </w:pPr>
      <w:r>
        <w:rPr>
          <w:rFonts w:ascii="Times New Roman" w:hAnsi="Times New Roman" w:cs="Times New Roman"/>
          <w:b/>
          <w:bCs/>
          <w:noProof/>
          <w:color w:val="auto"/>
          <w:sz w:val="24"/>
          <w:szCs w:val="24"/>
        </w:rPr>
        <w:drawing>
          <wp:inline distT="0" distB="0" distL="0" distR="0" wp14:anchorId="09F45431" wp14:editId="7D4E9BC9">
            <wp:extent cx="5270500" cy="7781925"/>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4.pdf"/>
                    <pic:cNvPicPr/>
                  </pic:nvPicPr>
                  <pic:blipFill>
                    <a:blip r:embed="rId8">
                      <a:extLst>
                        <a:ext uri="{28A0092B-C50C-407E-A947-70E740481C1C}">
                          <a14:useLocalDpi xmlns:a14="http://schemas.microsoft.com/office/drawing/2010/main" val="0"/>
                        </a:ext>
                      </a:extLst>
                    </a:blip>
                    <a:stretch>
                      <a:fillRect/>
                    </a:stretch>
                  </pic:blipFill>
                  <pic:spPr>
                    <a:xfrm>
                      <a:off x="0" y="0"/>
                      <a:ext cx="5270500" cy="7781925"/>
                    </a:xfrm>
                    <a:prstGeom prst="rect">
                      <a:avLst/>
                    </a:prstGeom>
                  </pic:spPr>
                </pic:pic>
              </a:graphicData>
            </a:graphic>
          </wp:inline>
        </w:drawing>
      </w:r>
    </w:p>
    <w:p w14:paraId="63A43B79" w14:textId="77777777" w:rsidR="009D52FF" w:rsidRPr="00A0485A" w:rsidRDefault="009D52FF" w:rsidP="009D52FF">
      <w:pPr>
        <w:pStyle w:val="Normal1"/>
        <w:spacing w:before="120" w:line="360" w:lineRule="auto"/>
        <w:jc w:val="both"/>
        <w:rPr>
          <w:rFonts w:ascii="Times New Roman" w:hAnsi="Times New Roman" w:cs="Times New Roman"/>
          <w:bCs/>
          <w:color w:val="auto"/>
          <w:sz w:val="24"/>
          <w:szCs w:val="24"/>
        </w:rPr>
      </w:pPr>
      <w:r w:rsidRPr="00A0485A">
        <w:rPr>
          <w:rFonts w:ascii="Times New Roman" w:hAnsi="Times New Roman" w:cs="Times New Roman"/>
          <w:b/>
          <w:bCs/>
          <w:color w:val="auto"/>
          <w:sz w:val="24"/>
          <w:szCs w:val="24"/>
        </w:rPr>
        <w:t xml:space="preserve">Figure S4. </w:t>
      </w:r>
      <w:r w:rsidRPr="00A0485A">
        <w:rPr>
          <w:rFonts w:ascii="Times New Roman" w:hAnsi="Times New Roman" w:cs="Times New Roman"/>
          <w:bCs/>
          <w:color w:val="auto"/>
          <w:sz w:val="24"/>
          <w:szCs w:val="24"/>
        </w:rPr>
        <w:t>Dynamics of RNAPII elongation and pre-mRNA processing: supplemental results. (</w:t>
      </w:r>
      <w:r w:rsidRPr="00A0485A">
        <w:rPr>
          <w:rFonts w:ascii="Times New Roman" w:hAnsi="Times New Roman" w:cs="Times New Roman"/>
          <w:bCs/>
          <w:i/>
          <w:color w:val="auto"/>
          <w:sz w:val="24"/>
          <w:szCs w:val="24"/>
        </w:rPr>
        <w:t>A</w:t>
      </w:r>
      <w:r w:rsidRPr="00A0485A">
        <w:rPr>
          <w:rFonts w:ascii="Times New Roman" w:hAnsi="Times New Roman" w:cs="Times New Roman"/>
          <w:bCs/>
          <w:color w:val="auto"/>
          <w:sz w:val="24"/>
          <w:szCs w:val="24"/>
        </w:rPr>
        <w:t xml:space="preserve">) </w:t>
      </w:r>
      <w:r w:rsidRPr="00A0485A">
        <w:rPr>
          <w:rFonts w:ascii="Times New Roman" w:hAnsi="Times New Roman" w:cs="Times New Roman"/>
          <w:color w:val="auto"/>
          <w:sz w:val="24"/>
          <w:szCs w:val="24"/>
        </w:rPr>
        <w:t>For each intron (rows), the signal of 4sU-seq (left column) and RNAPII ChIP-</w:t>
      </w:r>
      <w:proofErr w:type="spellStart"/>
      <w:r w:rsidRPr="00A0485A">
        <w:rPr>
          <w:rFonts w:ascii="Times New Roman" w:hAnsi="Times New Roman" w:cs="Times New Roman"/>
          <w:color w:val="auto"/>
          <w:sz w:val="24"/>
          <w:szCs w:val="24"/>
        </w:rPr>
        <w:t>seq</w:t>
      </w:r>
      <w:proofErr w:type="spellEnd"/>
      <w:r w:rsidRPr="00A0485A">
        <w:rPr>
          <w:rFonts w:ascii="Times New Roman" w:hAnsi="Times New Roman" w:cs="Times New Roman"/>
          <w:color w:val="auto"/>
          <w:sz w:val="24"/>
          <w:szCs w:val="24"/>
        </w:rPr>
        <w:t xml:space="preserve"> (right column) normalized by the untreated condition is displayed for three particularly long induced and two repressed genes. Solid black lines highlight the trend by connecting at each time point the 1</w:t>
      </w:r>
      <w:r w:rsidRPr="00A0485A">
        <w:rPr>
          <w:rFonts w:ascii="Times New Roman" w:hAnsi="Times New Roman" w:cs="Times New Roman"/>
          <w:color w:val="auto"/>
          <w:sz w:val="24"/>
          <w:szCs w:val="24"/>
          <w:vertAlign w:val="superscript"/>
        </w:rPr>
        <w:t>st</w:t>
      </w:r>
      <w:r w:rsidRPr="00A0485A">
        <w:rPr>
          <w:rFonts w:ascii="Times New Roman" w:hAnsi="Times New Roman" w:cs="Times New Roman"/>
          <w:color w:val="auto"/>
          <w:sz w:val="24"/>
          <w:szCs w:val="24"/>
        </w:rPr>
        <w:t xml:space="preserve"> intron from the 5’ having a log</w:t>
      </w:r>
      <w:r w:rsidRPr="00A0485A">
        <w:rPr>
          <w:rFonts w:ascii="Times New Roman" w:hAnsi="Times New Roman" w:cs="Times New Roman"/>
          <w:color w:val="auto"/>
          <w:sz w:val="24"/>
          <w:szCs w:val="24"/>
          <w:vertAlign w:val="subscript"/>
        </w:rPr>
        <w:t>2</w:t>
      </w:r>
      <w:r w:rsidRPr="00A0485A">
        <w:rPr>
          <w:rFonts w:ascii="Times New Roman" w:hAnsi="Times New Roman" w:cs="Times New Roman"/>
          <w:color w:val="auto"/>
          <w:sz w:val="24"/>
          <w:szCs w:val="24"/>
        </w:rPr>
        <w:t>ratio lower than 0.4 (for the induced genes) and greater then -0.2 (for the repressed genes). (</w:t>
      </w:r>
      <w:r w:rsidRPr="00A0485A">
        <w:rPr>
          <w:rFonts w:ascii="Times New Roman" w:hAnsi="Times New Roman" w:cs="Times New Roman"/>
          <w:i/>
          <w:color w:val="auto"/>
          <w:sz w:val="24"/>
          <w:szCs w:val="24"/>
        </w:rPr>
        <w:t>B</w:t>
      </w:r>
      <w:r w:rsidRPr="00A0485A">
        <w:rPr>
          <w:rFonts w:ascii="Times New Roman" w:hAnsi="Times New Roman" w:cs="Times New Roman"/>
          <w:color w:val="auto"/>
          <w:sz w:val="24"/>
          <w:szCs w:val="24"/>
        </w:rPr>
        <w:t xml:space="preserve">) The dynamics of RNAPII in cluster 3 were re-assed after computationally imposing a constant elongation rate, set at the level of the untreated condition. The consequent fit of the model (solid line) to the data (dots) is displayed, including the </w:t>
      </w:r>
      <w:r w:rsidRPr="00A0485A">
        <w:rPr>
          <w:rFonts w:ascii="Times New Roman" w:hAnsi="Times New Roman" w:cs="Times New Roman"/>
          <w:bCs/>
          <w:color w:val="auto"/>
          <w:sz w:val="24"/>
          <w:szCs w:val="24"/>
        </w:rPr>
        <w:t>average RNAPII ChIP-</w:t>
      </w:r>
      <w:proofErr w:type="spellStart"/>
      <w:r w:rsidRPr="00A0485A">
        <w:rPr>
          <w:rFonts w:ascii="Times New Roman" w:hAnsi="Times New Roman" w:cs="Times New Roman"/>
          <w:bCs/>
          <w:color w:val="auto"/>
          <w:sz w:val="24"/>
          <w:szCs w:val="24"/>
        </w:rPr>
        <w:t>seq</w:t>
      </w:r>
      <w:proofErr w:type="spellEnd"/>
      <w:r w:rsidRPr="00A0485A">
        <w:rPr>
          <w:rFonts w:ascii="Times New Roman" w:hAnsi="Times New Roman" w:cs="Times New Roman"/>
          <w:bCs/>
          <w:color w:val="auto"/>
          <w:sz w:val="24"/>
          <w:szCs w:val="24"/>
        </w:rPr>
        <w:t xml:space="preserve"> intensity in promoter, gene-body and TES, and average synthesis rate.</w:t>
      </w:r>
      <w:r w:rsidRPr="00A0485A">
        <w:rPr>
          <w:rFonts w:ascii="Times New Roman" w:hAnsi="Times New Roman" w:cs="Times New Roman"/>
          <w:color w:val="auto"/>
          <w:sz w:val="24"/>
          <w:szCs w:val="24"/>
        </w:rPr>
        <w:t xml:space="preserve"> Dashed lines indicate the fit of the model without constrained in the elongation rate. </w:t>
      </w:r>
      <w:r w:rsidRPr="00A0485A">
        <w:rPr>
          <w:rFonts w:ascii="Times New Roman" w:hAnsi="Times New Roman" w:cs="Times New Roman"/>
          <w:bCs/>
          <w:color w:val="auto"/>
          <w:sz w:val="24"/>
          <w:szCs w:val="24"/>
        </w:rPr>
        <w:t>(</w:t>
      </w:r>
      <w:r w:rsidRPr="00A0485A">
        <w:rPr>
          <w:rFonts w:ascii="Times New Roman" w:hAnsi="Times New Roman" w:cs="Times New Roman"/>
          <w:bCs/>
          <w:i/>
          <w:color w:val="auto"/>
          <w:sz w:val="24"/>
          <w:szCs w:val="24"/>
        </w:rPr>
        <w:t>C</w:t>
      </w:r>
      <w:r w:rsidRPr="00A0485A">
        <w:rPr>
          <w:rFonts w:ascii="Times New Roman" w:hAnsi="Times New Roman" w:cs="Times New Roman"/>
          <w:bCs/>
          <w:color w:val="auto"/>
          <w:sz w:val="24"/>
          <w:szCs w:val="24"/>
        </w:rPr>
        <w:t>) Scatter plot of the time required reaching half of the maximum response for synthesis and processing rates.</w:t>
      </w:r>
      <w:r w:rsidRPr="00A0485A">
        <w:rPr>
          <w:rFonts w:ascii="Times New Roman" w:hAnsi="Times New Roman" w:cs="Times New Roman"/>
          <w:color w:val="auto"/>
          <w:sz w:val="24"/>
          <w:szCs w:val="24"/>
        </w:rPr>
        <w:t xml:space="preserve"> (</w:t>
      </w:r>
      <w:r w:rsidRPr="00A0485A">
        <w:rPr>
          <w:rFonts w:ascii="Times New Roman" w:hAnsi="Times New Roman" w:cs="Times New Roman"/>
          <w:i/>
          <w:color w:val="auto"/>
          <w:sz w:val="24"/>
          <w:szCs w:val="24"/>
        </w:rPr>
        <w:t>D</w:t>
      </w:r>
      <w:r w:rsidRPr="00A0485A">
        <w:rPr>
          <w:rFonts w:ascii="Times New Roman" w:hAnsi="Times New Roman" w:cs="Times New Roman"/>
          <w:color w:val="auto"/>
          <w:sz w:val="24"/>
          <w:szCs w:val="24"/>
        </w:rPr>
        <w:t>)</w:t>
      </w:r>
      <w:r w:rsidRPr="00A0485A">
        <w:rPr>
          <w:rFonts w:ascii="Times New Roman" w:hAnsi="Times New Roman" w:cs="Times New Roman"/>
          <w:bCs/>
          <w:color w:val="auto"/>
          <w:sz w:val="24"/>
          <w:szCs w:val="24"/>
        </w:rPr>
        <w:t xml:space="preserve"> Scatter plot of the half-response time for the pre-mRNA (x-axis) vs. the half-response time updated after imposing constant processing rates (y-axis).</w:t>
      </w:r>
      <w:r w:rsidRPr="00A0485A">
        <w:rPr>
          <w:rFonts w:ascii="Times New Roman" w:hAnsi="Times New Roman" w:cs="Times New Roman"/>
          <w:color w:val="auto"/>
          <w:sz w:val="24"/>
          <w:szCs w:val="24"/>
        </w:rPr>
        <w:t xml:space="preserve"> (</w:t>
      </w:r>
      <w:r w:rsidRPr="00A0485A">
        <w:rPr>
          <w:rFonts w:ascii="Times New Roman" w:hAnsi="Times New Roman" w:cs="Times New Roman"/>
          <w:i/>
          <w:color w:val="auto"/>
          <w:sz w:val="24"/>
          <w:szCs w:val="24"/>
        </w:rPr>
        <w:t>E</w:t>
      </w:r>
      <w:r w:rsidRPr="00A0485A">
        <w:rPr>
          <w:rFonts w:ascii="Times New Roman" w:hAnsi="Times New Roman" w:cs="Times New Roman"/>
          <w:color w:val="auto"/>
          <w:sz w:val="24"/>
          <w:szCs w:val="24"/>
        </w:rPr>
        <w:t xml:space="preserve">) Abundance of total and pre-mRNA, and the corresponding kinetic rates for </w:t>
      </w:r>
      <w:r w:rsidRPr="00A0485A">
        <w:rPr>
          <w:rFonts w:ascii="Times New Roman" w:hAnsi="Times New Roman" w:cs="Times New Roman"/>
          <w:i/>
          <w:color w:val="auto"/>
          <w:sz w:val="24"/>
          <w:szCs w:val="24"/>
        </w:rPr>
        <w:t>Slc16a1</w:t>
      </w:r>
      <w:r w:rsidRPr="00A0485A">
        <w:rPr>
          <w:rFonts w:ascii="Times New Roman" w:hAnsi="Times New Roman" w:cs="Times New Roman"/>
          <w:color w:val="auto"/>
          <w:sz w:val="24"/>
          <w:szCs w:val="24"/>
        </w:rPr>
        <w:t xml:space="preserve"> (upper row)</w:t>
      </w:r>
      <w:proofErr w:type="gramStart"/>
      <w:r w:rsidRPr="00A0485A">
        <w:rPr>
          <w:rFonts w:ascii="Times New Roman" w:hAnsi="Times New Roman" w:cs="Times New Roman"/>
          <w:color w:val="auto"/>
          <w:sz w:val="24"/>
          <w:szCs w:val="24"/>
        </w:rPr>
        <w:t>;</w:t>
      </w:r>
      <w:proofErr w:type="gramEnd"/>
      <w:r w:rsidRPr="00A0485A">
        <w:rPr>
          <w:rFonts w:ascii="Times New Roman" w:hAnsi="Times New Roman" w:cs="Times New Roman"/>
          <w:color w:val="auto"/>
          <w:sz w:val="24"/>
          <w:szCs w:val="24"/>
        </w:rPr>
        <w:t xml:space="preserve"> the ticker slid line indicate the fit of the models, and in the bottom row the models are updated after imposing a constant processing rate.</w:t>
      </w:r>
      <w:r w:rsidRPr="00A0485A">
        <w:rPr>
          <w:rFonts w:ascii="Times New Roman" w:hAnsi="Times New Roman" w:cs="Times New Roman"/>
          <w:b/>
          <w:bCs/>
          <w:color w:val="auto"/>
          <w:sz w:val="24"/>
          <w:szCs w:val="24"/>
        </w:rPr>
        <w:t xml:space="preserve"> </w:t>
      </w:r>
      <w:r w:rsidRPr="00A0485A">
        <w:rPr>
          <w:rFonts w:ascii="Times New Roman" w:hAnsi="Times New Roman" w:cs="Times New Roman"/>
          <w:color w:val="auto"/>
          <w:sz w:val="24"/>
          <w:szCs w:val="24"/>
        </w:rPr>
        <w:t>(</w:t>
      </w:r>
      <w:r w:rsidRPr="00A0485A">
        <w:rPr>
          <w:rFonts w:ascii="Times New Roman" w:hAnsi="Times New Roman" w:cs="Times New Roman"/>
          <w:i/>
          <w:color w:val="auto"/>
          <w:sz w:val="24"/>
          <w:szCs w:val="24"/>
        </w:rPr>
        <w:t>F</w:t>
      </w:r>
      <w:r w:rsidRPr="00A0485A">
        <w:rPr>
          <w:rFonts w:ascii="Times New Roman" w:hAnsi="Times New Roman" w:cs="Times New Roman"/>
          <w:color w:val="auto"/>
          <w:sz w:val="24"/>
          <w:szCs w:val="24"/>
        </w:rPr>
        <w:t xml:space="preserve">) An example of reduced exon inclusion for an induced gene. </w:t>
      </w:r>
      <w:r w:rsidRPr="00A0485A">
        <w:rPr>
          <w:rFonts w:ascii="Times New Roman" w:hAnsi="Times New Roman" w:cs="Times New Roman"/>
          <w:bCs/>
          <w:color w:val="auto"/>
          <w:sz w:val="24"/>
          <w:szCs w:val="24"/>
        </w:rPr>
        <w:t>(</w:t>
      </w:r>
      <w:r w:rsidRPr="00A0485A">
        <w:rPr>
          <w:rFonts w:ascii="Times New Roman" w:hAnsi="Times New Roman" w:cs="Times New Roman"/>
          <w:bCs/>
          <w:i/>
          <w:color w:val="auto"/>
          <w:sz w:val="24"/>
          <w:szCs w:val="24"/>
        </w:rPr>
        <w:t>G</w:t>
      </w:r>
      <w:r w:rsidRPr="00A0485A">
        <w:rPr>
          <w:rFonts w:ascii="Times New Roman" w:hAnsi="Times New Roman" w:cs="Times New Roman"/>
          <w:bCs/>
          <w:color w:val="auto"/>
          <w:sz w:val="24"/>
          <w:szCs w:val="24"/>
        </w:rPr>
        <w:t>)</w:t>
      </w:r>
      <w:r w:rsidRPr="00A0485A">
        <w:rPr>
          <w:rFonts w:ascii="Times New Roman" w:hAnsi="Times New Roman" w:cs="Times New Roman"/>
          <w:color w:val="auto"/>
          <w:sz w:val="24"/>
          <w:szCs w:val="24"/>
        </w:rPr>
        <w:t xml:space="preserve"> Heatmap of the events of altered exo</w:t>
      </w:r>
      <w:r>
        <w:rPr>
          <w:rFonts w:ascii="Times New Roman" w:hAnsi="Times New Roman" w:cs="Times New Roman"/>
          <w:color w:val="auto"/>
          <w:sz w:val="24"/>
          <w:szCs w:val="24"/>
        </w:rPr>
        <w:t>n inclusion (rows) following MYC-</w:t>
      </w:r>
      <w:r w:rsidRPr="00A0485A">
        <w:rPr>
          <w:rFonts w:ascii="Times New Roman" w:hAnsi="Times New Roman" w:cs="Times New Roman"/>
          <w:color w:val="auto"/>
          <w:sz w:val="24"/>
          <w:szCs w:val="24"/>
        </w:rPr>
        <w:t xml:space="preserve">ER activation (columns) for induced (364 genes, left) and repressed genes (452, right). Events of increased and reduced exon inclusion are displayed on a red and blue color scale, respectively. For each event in each time point, the darker is the color the higher the significance of the alteration. The </w:t>
      </w:r>
      <w:proofErr w:type="spellStart"/>
      <w:r w:rsidRPr="00A0485A">
        <w:rPr>
          <w:rFonts w:ascii="Times New Roman" w:hAnsi="Times New Roman" w:cs="Times New Roman"/>
          <w:color w:val="auto"/>
          <w:sz w:val="24"/>
          <w:szCs w:val="24"/>
        </w:rPr>
        <w:t>colorbar</w:t>
      </w:r>
      <w:proofErr w:type="spellEnd"/>
      <w:r w:rsidRPr="00A0485A">
        <w:rPr>
          <w:rFonts w:ascii="Times New Roman" w:hAnsi="Times New Roman" w:cs="Times New Roman"/>
          <w:color w:val="auto"/>
          <w:sz w:val="24"/>
          <w:szCs w:val="24"/>
        </w:rPr>
        <w:t xml:space="preserve"> on the side of each heatmap display the position of the alteration in the CDS. (</w:t>
      </w:r>
      <w:r w:rsidRPr="00A0485A">
        <w:rPr>
          <w:rFonts w:ascii="Times New Roman" w:hAnsi="Times New Roman" w:cs="Times New Roman"/>
          <w:i/>
          <w:color w:val="auto"/>
          <w:sz w:val="24"/>
          <w:szCs w:val="24"/>
        </w:rPr>
        <w:t>H</w:t>
      </w:r>
      <w:r w:rsidRPr="00A0485A">
        <w:rPr>
          <w:rFonts w:ascii="Times New Roman" w:hAnsi="Times New Roman" w:cs="Times New Roman"/>
          <w:color w:val="auto"/>
          <w:sz w:val="24"/>
          <w:szCs w:val="24"/>
        </w:rPr>
        <w:t xml:space="preserve">) An example of increased intron retention for an induced gene. </w:t>
      </w:r>
      <w:r w:rsidRPr="00A0485A">
        <w:rPr>
          <w:rFonts w:ascii="Times New Roman" w:hAnsi="Times New Roman" w:cs="Times New Roman"/>
          <w:bCs/>
          <w:color w:val="auto"/>
          <w:sz w:val="24"/>
          <w:szCs w:val="24"/>
        </w:rPr>
        <w:t>(</w:t>
      </w:r>
      <w:r w:rsidRPr="00A0485A">
        <w:rPr>
          <w:rFonts w:ascii="Times New Roman" w:hAnsi="Times New Roman" w:cs="Times New Roman"/>
          <w:bCs/>
          <w:i/>
          <w:color w:val="auto"/>
          <w:sz w:val="24"/>
          <w:szCs w:val="24"/>
        </w:rPr>
        <w:t>I</w:t>
      </w:r>
      <w:r w:rsidRPr="00A0485A">
        <w:rPr>
          <w:rFonts w:ascii="Times New Roman" w:hAnsi="Times New Roman" w:cs="Times New Roman"/>
          <w:bCs/>
          <w:color w:val="auto"/>
          <w:sz w:val="24"/>
          <w:szCs w:val="24"/>
        </w:rPr>
        <w:t>)</w:t>
      </w:r>
      <w:r w:rsidRPr="00A0485A">
        <w:rPr>
          <w:rFonts w:ascii="Times New Roman" w:hAnsi="Times New Roman" w:cs="Times New Roman"/>
          <w:color w:val="auto"/>
          <w:sz w:val="24"/>
          <w:szCs w:val="24"/>
        </w:rPr>
        <w:t xml:space="preserve"> Heatmap of the events of altered intron retention (rows) following M</w:t>
      </w:r>
      <w:r>
        <w:rPr>
          <w:rFonts w:ascii="Times New Roman" w:hAnsi="Times New Roman" w:cs="Times New Roman"/>
          <w:color w:val="auto"/>
          <w:sz w:val="24"/>
          <w:szCs w:val="24"/>
        </w:rPr>
        <w:t>YC-</w:t>
      </w:r>
      <w:r w:rsidRPr="00A0485A">
        <w:rPr>
          <w:rFonts w:ascii="Times New Roman" w:hAnsi="Times New Roman" w:cs="Times New Roman"/>
          <w:color w:val="auto"/>
          <w:sz w:val="24"/>
          <w:szCs w:val="24"/>
        </w:rPr>
        <w:t xml:space="preserve">ER activation (columns) for induced (385 genes, left) and repressed genes (522, right). Events of increased and reduced intron retention are displayed on a red and blue color scale, respectively. For each event in each time point, the darker is the color the higher the significance of the alteration. The </w:t>
      </w:r>
      <w:proofErr w:type="spellStart"/>
      <w:r w:rsidRPr="00A0485A">
        <w:rPr>
          <w:rFonts w:ascii="Times New Roman" w:hAnsi="Times New Roman" w:cs="Times New Roman"/>
          <w:color w:val="auto"/>
          <w:sz w:val="24"/>
          <w:szCs w:val="24"/>
        </w:rPr>
        <w:t>colorbar</w:t>
      </w:r>
      <w:proofErr w:type="spellEnd"/>
      <w:r w:rsidRPr="00A0485A">
        <w:rPr>
          <w:rFonts w:ascii="Times New Roman" w:hAnsi="Times New Roman" w:cs="Times New Roman"/>
          <w:color w:val="auto"/>
          <w:sz w:val="24"/>
          <w:szCs w:val="24"/>
        </w:rPr>
        <w:t xml:space="preserve"> on the side of each heatmap display the position of the alteration in the CDS.</w:t>
      </w:r>
    </w:p>
    <w:p w14:paraId="2E8A7656" w14:textId="77777777" w:rsidR="00F924C5" w:rsidRDefault="00F924C5"/>
    <w:sectPr w:rsidR="00F924C5" w:rsidSect="004F2802">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Symbol">
    <w:panose1 w:val="00000000000000000000"/>
    <w:charset w:val="02"/>
    <w:family w:val="auto"/>
    <w:pitch w:val="variable"/>
    <w:sig w:usb0="00000000" w:usb1="10000000" w:usb2="00000000" w:usb3="00000000" w:csb0="80000000"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52FF"/>
    <w:rsid w:val="004F2802"/>
    <w:rsid w:val="009A4DDE"/>
    <w:rsid w:val="009D52FF"/>
    <w:rsid w:val="00F924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1328A6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9D52FF"/>
    <w:pPr>
      <w:spacing w:line="276" w:lineRule="auto"/>
    </w:pPr>
    <w:rPr>
      <w:rFonts w:ascii="Arial" w:eastAsia="Arial" w:hAnsi="Arial" w:cs="Arial"/>
      <w:color w:val="000000"/>
      <w:sz w:val="22"/>
      <w:szCs w:val="22"/>
    </w:rPr>
  </w:style>
  <w:style w:type="paragraph" w:styleId="BalloonText">
    <w:name w:val="Balloon Text"/>
    <w:basedOn w:val="Normal"/>
    <w:link w:val="BalloonTextChar"/>
    <w:uiPriority w:val="99"/>
    <w:semiHidden/>
    <w:unhideWhenUsed/>
    <w:rsid w:val="009D52F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D52FF"/>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9D52FF"/>
    <w:pPr>
      <w:spacing w:line="276" w:lineRule="auto"/>
    </w:pPr>
    <w:rPr>
      <w:rFonts w:ascii="Arial" w:eastAsia="Arial" w:hAnsi="Arial" w:cs="Arial"/>
      <w:color w:val="000000"/>
      <w:sz w:val="22"/>
      <w:szCs w:val="22"/>
    </w:rPr>
  </w:style>
  <w:style w:type="paragraph" w:styleId="BalloonText">
    <w:name w:val="Balloon Text"/>
    <w:basedOn w:val="Normal"/>
    <w:link w:val="BalloonTextChar"/>
    <w:uiPriority w:val="99"/>
    <w:semiHidden/>
    <w:unhideWhenUsed/>
    <w:rsid w:val="009D52F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D52F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image" Target="media/image2.emf"/><Relationship Id="rId7" Type="http://schemas.openxmlformats.org/officeDocument/2006/relationships/image" Target="media/image3.emf"/><Relationship Id="rId8" Type="http://schemas.openxmlformats.org/officeDocument/2006/relationships/image" Target="media/image4.emf"/><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8</Pages>
  <Words>1425</Words>
  <Characters>8127</Characters>
  <Application>Microsoft Macintosh Word</Application>
  <DocSecurity>0</DocSecurity>
  <Lines>67</Lines>
  <Paragraphs>19</Paragraphs>
  <ScaleCrop>false</ScaleCrop>
  <Company/>
  <LinksUpToDate>false</LinksUpToDate>
  <CharactersWithSpaces>9533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Mattia Pelizzola</dc:creator>
  <cp:keywords/>
  <dc:description/>
  <cp:lastModifiedBy>Mattia Pelizzola</cp:lastModifiedBy>
  <cp:revision>2</cp:revision>
  <dcterms:created xsi:type="dcterms:W3CDTF">2017-08-22T10:33:00Z</dcterms:created>
  <dcterms:modified xsi:type="dcterms:W3CDTF">2017-08-22T10:46:00Z</dcterms:modified>
</cp:coreProperties>
</file>