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5B42B" w14:textId="77777777" w:rsidR="000C1C3A" w:rsidRDefault="000C1C3A" w:rsidP="000C1C3A">
      <w:pPr>
        <w:spacing w:line="360" w:lineRule="auto"/>
        <w:jc w:val="center"/>
        <w:rPr>
          <w:rFonts w:asciiTheme="majorHAnsi" w:hAnsiTheme="majorHAnsi"/>
          <w:b/>
          <w:sz w:val="22"/>
          <w:szCs w:val="22"/>
        </w:rPr>
      </w:pPr>
      <w:r>
        <w:rPr>
          <w:rFonts w:asciiTheme="majorHAnsi" w:hAnsiTheme="majorHAnsi"/>
          <w:b/>
          <w:sz w:val="22"/>
          <w:szCs w:val="22"/>
        </w:rPr>
        <w:t>Supplemental Methods</w:t>
      </w:r>
    </w:p>
    <w:p w14:paraId="2CBDB694" w14:textId="77777777" w:rsidR="000C1C3A" w:rsidRDefault="000C1C3A" w:rsidP="000C1C3A">
      <w:pPr>
        <w:spacing w:line="360" w:lineRule="auto"/>
        <w:jc w:val="center"/>
        <w:rPr>
          <w:rFonts w:asciiTheme="majorHAnsi" w:hAnsiTheme="majorHAnsi"/>
          <w:b/>
          <w:sz w:val="22"/>
          <w:szCs w:val="22"/>
        </w:rPr>
      </w:pPr>
    </w:p>
    <w:p w14:paraId="05122742" w14:textId="77777777" w:rsidR="000C1C3A" w:rsidRPr="00BD366E" w:rsidRDefault="000C1C3A" w:rsidP="000C1C3A">
      <w:pPr>
        <w:spacing w:line="360" w:lineRule="auto"/>
        <w:jc w:val="center"/>
        <w:rPr>
          <w:rFonts w:asciiTheme="majorHAnsi" w:hAnsiTheme="majorHAnsi"/>
          <w:b/>
          <w:sz w:val="22"/>
          <w:szCs w:val="22"/>
        </w:rPr>
      </w:pPr>
      <w:r w:rsidRPr="00BD366E">
        <w:rPr>
          <w:rFonts w:asciiTheme="majorHAnsi" w:hAnsiTheme="majorHAnsi"/>
          <w:b/>
          <w:sz w:val="22"/>
          <w:szCs w:val="22"/>
        </w:rPr>
        <w:t xml:space="preserve">The evolution of duplicate gene expression in mammalian organs </w:t>
      </w:r>
    </w:p>
    <w:p w14:paraId="2478BA23" w14:textId="77777777" w:rsidR="000C1C3A" w:rsidRPr="00BD366E" w:rsidRDefault="000C1C3A" w:rsidP="000C1C3A">
      <w:pPr>
        <w:spacing w:line="360" w:lineRule="auto"/>
        <w:rPr>
          <w:rFonts w:asciiTheme="majorHAnsi" w:hAnsiTheme="majorHAnsi"/>
          <w:sz w:val="22"/>
          <w:szCs w:val="22"/>
        </w:rPr>
      </w:pPr>
    </w:p>
    <w:p w14:paraId="46899C2B" w14:textId="77777777" w:rsidR="000C1C3A" w:rsidRPr="00BD366E" w:rsidRDefault="000C1C3A" w:rsidP="000C1C3A">
      <w:pPr>
        <w:spacing w:line="360" w:lineRule="auto"/>
        <w:jc w:val="center"/>
        <w:rPr>
          <w:rFonts w:asciiTheme="majorHAnsi" w:hAnsiTheme="majorHAnsi"/>
          <w:sz w:val="22"/>
          <w:szCs w:val="22"/>
        </w:rPr>
      </w:pPr>
      <w:r w:rsidRPr="00BD366E">
        <w:rPr>
          <w:rFonts w:asciiTheme="majorHAnsi" w:hAnsiTheme="majorHAnsi"/>
          <w:sz w:val="22"/>
          <w:szCs w:val="22"/>
        </w:rPr>
        <w:t>Katerina Guschanski, Maria Warnefors, Henrik Kaessmann</w:t>
      </w:r>
    </w:p>
    <w:p w14:paraId="2838F417" w14:textId="77777777" w:rsidR="00424A74" w:rsidRDefault="00424A74" w:rsidP="00424A74">
      <w:pPr>
        <w:pStyle w:val="ListParagraph"/>
        <w:spacing w:line="360" w:lineRule="auto"/>
        <w:ind w:left="0"/>
        <w:jc w:val="both"/>
        <w:rPr>
          <w:rFonts w:asciiTheme="majorHAnsi" w:hAnsiTheme="majorHAnsi"/>
          <w:b/>
          <w:sz w:val="22"/>
          <w:szCs w:val="22"/>
        </w:rPr>
      </w:pPr>
    </w:p>
    <w:p w14:paraId="2BF8E15C" w14:textId="77777777" w:rsidR="00424A74" w:rsidRDefault="00424A74" w:rsidP="00424A74">
      <w:pPr>
        <w:pStyle w:val="ListParagraph"/>
        <w:spacing w:line="360" w:lineRule="auto"/>
        <w:ind w:left="0"/>
        <w:jc w:val="both"/>
        <w:rPr>
          <w:rFonts w:asciiTheme="majorHAnsi" w:hAnsiTheme="majorHAnsi"/>
          <w:b/>
          <w:sz w:val="22"/>
          <w:szCs w:val="22"/>
        </w:rPr>
      </w:pPr>
    </w:p>
    <w:p w14:paraId="05EA5972" w14:textId="77777777" w:rsidR="00424A74" w:rsidRDefault="00424A74" w:rsidP="00424A74">
      <w:pPr>
        <w:pStyle w:val="ListParagraph"/>
        <w:spacing w:line="360" w:lineRule="auto"/>
        <w:ind w:left="0"/>
        <w:jc w:val="both"/>
        <w:rPr>
          <w:rFonts w:asciiTheme="majorHAnsi" w:hAnsiTheme="majorHAnsi"/>
          <w:b/>
          <w:sz w:val="22"/>
          <w:szCs w:val="22"/>
        </w:rPr>
      </w:pPr>
      <w:r w:rsidRPr="00BD366E">
        <w:rPr>
          <w:rFonts w:asciiTheme="majorHAnsi" w:hAnsiTheme="majorHAnsi"/>
          <w:b/>
          <w:sz w:val="22"/>
          <w:szCs w:val="22"/>
        </w:rPr>
        <w:t xml:space="preserve">Refinement of the duplication dataset </w:t>
      </w:r>
    </w:p>
    <w:p w14:paraId="0A7627C9" w14:textId="77777777" w:rsidR="00424A74" w:rsidRPr="00BD366E" w:rsidRDefault="00424A74" w:rsidP="00424A74">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First, for each identified</w:t>
      </w:r>
      <w:bookmarkStart w:id="0" w:name="_GoBack"/>
      <w:bookmarkEnd w:id="0"/>
      <w:r w:rsidRPr="00BD366E">
        <w:rPr>
          <w:rFonts w:asciiTheme="majorHAnsi" w:hAnsiTheme="majorHAnsi"/>
          <w:sz w:val="22"/>
          <w:szCs w:val="22"/>
        </w:rPr>
        <w:t xml:space="preserve"> duplication event we calculated the proportion of species present in both daughter clades - the species overlap score. We required an overlap of at least 25% or at least seven species in common. This cut-off closely follows the rules of the Ensembl database, which classifies genes resulting from a duplication event with less than 25% species overlap as “possible orthologs” (Ensembl online documentation). We also determined a node imbalance score by calculating the ratio between the number of species in each daughter clade. If the smaller daughter clade had less than 7 species and/or the ratio was below 0.25, the duplication was considered unreliable. Less stringent cut-offs produced an increased number of false-positive duplications. If a duplication event was immediately followed by another round of duplications without being interrupted by a speciation event (serial duplications) and node imbalance was higher than the cut-off, a higher order node was considered and paralogs resulting from the “unreliable” duplication were discarded. These filtering steps were applied to the entire set of species (n=61) available in Ensembl v64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"10.1093/nar/gkr991", "ISSN" : "1362-4962", "PMID" : "22086963", "abstract" : "The Ensembl project (http://www.ensembl.org) provides genome resources for chordate genomes with a particular focus on human genome data as well as data for key model organisms such as mouse, rat and zebrafish. Five additional species were added in the last year including gibbon (Nomascus leucogenys) and Tasmanian devil (Sarcophilus harrisii) bringing the total number of supported species to 61 as of Ensembl release 64 (September 2011). Of these, 55 species appear on the main Ensembl website and six species are provided on the Ensembl preview site (Pre!Ensembl; http://pre.ensembl.org) with preliminary support. The past year has also seen improvements across the project.", "author" : [ { "dropping-particle" : "", "family" : "Flicek", "given" : "Paul", "non-dropping-particle" : "", "parse-names" : false, "suffix" : "" }, { "dropping-particle" : "", "family" : "Amode", "given" : "M Ridwan", "non-dropping-particle" : "", "parse-names" : false, "suffix" : "" }, { "dropping-particle" : "", "family" : "Barrell", "given" : "Daniel", "non-dropping-particle" : "", "parse-names" : false, "suffix" : "" }, { "dropping-particle" : "", "family" : "Beal", "given" : "Kathryn", "non-dropping-particle" : "", "parse-names" : false, "suffix" : "" }, { "dropping-particle" : "", "family" : "Brent", "given" : "Simon", "non-dropping-particle" : "", "parse-names" : false, "suffix" : "" }, { "dropping-particle" : "", "family" : "Carvalho-Silva", "given" : "Denise", "non-dropping-particle" : "", "parse-names" : false, "suffix" : "" }, { "dropping-particle" : "", "family" : "Clapham", "given" : "Peter", "non-dropping-particle" : "", "parse-names" : false, "suffix" : "" }, { "dropping-particle" : "", "family" : "Coates", "given" : "Guy", "non-dropping-particle" : "", "parse-names" : false, "suffix" : "" }, { "dropping-particle" : "", "family" : "Fairley", "given" : "Susan", "non-dropping-particle" : "", "parse-names" : false, "suffix" : "" }, { "dropping-particle" : "", "family" : "Fitzgerald", "given" : "Stephen", "non-dropping-particle" : "", "parse-names" : false, "suffix" : "" }, { "dropping-particle" : "", "family" : "Gil", "given" : "Laurent", "non-dropping-particle" : "", "parse-names" : false, "suffix" : "" }, { "dropping-particle" : "", "family" : "Gordon", "given" : "Leo", "non-dropping-particle" : "", "parse-names" : false, "suffix" : "" }, { "dropping-particle" : "", "family" : "Hendrix", "given" : "Maurice", "non-dropping-particle" : "", "parse-names" : false, "suffix" : "" }, { "dropping-particle" : "", "family" : "Hourlier", "given" : "Thibaut", "non-dropping-particle" : "", "parse-names" : false, "suffix" : "" }, { "dropping-particle" : "", "family" : "Johnson", "given" : "Nathan", "non-dropping-particle" : "", "parse-names" : false, "suffix" : "" }, { "dropping-particle" : "", "family" : "K\u00e4h\u00e4ri", "given" : "Andreas K", "non-dropping-particle" : "", "parse-names" : false, "suffix" : "" }, { "dropping-particle" : "", "family" : "Keefe", "given" : "Damian", "non-dropping-particle" : "", "parse-names" : false, "suffix" : "" }, { "dropping-particle" : "", "family" : "Keenan", "given" : "Stephen", "non-dropping-particle" : "", "parse-names" : false, "suffix" : "" }, { "dropping-particle" : "", "family" : "Kinsella", "given" : "Rhoda", "non-dropping-particle" : "", "parse-names" : false, "suffix" : "" }, { "dropping-particle" : "", "family" : "Komorowska", "given" : "Monika", "non-dropping-particle" : "", "parse-names" : false, "suffix" : "" }, { "dropping-particle" : "", "family" : "Koscielny", "given" : "Gautier", "non-dropping-particle" : "", "parse-names" : false, "suffix" : "" }, { "dropping-particle" : "", "family" : "Kulesha", "given" : "Eugene", "non-dropping-particle" : "", "parse-names" : false, "suffix" : "" }, { "dropping-particle" : "", "family" : "Larsson", "given" : "Pontus", "non-dropping-particle" : "", "parse-names" : false, "suffix" : "" }, { "dropping-particle" : "", "family" : "Longden", "given" : "Ian", "non-dropping-particle" : "", "parse-names" : false, "suffix" : "" }, { "dropping-particle" : "", "family" : "McLaren", "given" : "William", "non-dropping-particle" : "", "parse-names" : false, "suffix" : "" }, { "dropping-particle" : "", "family" : "Muffato", "given" : "Matthieu", "non-dropping-particle" : "", "parse-names" : false, "suffix" : "" }, { "dropping-particle" : "", "family" : "Overduin", "given" : "Bert", "non-dropping-particle" : "", "parse-names" : false, "suffix" : "" }, { "dropping-particle" : "", "family" : "Pignatelli", "given" : "Miguel", "non-dropping-particle" : "", "parse-names" : false, "suffix" : "" }, { "dropping-particle" : "", "family" : "Pritchard", "given" : "Bethan", "non-dropping-particle" : "", "parse-names" : false, "suffix" : "" }, { "dropping-particle" : "", "family" : "Riat", "given" : "Harpreet Singh", "non-dropping-particle" : "", "parse-names" : false, "suffix" : "" }, { "dropping-particle" : "", "family" : "Ritchie", "given" : "Graham R S", "non-dropping-particle" : "", "parse-names" : false, "suffix" : "" }, { "dropping-particle" : "", "family" : "Ruffier", "given" : "Magali", "non-dropping-particle" : "", "parse-names" : false, "suffix" : "" }, { "dropping-particle" : "", "family" : "Schuster", "given" : "Michael", "non-dropping-particle" : "", "parse-names" : false, "suffix" : "" }, { "dropping-particle" : "", "family" : "Sobral", "given" : "Daniel", "non-dropping-particle" : "", "parse-names" : false, "suffix" : "" }, { "dropping-particle" : "", "family" : "Tang", "given" : "Y Amy", "non-dropping-particle" : "", "parse-names" : false, "suffix" : "" }, { "dropping-particle" : "", "family" : "Taylor", "given" : "Kieron", "non-dropping-particle" : "", "parse-names" : false, "suffix" : "" }, { "dropping-particle" : "", "family" : "Trevanion", "given" : "Stephen", "non-dropping-particle" : "", "parse-names" : false, "suffix" : "" }, { "dropping-particle" : "", "family" : "Vandrovcova", "given" : "Jana", "non-dropping-particle" : "", "parse-names" : false, "suffix" : "" }, { "dropping-particle" : "", "family" : "White", "given" : "Simon", "non-dropping-particle" : "", "parse-names" : false, "suffix" : "" }, { "dropping-particle" : "", "family" : "Wilson", "given" : "Mark", "non-dropping-particle" : "", "parse-names" : false, "suffix" : "" }, { "dropping-particle" : "", "family" : "Wilder", "given" : "Steven P", "non-dropping-particle" : "", "parse-names" : false, "suffix" : "" }, { "dropping-particle" : "", "family" : "Aken", "given" : "Bronwen L", "non-dropping-particle" : "", "parse-names" : false, "suffix" : "" }, { "dropping-particle" : "", "family" : "Birney", "given" : "Ewan", "non-dropping-particle" : "", "parse-names" : false, "suffix" : "" }, { "dropping-particle" : "", "family" : "Cunningham", "given" : "Fiona", "non-dropping-particle" : "", "parse-names" : false, "suffix" : "" }, { "dropping-particle" : "", "family" : "Dunham", "given" : "Ian", "non-dropping-particle" : "", "parse-names" : false, "suffix" : "" }, { "dropping-particle" : "", "family" : "Durbin", "given" : "Richard", "non-dropping-particle" : "", "parse-names" : false, "suffix" : "" }, { "dropping-particle" : "", "family" : "Fern\u00e1ndez-Suarez", "given" : "Xos\u00e9 M", "non-dropping-particle" : "", "parse-names" : false, "suffix" : "" }, { "dropping-particle" : "", "family" : "Harrow", "given" : "Jennifer", "non-dropping-particle" : "", "parse-names" : false, "suffix" : "" }, { "dropping-particle" : "", "family" : "Herrero", "given" : "Javier", "non-dropping-particle" : "", "parse-names" : false, "suffix" : "" }, { "dropping-particle" : "", "family" : "Hubbard", "given" : "Tim J P", "non-dropping-particle" : "", "parse-names" : false, "suffix" : "" }, { "dropping-particle" : "", "family" : "Parker", "given" : "Anne", "non-dropping-particle" : "", "parse-names" : false, "suffix" : "" }, { "dropping-particle" : "", "family" : "Proctor", "given" : "Glenn", "non-dropping-particle" : "", "parse-names" : false, "suffix" : "" }, { "dropping-particle" : "", "family" : "Spudich", "given" : "Giulietta", "non-dropping-particle" : "", "parse-names" : false, "suffix" : "" }, { "dropping-particle" : "", "family" : "Vogel", "given" : "Jan", "non-dropping-particle" : "", "parse-names" : false, "suffix" : "" }, { "dropping-particle" : "", "family" : "Yates", "given" : "Andy", "non-dropping-particle" : "", "parse-names" : false, "suffix" : "" }, { "dropping-particle" : "", "family" : "Zadissa", "given" : "Amonida", "non-dropping-particle" : "", "parse-names" : false, "suffix" : "" }, { "dropping-particle" : "", "family" : "Searle", "given" : "Stephen M J", "non-dropping-particle" : "", "parse-names" : false, "suffix" : "" } ], "container-title" : "Nucleic acids research", "id" : "ITEM-1", "issue" : "Database issue", "issued" : { "date-parts" : [ [ "2012", "1", "1" ] ] }, "page" : "D84-90", "title" : "Ensembl 2012.", "type" : "article-journal", "volume" : "40" }, "uris" : [ "http://www.mendeley.com/documents/?uuid=0b7629ab-e84a-406c-8a11-4bb0fd7c3b58" ] } ], "mendeley" : { "formattedCitation" : "(Flicek et al. 2012)", "plainTextFormattedCitation" : "(Flicek et al. 2012)", "previouslyFormattedCitation" : "(Flicek et al. 2012)"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(Flicek et al. 2012)</w:t>
      </w:r>
      <w:r w:rsidRPr="00BD366E">
        <w:rPr>
          <w:rFonts w:asciiTheme="majorHAnsi" w:hAnsiTheme="majorHAnsi"/>
          <w:sz w:val="22"/>
          <w:szCs w:val="22"/>
        </w:rPr>
        <w:fldChar w:fldCharType="end"/>
      </w:r>
      <w:r w:rsidRPr="00BD366E">
        <w:rPr>
          <w:rFonts w:asciiTheme="majorHAnsi" w:hAnsiTheme="majorHAnsi"/>
          <w:sz w:val="22"/>
          <w:szCs w:val="22"/>
        </w:rPr>
        <w:t xml:space="preserve">. All subsequent filtering steps used only the study species. We removed all intronless genes (i.e., genes annotated with a single exon) from our dataset, given that these either stem from RNA-based duplication, a specific process treated in detail elsewhere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"10.1101/gr.198473.115", "ISSN" : "1549-5469", "PMID" : "26728716", "abstract" : "New genes contribute substantially to adaptive evolutionary innovation, but the functional evolution of new mammalian genes has been little explored at a broad scale. Previous work established mRNA-derived gene duplicates, known as retrocopies, as useful models for the study of new gene origination. Here we combine extensive mammalian transcriptomic and epigenomic data to unveil the processes underlying the evolution of stripped-down retrocopies into complex new genes. We show that although some robustly expressed retrocopies are transcribed from preexisting promoters, the majority evolved new promoters from scratch or recruited proto-promoters in their genomic vicinity. In particular, many retrocopy promoters emerged from ancestral enhancers or bivalent regulatory elements, or are located in CpG islands not associated to other genes. We detected 88-280 selectively preserved retrocopies in the different investigated mammals, illustrating that the aforementioned mechanisms facilitated the birth of many functional retrogenes during mammalian evolution. The regulatory evolution of originally monoexonic retrocopies was frequently accompanied by exon gain, which facilitated the cooption of distant promoters and in many cases allowed the expression of alternative isoforms. While young retrogenes are often initially expressed in the testis, increased regulatory and structural complexities allowed retrogenes to functionally diversify and evolve somatic organ functions, sometimes as complex as those of their parents. Thus, some retrogenes evolved the capacity to temporarily substitute their parents during the process of male meiotic X inactivation, while others rendered parental functions completely superfluous, allowing for parental gene loss. Overall, our reconstruction of the complete 'life history' of mammalian retrogenes highlights the usefulness of retroposition as a general model for understanding new gene birth and functional evolution.", "author" : [ { "dropping-particle" : "", "family" : "Carelli", "given" : "Francesco Nicola", "non-dropping-particle" : "", "parse-names" : false, "suffix" : "" }, { "dropping-particle" : "", "family" : "Hayakawa", "given" : "Takashi", "non-dropping-particle" : "", "parse-names" : false, "suffix" : "" }, { "dropping-particle" : "", "family" : "Go", "given" : "Yasuhiro", "non-dropping-particle" : "", "parse-names" : false, "suffix" : "" }, { "dropping-particle" : "", "family" : "Imai", "given" : "Hiroo", "non-dropping-particle" : "", "parse-names" : false, "suffix" : "" }, { "dropping-particle" : "", "family" : "Warnefors", "given" : "Maria", "non-dropping-particle" : "", "parse-names" : false, "suffix" : "" }, { "dropping-particle" : "", "family" : "Kaessmann", "given" : "Henrik", "non-dropping-particle" : "", "parse-names" : false, "suffix" : "" } ], "container-title" : "Genome research", "id" : "ITEM-1", "issued" : { "date-parts" : [ [ "2016", "1", "4" ] ] }, "page" : "gr.198473.115-", "title" : "The life history of retrocopies illuminates the evolution of new mammalian genes.", "type" : "article-journal" }, "uris" : [ "http://www.mendeley.com/documents/?uuid=9d6390a6-5884-418b-8f6a-6258223141ba" ] } ], "mendeley" : { "formattedCitation" : "(Carelli et al. 2016)", "plainTextFormattedCitation" : "(Carelli et al. 2016)", "previouslyFormattedCitation" : "(Carelli et al. 2016)"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(Carelli et al. 2016)</w:t>
      </w:r>
      <w:r w:rsidRPr="00BD366E">
        <w:rPr>
          <w:rFonts w:asciiTheme="majorHAnsi" w:hAnsiTheme="majorHAnsi"/>
          <w:sz w:val="22"/>
          <w:szCs w:val="22"/>
        </w:rPr>
        <w:fldChar w:fldCharType="end"/>
      </w:r>
      <w:r w:rsidRPr="00BD366E">
        <w:rPr>
          <w:rFonts w:asciiTheme="majorHAnsi" w:hAnsiTheme="majorHAnsi"/>
          <w:sz w:val="22"/>
          <w:szCs w:val="22"/>
        </w:rPr>
        <w:t xml:space="preserve">, or typically represent poorly annotated (potentially nonfunctional/pseudogenic) paralogs that are members of multi-exonic gene families. In particular, olfactory receptors and other GPCR family members are known to consist of a single coding exon, but in addition they also contain one or several untranslated region (UTR) exons/introns (i.e., functional/well-annotated members are not intronless)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"10.1016/j.bbrc.2012.06.092", "ISSN" : "0006291X", "abstract" : "Intronless genes (IGs) constitute approximately 3% of the human genome. Human IGs are essentially different in evolution and functionality from the IGs of unicellular eukaryotes, which represent the majority in their genomes. Functional analysis of IGs has revealed a massive over-representation of signal transduction genes and genes encoding regulatory proteins important for growth, proliferation, and development. IGs also often display tissue-specific expression, usually in the nervous system and testis. These characteristics translate into IG-associated diseases, mainly neuropathies, developmental disorders, and cancer. IGs represent recent additions to the genome, created mostly by retroposition of processed mRNAs with retained functionality. Processing, nuclear export, and translation of these mRNAs should be hampered dramatically by the lack of splice factors, which normally tightly cover mature transcripts and govern their fate. However, natural IGs manage to maintain satisfactory expression levels. Different mechanisms by which IGs solve the problem of mRNA processing and nuclear export are discussed here, along with their possible impact on reporter studies.", "author" : [ { "dropping-particle" : "", "family" : "Grzybowska", "given" : "Ewa A.", "non-dropping-particle" : "", "parse-names" : false, "suffix" : "" } ], "container-title" : "Biochemical and Biophysical Research Communications", "id" : "ITEM-1", "issue" : "1", "issued" : { "date-parts" : [ [ "2012" ] ] }, "page" : "1-6", "title" : "Human intronless genes: Functional groups, associated diseases, evolution, and mRNA processing in absence of splicing", "type" : "article-journal", "volume" : "424" }, "uris" : [ "http://www.mendeley.com/documents/?uuid=849988d3-1cf0-328f-bb6b-3e32e30b10d4" ] }, { "id" : "ITEM-2", "itemData" : { "DOI" : "10.1186/s12864-016-2960-3", "ISSN" : "1471-2164", "PMID" : "27515280", "abstract" : "BACKGROUND Olfaction is a versatile sensory mechanism for detecting thousands of volatile odorants. Although molecular basis of odorant signaling is relatively well understood considerable gaps remain in the complete charting of all relevant gene products. To address this challenge, we applied RNAseq to four well-characterized human olfactory epithelial samples and compared the results to novel and published mouse olfactory epithelium as well as 16 human control tissues. RESULTS We identified 194 non-olfactory receptor (OR) genes that are overexpressed in human olfactory tissues vs. CONTROLS The highest overexpression is seen for lipocalins and bactericidal/permeability-increasing (BPI)-fold proteins, which in other species include secreted odorant carriers. Mouse-human discordance in orthologous lipocalin expression suggests different mammalian evolutionary paths in this family. Of the overexpressed genes 36 have documented olfactory function while for 158 there is little or no previous such functional evidence. The latter group includes GPCRs, neuropeptides, solute carriers, transcription factors and biotransformation enzymes. Many of them may be indirectly implicated in sensory function, and ~70\u00a0% are over expressed also in mouse olfactory epithelium, corroborating their olfactory role. Nearly 90\u00a0% of the intact OR repertoire, and ~60\u00a0% of the OR pseudogenes are expressed in the olfactory epithelium, with the latter showing a 3-fold lower expression. ORs transcription levels show a 1000-fold inter-paralog variation, as well as significant inter-individual differences. We assembled 160 transcripts representing 100 intact OR genes. These include 1-4 short 5' non-coding exons with considerable alternative splicing and long last exons that contain the coding region and 3' untranslated region of highly variable length. Notably, we identified 10 ORs with an intact open reading frame but with seemingly non-functional transcripts, suggesting a yet unreported OR pseudogenization mechanism. Analysis of the OR upstream regions indicated an enrichment of the homeobox family transcription factor binding sites and a consensus localization of a specific transcription factor binding site subfamily (Olf/EBF). CONCLUSIONS We provide an overview of expression levels of ORs and auxiliary genes in human olfactory epithelium. This forms a transcriptomic view of the entire OR repertoire, and reveals a large number of over-expressed uncharacterized human non-receptor genes,\u2026", "author" : [ { "dropping-particle" : "", "family" : "Olender", "given" : "Tsviya", "non-dropping-particle" : "", "parse-names" : false, "suffix" : "" }, { "dropping-particle" : "", "family" : "Keydar", "given" : "Ifat", "non-dropping-particle" : "", "parse-names" : false, "suffix" : "" }, { "dropping-particle" : "", "family" : "Pinto", "given" : "Jayant M.", "non-dropping-particle" : "", "parse-names" : false, "suffix" : "" }, { "dropping-particle" : "", "family" : "Tatarskyy", "given" : "Pavlo", "non-dropping-particle" : "", "parse-names" : false, "suffix" : "" }, { "dropping-particle" : "", "family" : "Alkelai", "given" : "Anna", "non-dropping-particle" : "", "parse-names" : false, "suffix" : "" }, { "dropping-particle" : "", "family" : "Chien", "given" : "Ming-Shan", "non-dropping-particle" : "", "parse-names" : false, "suffix" : "" }, { "dropping-particle" : "", "family" : "Fishilevich", "given" : "Simon", "non-dropping-particle" : "", "parse-names" : false, "suffix" : "" }, { "dropping-particle" : "", "family" : "Restrepo", "given" : "Diego", "non-dropping-particle" : "", "parse-names" : false, "suffix" : "" }, { "dropping-particle" : "", "family" : "Matsunami", "given" : "Hiroaki", "non-dropping-particle" : "", "parse-names" : false, "suffix" : "" }, { "dropping-particle" : "", "family" : "Gilad", "given" : "Yoav", "non-dropping-particle" : "", "parse-names" : false, "suffix" : "" }, { "dropping-particle" : "", "family" : "Lancet", "given" : "Doron", "non-dropping-particle" : "", "parse-names" : false, "suffix" : "" } ], "container-title" : "BMC Genomics", "id" : "ITEM-2", "issue" : "1", "issued" : { "date-parts" : [ [ "2016", "12", "11" ] ] }, "page" : "619", "title" : "The human olfactory transcriptome", "type" : "article-journal", "volume" : "17" }, "uris" : [ "http://www.mendeley.com/documents/?uuid=bb24cba4-accf-336b-81bd-e9f0eedacc58" ] } ], "mendeley" : { "formattedCitation" : "(Grzybowska 2012; Olender et al. 2016)", "plainTextFormattedCitation" : "(Grzybowska 2012; Olender et al. 2016)", "previouslyFormattedCitation" : "(Grzybowska 2012; Olender et al. 2016)"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(Grzybowska 2012; Olender et al. 2016)</w:t>
      </w:r>
      <w:r w:rsidRPr="00BD366E">
        <w:rPr>
          <w:rFonts w:asciiTheme="majorHAnsi" w:hAnsiTheme="majorHAnsi"/>
          <w:sz w:val="22"/>
          <w:szCs w:val="22"/>
        </w:rPr>
        <w:fldChar w:fldCharType="end"/>
      </w:r>
      <w:r w:rsidRPr="00BD366E">
        <w:rPr>
          <w:rFonts w:asciiTheme="majorHAnsi" w:hAnsiTheme="majorHAnsi"/>
          <w:sz w:val="22"/>
          <w:szCs w:val="22"/>
        </w:rPr>
        <w:t xml:space="preserve">. However, if poorly annotated, they will appear as intronless genes. Indeed, an analysis of the single-exon set from which known retrocopies were removed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"10.1101/gr.198473.115", "ISSN" : "1549-5469", "PMID" : "26728716", "abstract" : "New genes contribute substantially to adaptive evolutionary innovation, but the functional evolution of new mammalian genes has been little explored at a broad scale. Previous work established mRNA-derived gene duplicates, known as retrocopies, as useful models for the study of new gene origination. Here we combine extensive mammalian transcriptomic and epigenomic data to unveil the processes underlying the evolution of stripped-down retrocopies into complex new genes. We show that although some robustly expressed retrocopies are transcribed from preexisting promoters, the majority evolved new promoters from scratch or recruited proto-promoters in their genomic vicinity. In particular, many retrocopy promoters emerged from ancestral enhancers or bivalent regulatory elements, or are located in CpG islands not associated to other genes. We detected 88-280 selectively preserved retrocopies in the different investigated mammals, illustrating that the aforementioned mechanisms facilitated the birth of many functional retrogenes during mammalian evolution. The regulatory evolution of originally monoexonic retrocopies was frequently accompanied by exon gain, which facilitated the cooption of distant promoters and in many cases allowed the expression of alternative isoforms. While young retrogenes are often initially expressed in the testis, increased regulatory and structural complexities allowed retrogenes to functionally diversify and evolve somatic organ functions, sometimes as complex as those of their parents. Thus, some retrogenes evolved the capacity to temporarily substitute their parents during the process of male meiotic X inactivation, while others rendered parental functions completely superfluous, allowing for parental gene loss. Overall, our reconstruction of the complete 'life history' of mammalian retrogenes highlights the usefulness of retroposition as a general model for understanding new gene birth and functional evolution.", "author" : [ { "dropping-particle" : "", "family" : "Carelli", "given" : "Francesco Nicola", "non-dropping-particle" : "", "parse-names" : false, "suffix" : "" }, { "dropping-particle" : "", "family" : "Hayakawa", "given" : "Takashi", "non-dropping-particle" : "", "parse-names" : false, "suffix" : "" }, { "dropping-particle" : "", "family" : "Go", "given" : "Yasuhiro", "non-dropping-particle" : "", "parse-names" : false, "suffix" : "" }, { "dropping-particle" : "", "family" : "Imai", "given" : "Hiroo", "non-dropping-particle" : "", "parse-names" : false, "suffix" : "" }, { "dropping-particle" : "", "family" : "Warnefors", "given" : "Maria", "non-dropping-particle" : "", "parse-names" : false, "suffix" : "" }, { "dropping-particle" : "", "family" : "Kaessmann", "given" : "Henrik", "non-dropping-particle" : "", "parse-names" : false, "suffix" : "" } ], "container-title" : "Genome research", "id" : "ITEM-1", "issued" : { "date-parts" : [ [ "2016", "1", "4" ] ] }, "page" : "gr.198473.115-", "title" : "The life history of retrocopies illuminates the evolution of new mammalian genes.", "type" : "article-journal" }, "uris" : [ "http://www.mendeley.com/documents/?uuid=9d6390a6-5884-418b-8f6a-6258223141ba" ] } ], "mendeley" : { "formattedCitation" : "(Carelli et al. 2016)", "plainTextFormattedCitation" : "(Carelli et al. 2016)", "previouslyFormattedCitation" : "(Carelli et al. 2016)"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(Carelli et al. 2016)</w:t>
      </w:r>
      <w:r w:rsidRPr="00BD366E">
        <w:rPr>
          <w:rFonts w:asciiTheme="majorHAnsi" w:hAnsiTheme="majorHAnsi"/>
          <w:sz w:val="22"/>
          <w:szCs w:val="22"/>
        </w:rPr>
        <w:fldChar w:fldCharType="end"/>
      </w:r>
      <w:r w:rsidRPr="00BD366E">
        <w:rPr>
          <w:rFonts w:asciiTheme="majorHAnsi" w:hAnsiTheme="majorHAnsi"/>
          <w:sz w:val="22"/>
          <w:szCs w:val="22"/>
        </w:rPr>
        <w:t xml:space="preserve"> was highly enriched in sensory, in particular olfactory functions (Supplemental Table S12). Including single-exon genes in our dataset resulted in extremely low expression levels among young paralogs (</w:t>
      </w:r>
      <w:r>
        <w:rPr>
          <w:rFonts w:asciiTheme="majorHAnsi" w:hAnsiTheme="majorHAnsi"/>
          <w:sz w:val="22"/>
          <w:szCs w:val="22"/>
        </w:rPr>
        <w:t>Supplemental Fig</w:t>
      </w:r>
      <w:r w:rsidRPr="00BD366E">
        <w:rPr>
          <w:rFonts w:asciiTheme="majorHAnsi" w:hAnsiTheme="majorHAnsi"/>
          <w:sz w:val="22"/>
          <w:szCs w:val="22"/>
        </w:rPr>
        <w:t xml:space="preserve"> S13), likely </w:t>
      </w:r>
      <w:r w:rsidRPr="00BD366E">
        <w:rPr>
          <w:rFonts w:asciiTheme="majorHAnsi" w:hAnsiTheme="majorHAnsi"/>
          <w:sz w:val="22"/>
          <w:szCs w:val="22"/>
        </w:rPr>
        <w:lastRenderedPageBreak/>
        <w:t>reflecting the poor annotation of such genes and their enrichment with non-functional paralogs. After implementation of these filtering steps, we retained 10286 duplication events in the dataset (</w:t>
      </w:r>
      <w:r>
        <w:rPr>
          <w:rFonts w:asciiTheme="majorHAnsi" w:hAnsiTheme="majorHAnsi"/>
          <w:sz w:val="22"/>
          <w:szCs w:val="22"/>
        </w:rPr>
        <w:t>Supplemental Fig</w:t>
      </w:r>
      <w:r w:rsidRPr="00BD366E">
        <w:rPr>
          <w:rFonts w:asciiTheme="majorHAnsi" w:hAnsiTheme="majorHAnsi"/>
          <w:sz w:val="22"/>
          <w:szCs w:val="22"/>
        </w:rPr>
        <w:t xml:space="preserve"> S1).</w:t>
      </w:r>
    </w:p>
    <w:p w14:paraId="71E0F46D" w14:textId="77777777" w:rsidR="00424A74" w:rsidRPr="00BD366E" w:rsidRDefault="00424A74" w:rsidP="00424A74">
      <w:pPr>
        <w:pStyle w:val="ListParagraph"/>
        <w:spacing w:line="360" w:lineRule="auto"/>
        <w:ind w:left="0"/>
        <w:jc w:val="both"/>
        <w:rPr>
          <w:rFonts w:asciiTheme="majorHAnsi" w:hAnsiTheme="majorHAnsi"/>
          <w:sz w:val="22"/>
          <w:szCs w:val="22"/>
        </w:rPr>
      </w:pPr>
    </w:p>
    <w:p w14:paraId="5E0DF275" w14:textId="77777777" w:rsidR="00424A74" w:rsidRPr="00BD366E" w:rsidRDefault="00424A74" w:rsidP="00424A74">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Second, to independently date duplication events we estimated the number of synonymous substitutions per synonymous site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 xml:space="preserve">) for each paralog pair between the daughter clades resulting from a given duplication event. In serial duplications,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 xml:space="preserve"> values were calculated across all daughter clades. This approach effectively requires the presence of at least one pair of paralogs, within or across species, that resulted from a given duplication event and have not undergone subsequent duplications. For each duplication event, we aligned the longest coding sequence of each paralog with PRANK v.100701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"10.1126/science.1158395", "ISSN" : "1095-9203", "PMID" : "18566285", "abstract" : "Genetic sequence alignment is the basis of many evolutionary and comparative studies, and errors in alignments lead to errors in the interpretation of evolutionary information in genomes. Traditional multiple sequence alignment methods disregard the phylogenetic implications of gap patterns that they create and infer systematically biased alignments with excess deletions and substitutions, too few insertions, and implausible insertion-deletion-event histories. We present a method that prevents these systematic errors by recognizing insertions and deletions as distinct evolutionary events. We show theoretically and practically that this improves the quality of sequence alignments and downstream analyses over a wide range of realistic alignment problems. These results suggest that insertions and sequence turnover are more common than is currently thought and challenge the conventional picture of sequence evolution and mechanisms of functional and structural changes.", "author" : [ { "dropping-particle" : "", "family" : "L\u00f6ytynoja", "given" : "Ari", "non-dropping-particle" : "", "parse-names" : false, "suffix" : "" }, { "dropping-particle" : "", "family" : "Goldman", "given" : "Nick", "non-dropping-particle" : "", "parse-names" : false, "suffix" : "" } ], "container-title" : "Science (New York, N.Y.)", "id" : "ITEM-1", "issue" : "5883", "issued" : { "date-parts" : [ [ "2008", "6", "20" ] ] }, "page" : "1632-5", "title" : "Phylogeny-aware gap placement prevents errors in sequence alignment and evolutionary analysis.", "type" : "article-journal", "volume" : "320" }, "uris" : [ "http://www.mendeley.com/documents/?uuid=ae3adcdc-0a3a-46f6-8911-5c84f9e8521c" ] } ], "mendeley" : { "formattedCitation" : "(L\u00f6ytynoja and Goldman 2008)", "plainTextFormattedCitation" : "(L\u00f6ytynoja and Goldman 2008)", "previouslyFormattedCitation" : "(L\u00f6ytynoja and Goldman 2008)"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(Löytynoja and Goldman 2008)</w:t>
      </w:r>
      <w:r w:rsidRPr="00BD366E">
        <w:rPr>
          <w:rFonts w:asciiTheme="majorHAnsi" w:hAnsiTheme="majorHAnsi"/>
          <w:sz w:val="22"/>
          <w:szCs w:val="22"/>
        </w:rPr>
        <w:fldChar w:fldCharType="end"/>
      </w:r>
      <w:r w:rsidRPr="00BD366E">
        <w:rPr>
          <w:rFonts w:asciiTheme="majorHAnsi" w:hAnsiTheme="majorHAnsi"/>
          <w:sz w:val="22"/>
          <w:szCs w:val="22"/>
        </w:rPr>
        <w:t xml:space="preserve"> and calculated pairwise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 xml:space="preserve"> values with </w:t>
      </w:r>
      <w:r w:rsidRPr="00BD366E">
        <w:rPr>
          <w:rFonts w:asciiTheme="majorHAnsi" w:hAnsiTheme="majorHAnsi"/>
          <w:i/>
          <w:sz w:val="22"/>
          <w:szCs w:val="22"/>
        </w:rPr>
        <w:t>codeml</w:t>
      </w:r>
      <w:r w:rsidRPr="00BD366E">
        <w:rPr>
          <w:rFonts w:asciiTheme="majorHAnsi" w:hAnsiTheme="majorHAnsi"/>
          <w:sz w:val="22"/>
          <w:szCs w:val="22"/>
        </w:rPr>
        <w:t xml:space="preserve">, which is part of the PAML package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"10.1093/molbev/msm088", "ISSN" : "0737-4038", "PMID" : "17483113", "abstract" : "PAML, currently in version 4, is a package of programs for phylogenetic analyses of DNA and protein sequences using maximum likelihood (ML). The programs may be used to compare and test phylogenetic trees, but their main strengths lie in the rich repertoire of evolutionary models implemented, which can be used to estimate parameters in models of sequence evolution and to test interesting biological hypotheses. Uses of the programs include estimation of synonymous and nonsynonymous rates (d(N) and d(S)) between two protein-coding DNA sequences, inference of positive Darwinian selection through phylogenetic comparison of protein-coding genes, reconstruction of ancestral genes and proteins for molecular restoration studies of extinct life forms, combined analysis of heterogeneous data sets from multiple gene loci, and estimation of species divergence times incorporating uncertainties in fossil calibrations. This note discusses some of the major applications of the package, which includes example data sets to demonstrate their use. The package is written in ANSI C, and runs under Windows, Mac OSX, and UNIX systems. It is available at -- (http://abacus.gene.ucl.ac.uk/software/paml.html).", "author" : [ { "dropping-particle" : "", "family" : "Yang", "given" : "Ziheng", "non-dropping-particle" : "", "parse-names" : false, "suffix" : "" } ], "container-title" : "Molecular biology and evolution", "id" : "ITEM-1", "issue" : "8", "issued" : { "date-parts" : [ [ "2007", "8" ] ] }, "page" : "1586-91", "title" : "PAML 4: phylogenetic analysis by maximum likelihood.", "type" : "article-journal", "volume" : "24" }, "uris" : [ "http://www.mendeley.com/documents/?uuid=c8f68caa-0298-44d6-94f4-fe8a9e1e7d60" ] } ], "mendeley" : { "formattedCitation" : "(Yang 2007)", "plainTextFormattedCitation" : "(Yang 2007)", "previouslyFormattedCitation" : "(Yang 2007)"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(Yang 2007)</w:t>
      </w:r>
      <w:r w:rsidRPr="00BD366E">
        <w:rPr>
          <w:rFonts w:asciiTheme="majorHAnsi" w:hAnsiTheme="majorHAnsi"/>
          <w:sz w:val="22"/>
          <w:szCs w:val="22"/>
        </w:rPr>
        <w:fldChar w:fldCharType="end"/>
      </w:r>
      <w:r w:rsidRPr="00BD366E">
        <w:rPr>
          <w:rFonts w:asciiTheme="majorHAnsi" w:hAnsiTheme="majorHAnsi"/>
          <w:sz w:val="22"/>
          <w:szCs w:val="22"/>
        </w:rPr>
        <w:t xml:space="preserve">. Pairwise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 xml:space="preserve"> values were also calculated for 3749 1:1 amniote orthologs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"10.1093/gbe/evt093", "ISSN" : "1759-6653", "PMID" : "23781097", "abstract" : "Divergence of protein sequences and gene expression patterns are two fundamental mechanisms that generate organismal diversity. Here, we have used genome and transcriptome data from eight mammals and one bird to study the positive correlation of these two processes throughout mammalian evolution. We demonstrate that the correlation is stable over time and most pronounced in neural tissues, which indicates that it is the result of strong negative selection. The correlation is not driven by genes with specific functions and may instead best be viewed as an evolutionary default state, which can nevertheless be evaded by certain gene types. In particular, genes with developmental and neural functions are skewed toward changes in gene expression, consistent with selection against pleiotropic effects associated with changes in protein sequences. Surprisingly, we find that the correlation between expression divergence and protein divergence is not explained by between-gene variation in expression level, tissue specificity, protein connectivity, or other investigated gene characteristics, suggesting that it arises independently of these gene traits. The selective constraints on protein sequences and gene expression patterns also fluctuate in a coordinate manner across phylogenetic branches: We find that gene-specific changes in the rate of protein evolution in a specific mammalian lineage tend to be accompanied by similar changes in the rate of expression evolution. Taken together, our findings highlight many new aspects of the correlation between protein divergence and expression divergence, and attest to its role as a fundamental property of mammalian genome evolution.", "author" : [ { "dropping-particle" : "", "family" : "Warnefors", "given" : "Maria", "non-dropping-particle" : "", "parse-names" : false, "suffix" : "" }, { "dropping-particle" : "", "family" : "Kaessmann", "given" : "Henrik", "non-dropping-particle" : "", "parse-names" : false, "suffix" : "" } ], "container-title" : "Genome biology and evolution", "id" : "ITEM-1", "issue" : "7", "issued" : { "date-parts" : [ [ "2013", "7", "18" ] ] }, "page" : "1324-35", "title" : "Evolution of the correlation between expression divergence and protein divergence in mammals.", "type" : "article-journal", "volume" : "5" }, "uris" : [ "http://www.mendeley.com/documents/?uuid=73fcbc44-8375-44c9-b2f7-e88849af3ef4" ] } ], "mendeley" : { "formattedCitation" : "(Warnefors and Kaessmann 2013)", "plainTextFormattedCitation" : "(Warnefors and Kaessmann 2013)", "previouslyFormattedCitation" : "(Warnefors and Kaessmann 2013)"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(Warnefors and Kaessmann 2013)</w:t>
      </w:r>
      <w:r w:rsidRPr="00BD366E">
        <w:rPr>
          <w:rFonts w:asciiTheme="majorHAnsi" w:hAnsiTheme="majorHAnsi"/>
          <w:sz w:val="22"/>
          <w:szCs w:val="22"/>
        </w:rPr>
        <w:fldChar w:fldCharType="end"/>
      </w:r>
      <w:r w:rsidRPr="00BD366E">
        <w:rPr>
          <w:rFonts w:asciiTheme="majorHAnsi" w:hAnsiTheme="majorHAnsi"/>
          <w:sz w:val="22"/>
          <w:szCs w:val="22"/>
        </w:rPr>
        <w:t xml:space="preserve">. This allowed us to define expected levels of sequence divergence for genes of a given evolutionary age. For paralogs of any given duplication age we set the cut-off to the 95% confidence interval of the corresponding orthologous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 xml:space="preserve"> values and allowed a margin of ¼ of this value, to account for potential greater divergence of paralogs compared to orthologs. By applying this approach we used the following reasoning: A species-specific duplication is unlikely to result in genes that show higher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 xml:space="preserve"> (allowing for margins) than those found for 1:1 orthologs between the focal species and its sister species. Duplication events with gene family tree-based duplication ages that strongly deviated from </w:t>
      </w:r>
      <w:r w:rsidRPr="00BD366E">
        <w:rPr>
          <w:rFonts w:asciiTheme="majorHAnsi" w:hAnsiTheme="majorHAnsi"/>
          <w:i/>
          <w:sz w:val="22"/>
          <w:szCs w:val="22"/>
        </w:rPr>
        <w:t>d</w:t>
      </w:r>
      <w:r w:rsidRPr="00BD366E">
        <w:rPr>
          <w:rFonts w:asciiTheme="majorHAnsi" w:hAnsiTheme="majorHAnsi"/>
          <w:sz w:val="22"/>
          <w:szCs w:val="22"/>
          <w:vertAlign w:val="subscript"/>
        </w:rPr>
        <w:t>S</w:t>
      </w:r>
      <w:r w:rsidRPr="00BD366E">
        <w:rPr>
          <w:rFonts w:asciiTheme="majorHAnsi" w:hAnsiTheme="majorHAnsi"/>
          <w:sz w:val="22"/>
          <w:szCs w:val="22"/>
        </w:rPr>
        <w:t>-based estimates were removed from subsequent analyses and after this filtering step we retained 8226 duplication events (</w:t>
      </w:r>
      <w:r>
        <w:rPr>
          <w:rFonts w:asciiTheme="majorHAnsi" w:hAnsiTheme="majorHAnsi"/>
          <w:sz w:val="22"/>
          <w:szCs w:val="22"/>
        </w:rPr>
        <w:t>Supplemental Fig</w:t>
      </w:r>
      <w:r w:rsidRPr="00BD366E">
        <w:rPr>
          <w:rFonts w:asciiTheme="majorHAnsi" w:hAnsiTheme="majorHAnsi"/>
          <w:sz w:val="22"/>
          <w:szCs w:val="22"/>
        </w:rPr>
        <w:t xml:space="preserve"> S1). </w:t>
      </w:r>
    </w:p>
    <w:p w14:paraId="581B4BE4" w14:textId="77777777" w:rsidR="00424A74" w:rsidRPr="00BD366E" w:rsidRDefault="00424A74" w:rsidP="00424A74">
      <w:pPr>
        <w:pStyle w:val="ListParagraph"/>
        <w:spacing w:line="360" w:lineRule="auto"/>
        <w:ind w:left="0"/>
        <w:jc w:val="both"/>
        <w:rPr>
          <w:rFonts w:asciiTheme="majorHAnsi" w:hAnsiTheme="majorHAnsi"/>
          <w:sz w:val="22"/>
          <w:szCs w:val="22"/>
        </w:rPr>
      </w:pPr>
    </w:p>
    <w:p w14:paraId="2A3B5E6B" w14:textId="77777777" w:rsidR="00424A74" w:rsidRPr="00BD366E" w:rsidRDefault="00424A74" w:rsidP="00424A74">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 xml:space="preserve">Third, a number of paralogs in Ensembl v64 gene family trees are the result of so-called split genes. These genes are usually found in low-quality, fragmented genome assemblies (e.g. platypus), have no or little overlap between gene fragments, and are located on different contigs. They only occur as species-specific duplications. To remove these genes from further analyses we evaluated the quality of local protein sequence alignments for species-specific paralogs using the Smith-Waterman algorithm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"ISSN" : "0022-2836", "PMID" : "7265238", "author" : [ { "dropping-particle" : "", "family" : "Smith", "given" : "T F", "non-dropping-particle" : "", "parse-names" : false, "suffix" : "" }, { "dropping-particle" : "", "family" : "Waterman", "given" : "M S", "non-dropping-particle" : "", "parse-names" : false, "suffix" : "" } ], "container-title" : "Journal of molecular biology", "id" : "ITEM-1", "issue" : "1", "issued" : { "date-parts" : [ [ "1981", "3", "25" ] ] }, "page" : "195-7", "title" : "Identification of common molecular subsequences.", "type" : "article-journal", "volume" : "147" }, "uris" : [ "http://www.mendeley.com/documents/?uuid=1c5ab4df-932f-4dc8-ad0b-ad051fa7da28" ] }, { "id" : "ITEM-2", "itemData" : { "ISSN" : "0888-7543", "PMID" : "1774068", "abstract" : "The sensitivity and selectivity of the FASTA and the Smith-Waterman protein sequence comparison algorithms were evaluated using the superfamily classification provided in the National Biomedical Research Foundation/Protein Identification Resource (PIR) protein sequence database. Sequences from each of the 34 superfamilies in the PIR database with 20 or more members were compared against the protein sequence database. The similarity scores of the related and unrelated sequences were determined using either the FASTA program or the Smith-Waterman local similarity algorithm. These two sets of similarity scores were used to evaluate the ability of the two comparison algorithms to identify distantly related protein sequences. The FASTA program using the ktup = 2 sensitivity setting performed as well as the Smith-Waterman algorithm for 19 of the 34 superfamilies. Increasing the sensitivity by setting ktup = 1 allowed FASTA to perform as well as Smith-Waterman on an additional 7 superfamilies. The rigorous Smith-Waterman method performed better than FASTA with ktup = 1 on 8 superfamilies, including the globins, immunoglobulin variable regions, calmodulins, and plastocyanins. Several strategies for improving the sensitivity of FASTA were examined. The greatest improvement in sensitivity was achieved by optimizing a band around the best initial region found for every library sequence. For every superfamily except the globins and immunoglobulin variable regions, this strategy was as sensitive as a full Smith-Waterman. For some sequences, additional sensitivity was achieved by including conserved but nonidentical residues in the lookup table used to identify the initial region.", "author" : [ { "dropping-particle" : "", "family" : "Pearson", "given" : "W R", "non-dropping-particle" : "", "parse-names" : false, "suffix" : "" } ], "container-title" : "Genomics", "id" : "ITEM-2", "issue" : "3", "issued" : { "date-parts" : [ [ "1991", "11" ] ] }, "page" : "635-50", "title" : "Searching protein sequence libraries: comparison of the sensitivity and selectivity of the Smith-Waterman and FASTA algorithms.", "type" : "article-journal", "volume" : "11" }, "uris" : [ "http://www.mendeley.com/documents/?uuid=972d36c1-5a08-42c2-a876-2879d6b4bb3e" ] } ], "mendeley" : { "formattedCitation" : "(Smith and Waterman 1981; Pearson 1991)", "plainTextFormattedCitation" : "(Smith and Waterman 1981; Pearson 1991)", "previouslyFormattedCitation" : "(Smith and Waterman 1981; Pearson 1991)"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(Smith and Waterman 1981; Pearson 1991)</w:t>
      </w:r>
      <w:r w:rsidRPr="00BD366E">
        <w:rPr>
          <w:rFonts w:asciiTheme="majorHAnsi" w:hAnsiTheme="majorHAnsi"/>
          <w:sz w:val="22"/>
          <w:szCs w:val="22"/>
        </w:rPr>
        <w:fldChar w:fldCharType="end"/>
      </w:r>
      <w:r w:rsidRPr="00BD366E">
        <w:rPr>
          <w:rFonts w:asciiTheme="majorHAnsi" w:hAnsiTheme="majorHAnsi"/>
          <w:sz w:val="22"/>
          <w:szCs w:val="22"/>
        </w:rPr>
        <w:t>. We empirically defined lineage-specific alignment score cut-offs based on eVal, which took into account evolutionary time (i.e. branch length), during which duplication that would be classified as species-specific could have happened. Different cut-offs were evaluated manually by verifying the true split-gene nature of the filtered genes. Final eVal values were as follows: eVal</w:t>
      </w:r>
      <w:r w:rsidRPr="00BD366E">
        <w:rPr>
          <w:rFonts w:asciiTheme="majorHAnsi" w:hAnsiTheme="majorHAnsi"/>
          <w:sz w:val="22"/>
          <w:szCs w:val="22"/>
          <w:vertAlign w:val="subscript"/>
        </w:rPr>
        <w:t>Chicken</w:t>
      </w:r>
      <w:r w:rsidRPr="00BD366E">
        <w:rPr>
          <w:rFonts w:asciiTheme="majorHAnsi" w:hAnsiTheme="majorHAnsi"/>
          <w:sz w:val="22"/>
          <w:szCs w:val="22"/>
        </w:rPr>
        <w:t>=1x10</w:t>
      </w:r>
      <w:r w:rsidRPr="00BD366E">
        <w:rPr>
          <w:rFonts w:asciiTheme="majorHAnsi" w:hAnsiTheme="majorHAnsi"/>
          <w:sz w:val="22"/>
          <w:szCs w:val="22"/>
          <w:vertAlign w:val="superscript"/>
        </w:rPr>
        <w:t>-4</w:t>
      </w:r>
      <w:r w:rsidRPr="00BD366E">
        <w:rPr>
          <w:rFonts w:asciiTheme="majorHAnsi" w:hAnsiTheme="majorHAnsi"/>
          <w:sz w:val="22"/>
          <w:szCs w:val="22"/>
        </w:rPr>
        <w:t>, eVal</w:t>
      </w:r>
      <w:r w:rsidRPr="00BD366E">
        <w:rPr>
          <w:rFonts w:asciiTheme="majorHAnsi" w:hAnsiTheme="majorHAnsi"/>
          <w:sz w:val="22"/>
          <w:szCs w:val="22"/>
          <w:vertAlign w:val="subscript"/>
        </w:rPr>
        <w:t>Platypus</w:t>
      </w:r>
      <w:r w:rsidRPr="00BD366E">
        <w:rPr>
          <w:rFonts w:asciiTheme="majorHAnsi" w:hAnsiTheme="majorHAnsi"/>
          <w:sz w:val="22"/>
          <w:szCs w:val="22"/>
        </w:rPr>
        <w:t>=6x10</w:t>
      </w:r>
      <w:r w:rsidRPr="00BD366E">
        <w:rPr>
          <w:rFonts w:asciiTheme="majorHAnsi" w:hAnsiTheme="majorHAnsi"/>
          <w:sz w:val="22"/>
          <w:szCs w:val="22"/>
          <w:vertAlign w:val="superscript"/>
        </w:rPr>
        <w:t>-6</w:t>
      </w:r>
      <w:r w:rsidRPr="00BD366E">
        <w:rPr>
          <w:rFonts w:asciiTheme="majorHAnsi" w:hAnsiTheme="majorHAnsi"/>
          <w:sz w:val="22"/>
          <w:szCs w:val="22"/>
        </w:rPr>
        <w:t>, eVal</w:t>
      </w:r>
      <w:r w:rsidRPr="00BD366E">
        <w:rPr>
          <w:rFonts w:asciiTheme="majorHAnsi" w:hAnsiTheme="majorHAnsi"/>
          <w:sz w:val="22"/>
          <w:szCs w:val="22"/>
          <w:vertAlign w:val="subscript"/>
        </w:rPr>
        <w:t>Opossum</w:t>
      </w:r>
      <w:r w:rsidRPr="00BD366E">
        <w:rPr>
          <w:rFonts w:asciiTheme="majorHAnsi" w:hAnsiTheme="majorHAnsi"/>
          <w:sz w:val="22"/>
          <w:szCs w:val="22"/>
        </w:rPr>
        <w:t>=1x10</w:t>
      </w:r>
      <w:r w:rsidRPr="00BD366E">
        <w:rPr>
          <w:rFonts w:asciiTheme="majorHAnsi" w:hAnsiTheme="majorHAnsi"/>
          <w:sz w:val="22"/>
          <w:szCs w:val="22"/>
          <w:vertAlign w:val="superscript"/>
        </w:rPr>
        <w:t>-8</w:t>
      </w:r>
      <w:r w:rsidRPr="00BD366E">
        <w:rPr>
          <w:rFonts w:asciiTheme="majorHAnsi" w:hAnsiTheme="majorHAnsi"/>
          <w:sz w:val="22"/>
          <w:szCs w:val="22"/>
        </w:rPr>
        <w:t>, eVal</w:t>
      </w:r>
      <w:r w:rsidRPr="00BD366E">
        <w:rPr>
          <w:rFonts w:asciiTheme="majorHAnsi" w:hAnsiTheme="majorHAnsi"/>
          <w:sz w:val="22"/>
          <w:szCs w:val="22"/>
          <w:vertAlign w:val="subscript"/>
        </w:rPr>
        <w:t xml:space="preserve">Mouse_and_primates </w:t>
      </w:r>
      <w:r w:rsidRPr="00BD366E">
        <w:rPr>
          <w:rFonts w:asciiTheme="majorHAnsi" w:hAnsiTheme="majorHAnsi"/>
          <w:sz w:val="22"/>
          <w:szCs w:val="22"/>
        </w:rPr>
        <w:t>=1x10</w:t>
      </w:r>
      <w:r w:rsidRPr="00BD366E">
        <w:rPr>
          <w:rFonts w:asciiTheme="majorHAnsi" w:hAnsiTheme="majorHAnsi"/>
          <w:sz w:val="22"/>
          <w:szCs w:val="22"/>
          <w:vertAlign w:val="superscript"/>
        </w:rPr>
        <w:t>-10</w:t>
      </w:r>
      <w:r w:rsidRPr="00BD366E">
        <w:rPr>
          <w:rFonts w:asciiTheme="majorHAnsi" w:hAnsiTheme="majorHAnsi"/>
          <w:sz w:val="22"/>
          <w:szCs w:val="22"/>
        </w:rPr>
        <w:t>. Paralogs with alignment score above these cut-offs and lower than 30% identity were checked manually, verified as split genes, and removed from further analyses (</w:t>
      </w:r>
      <w:r>
        <w:rPr>
          <w:rFonts w:asciiTheme="majorHAnsi" w:hAnsiTheme="majorHAnsi"/>
          <w:sz w:val="22"/>
          <w:szCs w:val="22"/>
        </w:rPr>
        <w:t>Supplemental Fig</w:t>
      </w:r>
      <w:r w:rsidRPr="00BD366E">
        <w:rPr>
          <w:rFonts w:asciiTheme="majorHAnsi" w:hAnsiTheme="majorHAnsi"/>
          <w:sz w:val="22"/>
          <w:szCs w:val="22"/>
        </w:rPr>
        <w:t xml:space="preserve"> S1). Split genes were found in four genomes (platypus n=440, opossum n=40, chicken n=19 and macaque n=2). No split genes were found in other species and the retained number of duplication events was 7776 (</w:t>
      </w:r>
      <w:r>
        <w:rPr>
          <w:rFonts w:asciiTheme="majorHAnsi" w:hAnsiTheme="majorHAnsi"/>
          <w:sz w:val="22"/>
          <w:szCs w:val="22"/>
        </w:rPr>
        <w:t>Supplemental Fig</w:t>
      </w:r>
      <w:r w:rsidRPr="00BD366E">
        <w:rPr>
          <w:rFonts w:asciiTheme="majorHAnsi" w:hAnsiTheme="majorHAnsi"/>
          <w:sz w:val="22"/>
          <w:szCs w:val="22"/>
        </w:rPr>
        <w:t xml:space="preserve"> S1).</w:t>
      </w:r>
    </w:p>
    <w:p w14:paraId="42A1FAA0" w14:textId="77777777" w:rsidR="00424A74" w:rsidRPr="00BD366E" w:rsidRDefault="00424A74" w:rsidP="00424A74">
      <w:pPr>
        <w:pStyle w:val="ListParagraph"/>
        <w:spacing w:line="360" w:lineRule="auto"/>
        <w:ind w:left="0"/>
        <w:jc w:val="both"/>
        <w:rPr>
          <w:rFonts w:asciiTheme="majorHAnsi" w:hAnsiTheme="majorHAnsi"/>
          <w:sz w:val="22"/>
          <w:szCs w:val="22"/>
        </w:rPr>
      </w:pPr>
    </w:p>
    <w:p w14:paraId="5B18981A" w14:textId="77777777" w:rsidR="00424A74" w:rsidRPr="00BD366E" w:rsidRDefault="00424A74" w:rsidP="00424A74">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Fourth, we consolidated the ages of duplication events with their respective outgroups. For instance, if according to the gene family tree a duplication event has happened in the common ancestor of eutherians, speciation events prior to the duplication are not expected to contain any eutherian taxa. However, in a number of duplications inappropriate outgroup taxa were identified and such duplication events were removed from further analyses, so that our dataset numbered 7757 duplication events (</w:t>
      </w:r>
      <w:r>
        <w:rPr>
          <w:rFonts w:asciiTheme="majorHAnsi" w:hAnsiTheme="majorHAnsi"/>
          <w:sz w:val="22"/>
          <w:szCs w:val="22"/>
        </w:rPr>
        <w:t>Supplemental Fig</w:t>
      </w:r>
      <w:r w:rsidRPr="00BD366E">
        <w:rPr>
          <w:rFonts w:asciiTheme="majorHAnsi" w:hAnsiTheme="majorHAnsi"/>
          <w:sz w:val="22"/>
          <w:szCs w:val="22"/>
        </w:rPr>
        <w:t xml:space="preserve"> S1). </w:t>
      </w:r>
    </w:p>
    <w:p w14:paraId="598FFE54" w14:textId="77777777" w:rsidR="00424A74" w:rsidRPr="00BD366E" w:rsidRDefault="00424A74" w:rsidP="00424A74">
      <w:pPr>
        <w:pStyle w:val="ListParagraph"/>
        <w:spacing w:line="360" w:lineRule="auto"/>
        <w:ind w:left="0"/>
        <w:jc w:val="both"/>
        <w:rPr>
          <w:rFonts w:asciiTheme="majorHAnsi" w:hAnsiTheme="majorHAnsi"/>
          <w:sz w:val="22"/>
          <w:szCs w:val="22"/>
        </w:rPr>
      </w:pPr>
    </w:p>
    <w:p w14:paraId="041CB10A" w14:textId="77777777" w:rsidR="00424A74" w:rsidRPr="00BD366E" w:rsidRDefault="00424A74" w:rsidP="00667747">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Finally, we removed falsely annotated gene duplicates by crossing the genomic coordinates of all lineage-specific paralogs within each genome. This was motivated by the discovery of a number of annotated protein-coding paralogs with overlapping genomic coordinates. Upon further investigation we found that such paralogs are frequently only supported by transcriptional evidence, constituting transcript isoforms of the same gene or a gene and a read-through product. Relatively larger proportions of such false paralogs were found in genomes with rich transcriptional data, such as human and mouse (244 and 135 genes, respectively) compared to orangutan or platypus (14 and 19 genes, respectively). These genes were removed from further analyses. Our final dataset consisted of 66587 paralogs contained in 7350 duplication events (</w:t>
      </w:r>
      <w:r>
        <w:rPr>
          <w:rFonts w:asciiTheme="majorHAnsi" w:hAnsiTheme="majorHAnsi"/>
          <w:sz w:val="22"/>
          <w:szCs w:val="22"/>
        </w:rPr>
        <w:t>Supplemental Fig</w:t>
      </w:r>
      <w:r w:rsidRPr="00BD366E">
        <w:rPr>
          <w:rFonts w:asciiTheme="majorHAnsi" w:hAnsiTheme="majorHAnsi"/>
          <w:sz w:val="22"/>
          <w:szCs w:val="22"/>
        </w:rPr>
        <w:t xml:space="preserve"> S1).</w:t>
      </w:r>
    </w:p>
    <w:p w14:paraId="519DD0F8" w14:textId="77777777" w:rsidR="00E568F7" w:rsidRDefault="00E568F7" w:rsidP="00667747">
      <w:pPr>
        <w:spacing w:line="360" w:lineRule="auto"/>
        <w:jc w:val="both"/>
        <w:rPr>
          <w:rFonts w:ascii="Calibri" w:eastAsia="ＭＳ 明朝" w:hAnsi="Calibri" w:cs="Times New Roman"/>
          <w:sz w:val="22"/>
          <w:szCs w:val="22"/>
        </w:rPr>
      </w:pPr>
    </w:p>
    <w:p w14:paraId="0623FC88" w14:textId="77777777" w:rsidR="00E568F7" w:rsidRPr="00E568F7" w:rsidRDefault="00E568F7" w:rsidP="00E568F7">
      <w:pPr>
        <w:pStyle w:val="ListParagraph"/>
        <w:spacing w:line="360" w:lineRule="auto"/>
        <w:ind w:left="0"/>
        <w:jc w:val="both"/>
        <w:rPr>
          <w:rFonts w:asciiTheme="majorHAnsi" w:hAnsiTheme="majorHAnsi"/>
          <w:b/>
          <w:sz w:val="22"/>
          <w:szCs w:val="22"/>
        </w:rPr>
      </w:pPr>
      <w:r w:rsidRPr="00E568F7">
        <w:rPr>
          <w:rFonts w:asciiTheme="majorHAnsi" w:hAnsiTheme="majorHAnsi"/>
          <w:b/>
          <w:sz w:val="22"/>
          <w:szCs w:val="22"/>
        </w:rPr>
        <w:t>Estimating expression values for closely related paralogs</w:t>
      </w:r>
    </w:p>
    <w:p w14:paraId="32F7EA75" w14:textId="18CA07AD" w:rsidR="00E568F7" w:rsidRDefault="00E568F7" w:rsidP="00E568F7">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 xml:space="preserve">Although Cufflinks implements an algorithm to solve read mapping ambiguities, closely related duplicates might not be divergent enough to have acquired a sufficient number of nucleotide changes to inform the algorithm. Furthermore, it was recently shown that common methods for gene expression estimates from RNA-Seq data, including the one used in our study, can produce erroneous expression estimates </w:t>
      </w:r>
      <w:r w:rsidRPr="00BD366E">
        <w:rPr>
          <w:rFonts w:asciiTheme="majorHAnsi" w:hAnsiTheme="majorHAnsi"/>
          <w:sz w:val="22"/>
          <w:szCs w:val="22"/>
        </w:rPr>
        <w:fldChar w:fldCharType="begin" w:fldLock="1"/>
      </w:r>
      <w:r w:rsidRPr="00BD366E">
        <w:rPr>
          <w:rFonts w:asciiTheme="majorHAnsi" w:hAnsiTheme="majorHAnsi"/>
          <w:sz w:val="22"/>
          <w:szCs w:val="22"/>
        </w:rPr>
        <w:instrText>ADDIN CSL_CITATION { "citationItems" : [ { "id" : "ITEM-1", "itemData" : { "DOI" : "10.1186/s13059-015-0734-x", "ISBN" : "1474-760X (Electronic)\\r1474-7596 (Linking)", "ISSN" : "1474-760X", "PMID" : "26335491", "abstract" : "BACKGROUND: RNA-Seq has emerged as the standard for measuring gene expression and is an important technique often used in studies of human disease. Gene expression quantification involves comparison of the sequenced reads to a known genomic or transcriptomic reference. The accuracy of that quantification relies on there being enough unique information in the reads to enable bioinformatics tools to accurately assign the reads to the correct gene. RESULTS: We apply 12 common methods to estimate gene expression from RNA-Seq data and show that there are hundreds of genes whose expression is underestimated by one or more of those methods. Many of these genes have been implicated in human disease, and we describe their roles. We go on to propose a two-stage analysis of RNA-Seq data in which multi-mapped or ambiguous reads can instead be uniquely assigned to groups of genes. We apply this method to a recently published mouse cancer study, and demonstrate that we can extract relevant biological signal from data that would otherwise have been discarded. CONCLUSIONS: For hundreds of genes in the human genome, RNA-Seq is unable to measure expression accurately. These genes are enriched for gene families, and many of them have been implicated in human disease. We show that it is possible to use data that may otherwise have been discarded to measure group-level expression, and that such data contains biologically relevant information.", "author" : [ { "dropping-particle" : "", "family" : "Robert", "given" : "Christelle", "non-dropping-particle" : "", "parse-names" : false, "suffix" : "" }, { "dropping-particle" : "", "family" : "Watson", "given" : "Mick", "non-dropping-particle" : "", "parse-names" : false, "suffix" : "" } ], "container-title" : "Genome biology", "id" : "ITEM-1", "issue" : "1", "issued" : { "date-parts" : [ [ "2015" ] ] }, "page" : "177", "title" : "Errors in RNA-Seq quantification affect genes of relevance to human disease.", "type" : "article-journal", "volume" : "16" }, "uris" : [ "http://www.mendeley.com/documents/?uuid=d10d201c-5828-44f3-9631-203a20642c94" ] } ], "mendeley" : { "formattedCitation" : "(Robert and Watson 2015)", "plainTextFormattedCitation" : "(Robert and Watson 2015)", "previouslyFormattedCitation" : "(Robert and Watson 2015)" }, "properties" : { "noteIndex" : 0 }, "schema" : "https://github.com/citation-style-language/schema/raw/master/csl-citation.json" }</w:instrText>
      </w:r>
      <w:r w:rsidRPr="00BD366E">
        <w:rPr>
          <w:rFonts w:asciiTheme="majorHAnsi" w:hAnsiTheme="majorHAnsi"/>
          <w:sz w:val="22"/>
          <w:szCs w:val="22"/>
        </w:rPr>
        <w:fldChar w:fldCharType="separate"/>
      </w:r>
      <w:r w:rsidRPr="00BD366E">
        <w:rPr>
          <w:rFonts w:asciiTheme="majorHAnsi" w:hAnsiTheme="majorHAnsi"/>
          <w:noProof/>
          <w:sz w:val="22"/>
          <w:szCs w:val="22"/>
        </w:rPr>
        <w:t>(Robert and Watson 2015)</w:t>
      </w:r>
      <w:r w:rsidRPr="00BD366E">
        <w:rPr>
          <w:rFonts w:asciiTheme="majorHAnsi" w:hAnsiTheme="majorHAnsi"/>
          <w:sz w:val="22"/>
          <w:szCs w:val="22"/>
        </w:rPr>
        <w:fldChar w:fldCharType="end"/>
      </w:r>
      <w:r w:rsidRPr="00BD366E">
        <w:rPr>
          <w:rFonts w:asciiTheme="majorHAnsi" w:hAnsiTheme="majorHAnsi"/>
          <w:sz w:val="22"/>
          <w:szCs w:val="22"/>
        </w:rPr>
        <w:t xml:space="preserve">. To evaluate whether the expression profiles of an inter-species paralog pair can be distinguished, we calculated expression divergence for </w:t>
      </w:r>
      <w:r w:rsidR="00997DF4">
        <w:rPr>
          <w:rFonts w:asciiTheme="majorHAnsi" w:hAnsiTheme="majorHAnsi"/>
          <w:sz w:val="22"/>
          <w:szCs w:val="22"/>
        </w:rPr>
        <w:t>paralogs as Euclidean distances</w:t>
      </w:r>
      <w:r w:rsidRPr="00BD366E">
        <w:rPr>
          <w:rFonts w:asciiTheme="majorHAnsi" w:hAnsiTheme="majorHAnsi"/>
          <w:sz w:val="22"/>
          <w:szCs w:val="22"/>
        </w:rPr>
        <w:t xml:space="preserve"> relying on unambiguously mapped reads only and on all mapped reads. If in a pair of paralogs one of the genes has no unique positions, its expression will be 0 using only unambiguously mapped reads, but above 0 using all reads. We calculated the ratio of Euclidean distances between paralogs using all reads and only unique reads. Paralogs with expression profiles that fell within the empirically validated ratio interval of 0.5-1.2 (all reads/unique reads) were considered to be reliably distinguishable. Manual examination of paralog pairs with ratios above and below the threshold showed them to be limited to very young and therefore weakly-diverged duplicates. These paralogs were retained in the dataset, but flagged as not having reliable expression values and not used in </w:t>
      </w:r>
      <w:r w:rsidR="00997DF4">
        <w:rPr>
          <w:rFonts w:asciiTheme="majorHAnsi" w:hAnsiTheme="majorHAnsi"/>
          <w:sz w:val="22"/>
          <w:szCs w:val="22"/>
        </w:rPr>
        <w:t xml:space="preserve">analyses that </w:t>
      </w:r>
      <w:r w:rsidR="00997DF4" w:rsidRPr="00BD366E">
        <w:rPr>
          <w:rFonts w:asciiTheme="majorHAnsi" w:hAnsiTheme="majorHAnsi"/>
          <w:sz w:val="22"/>
          <w:szCs w:val="22"/>
        </w:rPr>
        <w:t xml:space="preserve">required gene-specific expression </w:t>
      </w:r>
      <w:r w:rsidR="00997DF4">
        <w:rPr>
          <w:rFonts w:asciiTheme="majorHAnsi" w:hAnsiTheme="majorHAnsi"/>
          <w:sz w:val="22"/>
          <w:szCs w:val="22"/>
        </w:rPr>
        <w:t>values</w:t>
      </w:r>
      <w:r w:rsidRPr="00BD366E">
        <w:rPr>
          <w:rFonts w:asciiTheme="majorHAnsi" w:hAnsiTheme="majorHAnsi"/>
          <w:sz w:val="22"/>
          <w:szCs w:val="22"/>
        </w:rPr>
        <w:t xml:space="preserve">. We note that this procedure requires at least two within-species paralogs stemming from the same duplication event without subsequent duplications. </w:t>
      </w:r>
    </w:p>
    <w:p w14:paraId="1506EE6B" w14:textId="77777777" w:rsidR="00997DF4" w:rsidRDefault="00997DF4" w:rsidP="00E568F7">
      <w:pPr>
        <w:pStyle w:val="ListParagraph"/>
        <w:spacing w:line="360" w:lineRule="auto"/>
        <w:ind w:left="0"/>
        <w:jc w:val="both"/>
        <w:rPr>
          <w:rFonts w:asciiTheme="majorHAnsi" w:hAnsiTheme="majorHAnsi"/>
          <w:sz w:val="22"/>
          <w:szCs w:val="22"/>
        </w:rPr>
      </w:pPr>
    </w:p>
    <w:p w14:paraId="45F52E87" w14:textId="4F4A8571" w:rsidR="00997DF4" w:rsidRPr="00BD366E" w:rsidRDefault="00997DF4" w:rsidP="00E568F7">
      <w:pPr>
        <w:pStyle w:val="ListParagraph"/>
        <w:spacing w:line="360" w:lineRule="auto"/>
        <w:ind w:left="0"/>
        <w:jc w:val="both"/>
        <w:rPr>
          <w:rFonts w:asciiTheme="majorHAnsi" w:hAnsiTheme="majorHAnsi"/>
          <w:sz w:val="22"/>
          <w:szCs w:val="22"/>
        </w:rPr>
      </w:pPr>
      <w:r>
        <w:rPr>
          <w:rFonts w:asciiTheme="majorHAnsi" w:hAnsiTheme="majorHAnsi"/>
          <w:sz w:val="22"/>
          <w:szCs w:val="22"/>
        </w:rPr>
        <w:t xml:space="preserve">We validated our approach </w:t>
      </w:r>
      <w:r w:rsidR="00E15D8C">
        <w:rPr>
          <w:rFonts w:asciiTheme="majorHAnsi" w:hAnsiTheme="majorHAnsi"/>
          <w:sz w:val="22"/>
          <w:szCs w:val="22"/>
        </w:rPr>
        <w:t xml:space="preserve">of flagging paralogs with unreliable expression values </w:t>
      </w:r>
      <w:r>
        <w:rPr>
          <w:rFonts w:asciiTheme="majorHAnsi" w:hAnsiTheme="majorHAnsi"/>
          <w:sz w:val="22"/>
          <w:szCs w:val="22"/>
        </w:rPr>
        <w:t xml:space="preserve">against a dataset of </w:t>
      </w:r>
      <w:r w:rsidRPr="00BD366E">
        <w:rPr>
          <w:rFonts w:asciiTheme="majorHAnsi" w:hAnsiTheme="majorHAnsi"/>
          <w:sz w:val="22"/>
          <w:szCs w:val="22"/>
        </w:rPr>
        <w:t>human genes</w:t>
      </w:r>
      <w:r w:rsidR="00E15D8C">
        <w:rPr>
          <w:rFonts w:asciiTheme="majorHAnsi" w:hAnsiTheme="majorHAnsi"/>
          <w:sz w:val="22"/>
          <w:szCs w:val="22"/>
        </w:rPr>
        <w:t xml:space="preserve"> </w:t>
      </w:r>
      <w:r w:rsidR="00E15D8C" w:rsidRPr="00BD366E">
        <w:rPr>
          <w:rFonts w:asciiTheme="majorHAnsi" w:hAnsiTheme="majorHAnsi"/>
          <w:sz w:val="22"/>
          <w:szCs w:val="22"/>
        </w:rPr>
        <w:t>(n=372</w:t>
      </w:r>
      <w:r w:rsidR="00E15D8C">
        <w:rPr>
          <w:rFonts w:asciiTheme="majorHAnsi" w:hAnsiTheme="majorHAnsi"/>
          <w:sz w:val="22"/>
          <w:szCs w:val="22"/>
        </w:rPr>
        <w:t>)</w:t>
      </w:r>
      <w:r w:rsidRPr="00BD366E">
        <w:rPr>
          <w:rFonts w:asciiTheme="majorHAnsi" w:hAnsiTheme="majorHAnsi"/>
          <w:sz w:val="22"/>
          <w:szCs w:val="22"/>
        </w:rPr>
        <w:t>, for which expression levels cannot be reliably estimated</w:t>
      </w:r>
      <w:r w:rsidR="00E15D8C">
        <w:rPr>
          <w:rFonts w:asciiTheme="majorHAnsi" w:hAnsiTheme="majorHAnsi"/>
          <w:sz w:val="22"/>
          <w:szCs w:val="22"/>
        </w:rPr>
        <w:t xml:space="preserve"> </w:t>
      </w:r>
      <w:r w:rsidR="00E15D8C" w:rsidRPr="00BD366E">
        <w:rPr>
          <w:rFonts w:asciiTheme="majorHAnsi" w:hAnsiTheme="majorHAnsi"/>
          <w:sz w:val="22"/>
          <w:szCs w:val="22"/>
        </w:rPr>
        <w:t>with the combinati</w:t>
      </w:r>
      <w:r w:rsidR="00E15D8C">
        <w:rPr>
          <w:rFonts w:asciiTheme="majorHAnsi" w:hAnsiTheme="majorHAnsi"/>
          <w:sz w:val="22"/>
          <w:szCs w:val="22"/>
        </w:rPr>
        <w:t xml:space="preserve">on of methods used in our study </w:t>
      </w:r>
      <w:r w:rsidR="00E15D8C" w:rsidRPr="00BD366E">
        <w:rPr>
          <w:rFonts w:asciiTheme="majorHAnsi" w:hAnsiTheme="majorHAnsi"/>
          <w:sz w:val="22"/>
          <w:szCs w:val="22"/>
        </w:rPr>
        <w:t xml:space="preserve">(TopHat and Cufflinks, </w:t>
      </w:r>
      <w:r w:rsidR="00E15D8C">
        <w:rPr>
          <w:rFonts w:asciiTheme="majorHAnsi" w:hAnsiTheme="majorHAnsi"/>
          <w:sz w:val="22"/>
          <w:szCs w:val="22"/>
        </w:rPr>
        <w:t>including multi-read correction,</w:t>
      </w:r>
      <w:r w:rsidR="00D75B87" w:rsidRPr="00BD366E">
        <w:rPr>
          <w:rFonts w:asciiTheme="majorHAnsi" w:hAnsiTheme="majorHAnsi"/>
          <w:sz w:val="22"/>
          <w:szCs w:val="22"/>
        </w:rPr>
        <w:t xml:space="preserve"> </w:t>
      </w:r>
      <w:r w:rsidR="00D75B87" w:rsidRPr="00BD366E">
        <w:rPr>
          <w:rFonts w:asciiTheme="majorHAnsi" w:hAnsiTheme="majorHAnsi"/>
          <w:sz w:val="22"/>
          <w:szCs w:val="22"/>
        </w:rPr>
        <w:fldChar w:fldCharType="begin" w:fldLock="1"/>
      </w:r>
      <w:r w:rsidR="00D75B87" w:rsidRPr="00BD366E">
        <w:rPr>
          <w:rFonts w:asciiTheme="majorHAnsi" w:hAnsiTheme="majorHAnsi"/>
          <w:sz w:val="22"/>
          <w:szCs w:val="22"/>
        </w:rPr>
        <w:instrText>ADDIN CSL_CITATION { "citationItems" : [ { "id" : "ITEM-1", "itemData" : { "DOI" : "10.1186/s13059-015-0734-x", "ISBN" : "1474-760X (Electronic)\\r1474-7596 (Linking)", "ISSN" : "1474-760X", "PMID" : "26335491", "abstract" : "BACKGROUND: RNA-Seq has emerged as the standard for measuring gene expression and is an important technique often used in studies of human disease. Gene expression quantification involves comparison of the sequenced reads to a known genomic or transcriptomic reference. The accuracy of that quantification relies on there being enough unique information in the reads to enable bioinformatics tools to accurately assign the reads to the correct gene. RESULTS: We apply 12 common methods to estimate gene expression from RNA-Seq data and show that there are hundreds of genes whose expression is underestimated by one or more of those methods. Many of these genes have been implicated in human disease, and we describe their roles. We go on to propose a two-stage analysis of RNA-Seq data in which multi-mapped or ambiguous reads can instead be uniquely assigned to groups of genes. We apply this method to a recently published mouse cancer study, and demonstrate that we can extract relevant biological signal from data that would otherwise have been discarded. CONCLUSIONS: For hundreds of genes in the human genome, RNA-Seq is unable to measure expression accurately. These genes are enriched for gene families, and many of them have been implicated in human disease. We show that it is possible to use data that may otherwise have been discarded to measure group-level expression, and that such data contains biologically relevant information.", "author" : [ { "dropping-particle" : "", "family" : "Robert", "given" : "Christelle", "non-dropping-particle" : "", "parse-names" : false, "suffix" : "" }, { "dropping-particle" : "", "family" : "Watson", "given" : "Mick", "non-dropping-particle" : "", "parse-names" : false, "suffix" : "" } ], "container-title" : "Genome biology", "id" : "ITEM-1", "issue" : "1", "issued" : { "date-parts" : [ [ "2015" ] ] }, "page" : "177", "title" : "Errors in RNA-Seq quantification affect genes of relevance to human disease.", "type" : "article-journal", "volume" : "16" }, "uris" : [ "http://www.mendeley.com/documents/?uuid=d10d201c-5828-44f3-9631-203a20642c94" ] } ], "mendeley" : { "formattedCitation" : "(Robert and Watson 2015)", "plainTextFormattedCitation" : "(Robert and Watson 2015)", "previouslyFormattedCitation" : "(Robert and Watson 2015)" }, "properties" : { "noteIndex" : 0 }, "schema" : "https://github.com/citation-style-language/schema/raw/master/csl-citation.json" }</w:instrText>
      </w:r>
      <w:r w:rsidR="00D75B87" w:rsidRPr="00BD366E">
        <w:rPr>
          <w:rFonts w:asciiTheme="majorHAnsi" w:hAnsiTheme="majorHAnsi"/>
          <w:sz w:val="22"/>
          <w:szCs w:val="22"/>
        </w:rPr>
        <w:fldChar w:fldCharType="separate"/>
      </w:r>
      <w:r w:rsidR="00D75B87" w:rsidRPr="00BD366E">
        <w:rPr>
          <w:rFonts w:asciiTheme="majorHAnsi" w:hAnsiTheme="majorHAnsi"/>
          <w:noProof/>
          <w:sz w:val="22"/>
          <w:szCs w:val="22"/>
        </w:rPr>
        <w:t>(Robert and Watson 2015)</w:t>
      </w:r>
      <w:r w:rsidR="00D75B87" w:rsidRPr="00BD366E">
        <w:rPr>
          <w:rFonts w:asciiTheme="majorHAnsi" w:hAnsiTheme="majorHAnsi"/>
          <w:sz w:val="22"/>
          <w:szCs w:val="22"/>
        </w:rPr>
        <w:fldChar w:fldCharType="end"/>
      </w:r>
      <w:r w:rsidR="00D75B87" w:rsidRPr="00BD366E">
        <w:rPr>
          <w:rFonts w:asciiTheme="majorHAnsi" w:hAnsiTheme="majorHAnsi"/>
          <w:sz w:val="22"/>
          <w:szCs w:val="22"/>
        </w:rPr>
        <w:t>)</w:t>
      </w:r>
      <w:r w:rsidR="00D75B87">
        <w:rPr>
          <w:rFonts w:asciiTheme="majorHAnsi" w:hAnsiTheme="majorHAnsi"/>
          <w:sz w:val="22"/>
          <w:szCs w:val="22"/>
        </w:rPr>
        <w:t xml:space="preserve">. </w:t>
      </w:r>
      <w:r w:rsidR="00D75B87" w:rsidRPr="00BD366E">
        <w:rPr>
          <w:rFonts w:asciiTheme="majorHAnsi" w:hAnsiTheme="majorHAnsi"/>
          <w:sz w:val="22"/>
          <w:szCs w:val="22"/>
        </w:rPr>
        <w:t xml:space="preserve">Of these problematic genes, 83 </w:t>
      </w:r>
      <w:r w:rsidR="00840024">
        <w:rPr>
          <w:rFonts w:asciiTheme="majorHAnsi" w:hAnsiTheme="majorHAnsi"/>
          <w:sz w:val="22"/>
          <w:szCs w:val="22"/>
        </w:rPr>
        <w:t>were</w:t>
      </w:r>
      <w:r w:rsidR="00D75B87" w:rsidRPr="00BD366E">
        <w:rPr>
          <w:rFonts w:asciiTheme="majorHAnsi" w:hAnsiTheme="majorHAnsi"/>
          <w:sz w:val="22"/>
          <w:szCs w:val="22"/>
        </w:rPr>
        <w:t xml:space="preserve"> present in our filtered duplication dataset</w:t>
      </w:r>
      <w:r w:rsidR="00840024">
        <w:rPr>
          <w:rFonts w:asciiTheme="majorHAnsi" w:hAnsiTheme="majorHAnsi"/>
          <w:sz w:val="22"/>
          <w:szCs w:val="22"/>
        </w:rPr>
        <w:t xml:space="preserve">, </w:t>
      </w:r>
      <w:r w:rsidR="00D75B87" w:rsidRPr="00BD366E">
        <w:rPr>
          <w:rFonts w:asciiTheme="majorHAnsi" w:hAnsiTheme="majorHAnsi"/>
          <w:sz w:val="22"/>
          <w:szCs w:val="22"/>
        </w:rPr>
        <w:t>whereas others were excluded during various filtering steps</w:t>
      </w:r>
      <w:r w:rsidR="00E15D8C">
        <w:rPr>
          <w:rFonts w:asciiTheme="majorHAnsi" w:hAnsiTheme="majorHAnsi"/>
          <w:sz w:val="22"/>
          <w:szCs w:val="22"/>
        </w:rPr>
        <w:t>, as described above</w:t>
      </w:r>
      <w:r w:rsidR="00D75B87" w:rsidRPr="00BD366E">
        <w:rPr>
          <w:rFonts w:asciiTheme="majorHAnsi" w:hAnsiTheme="majorHAnsi"/>
          <w:sz w:val="22"/>
          <w:szCs w:val="22"/>
        </w:rPr>
        <w:t>. Our method of flagg</w:t>
      </w:r>
      <w:r w:rsidR="00175BF2">
        <w:rPr>
          <w:rFonts w:asciiTheme="majorHAnsi" w:hAnsiTheme="majorHAnsi"/>
          <w:sz w:val="22"/>
          <w:szCs w:val="22"/>
        </w:rPr>
        <w:t>ing paralogs effectively filtered</w:t>
      </w:r>
      <w:r w:rsidR="00D75B87" w:rsidRPr="00BD366E">
        <w:rPr>
          <w:rFonts w:asciiTheme="majorHAnsi" w:hAnsiTheme="majorHAnsi"/>
          <w:sz w:val="22"/>
          <w:szCs w:val="22"/>
        </w:rPr>
        <w:t xml:space="preserve"> out 51 (61.45%) problematic genes (in total, 91.4% of problematic genes </w:t>
      </w:r>
      <w:r w:rsidR="00175BF2">
        <w:rPr>
          <w:rFonts w:asciiTheme="majorHAnsi" w:hAnsiTheme="majorHAnsi"/>
          <w:sz w:val="22"/>
          <w:szCs w:val="22"/>
        </w:rPr>
        <w:t>were</w:t>
      </w:r>
      <w:r w:rsidR="00D75B87" w:rsidRPr="00BD366E">
        <w:rPr>
          <w:rFonts w:asciiTheme="majorHAnsi" w:hAnsiTheme="majorHAnsi"/>
          <w:sz w:val="22"/>
          <w:szCs w:val="22"/>
        </w:rPr>
        <w:t xml:space="preserve"> removed or flagged). The remaining 32 genes (8.6% of the total list) make up only 0.045% of all human paralogs in our dataset.</w:t>
      </w:r>
      <w:r w:rsidR="00D75B87">
        <w:rPr>
          <w:rFonts w:asciiTheme="majorHAnsi" w:hAnsiTheme="majorHAnsi"/>
          <w:sz w:val="22"/>
          <w:szCs w:val="22"/>
        </w:rPr>
        <w:t xml:space="preserve"> </w:t>
      </w:r>
      <w:r w:rsidR="00175BF2">
        <w:rPr>
          <w:rFonts w:asciiTheme="majorHAnsi" w:hAnsiTheme="majorHAnsi"/>
          <w:sz w:val="22"/>
          <w:szCs w:val="22"/>
        </w:rPr>
        <w:t>F</w:t>
      </w:r>
      <w:r w:rsidR="00E15D8C" w:rsidRPr="00BD366E">
        <w:rPr>
          <w:rFonts w:asciiTheme="majorHAnsi" w:hAnsiTheme="majorHAnsi"/>
          <w:sz w:val="22"/>
          <w:szCs w:val="22"/>
        </w:rPr>
        <w:t xml:space="preserve">lagged genes and gene families in all species were </w:t>
      </w:r>
      <w:r w:rsidR="00E15D8C">
        <w:rPr>
          <w:rFonts w:asciiTheme="majorHAnsi" w:hAnsiTheme="majorHAnsi"/>
          <w:sz w:val="22"/>
          <w:szCs w:val="22"/>
        </w:rPr>
        <w:t xml:space="preserve">only used for analyses that did not require knowledge of </w:t>
      </w:r>
      <w:r w:rsidR="00E15D8C" w:rsidRPr="00BD366E">
        <w:rPr>
          <w:rFonts w:asciiTheme="majorHAnsi" w:hAnsiTheme="majorHAnsi"/>
          <w:sz w:val="22"/>
          <w:szCs w:val="22"/>
        </w:rPr>
        <w:t>gene-specific expression levels.</w:t>
      </w:r>
      <w:r w:rsidR="00E15D8C">
        <w:rPr>
          <w:rFonts w:asciiTheme="majorHAnsi" w:hAnsiTheme="majorHAnsi"/>
          <w:sz w:val="22"/>
          <w:szCs w:val="22"/>
        </w:rPr>
        <w:t xml:space="preserve"> Hence</w:t>
      </w:r>
      <w:r w:rsidR="00D75B87" w:rsidRPr="00BD366E">
        <w:rPr>
          <w:rFonts w:asciiTheme="majorHAnsi" w:hAnsiTheme="majorHAnsi"/>
          <w:sz w:val="22"/>
          <w:szCs w:val="22"/>
        </w:rPr>
        <w:t>, although individual gene expression estimates for these genes might be biased in our dataset, performing gene family level analyses on these genes is reminiscent of the “multi-map groups” method proposed by Robert and Watson (2015).</w:t>
      </w:r>
      <w:r w:rsidR="00D75B87">
        <w:rPr>
          <w:rFonts w:asciiTheme="majorHAnsi" w:hAnsiTheme="majorHAnsi"/>
          <w:sz w:val="22"/>
          <w:szCs w:val="22"/>
        </w:rPr>
        <w:t xml:space="preserve"> </w:t>
      </w:r>
    </w:p>
    <w:p w14:paraId="2E66A5EB" w14:textId="77777777" w:rsidR="00E568F7" w:rsidRDefault="00E568F7" w:rsidP="00667747">
      <w:pPr>
        <w:spacing w:line="360" w:lineRule="auto"/>
        <w:jc w:val="both"/>
      </w:pPr>
    </w:p>
    <w:p w14:paraId="50FF5BE1" w14:textId="77777777" w:rsidR="00E568F7" w:rsidRPr="00BD366E" w:rsidRDefault="00E568F7" w:rsidP="00E568F7">
      <w:pPr>
        <w:pStyle w:val="ListParagraph"/>
        <w:spacing w:line="360" w:lineRule="auto"/>
        <w:ind w:left="0"/>
        <w:jc w:val="both"/>
        <w:rPr>
          <w:rFonts w:asciiTheme="majorHAnsi" w:hAnsiTheme="majorHAnsi"/>
          <w:b/>
          <w:sz w:val="22"/>
          <w:szCs w:val="22"/>
        </w:rPr>
      </w:pPr>
      <w:r>
        <w:rPr>
          <w:rFonts w:asciiTheme="majorHAnsi" w:hAnsiTheme="majorHAnsi"/>
          <w:b/>
          <w:sz w:val="22"/>
          <w:szCs w:val="22"/>
        </w:rPr>
        <w:t>Expression analysis of neural tissues</w:t>
      </w:r>
    </w:p>
    <w:p w14:paraId="6F7498B5" w14:textId="77777777" w:rsidR="00E568F7" w:rsidRDefault="00E568F7" w:rsidP="00E568F7">
      <w:pPr>
        <w:spacing w:line="360" w:lineRule="auto"/>
        <w:jc w:val="both"/>
        <w:rPr>
          <w:rFonts w:ascii="Calibri" w:eastAsia="ＭＳ 明朝" w:hAnsi="Calibri" w:cs="Times New Roman"/>
          <w:sz w:val="22"/>
          <w:szCs w:val="22"/>
        </w:rPr>
      </w:pPr>
      <w:r>
        <w:rPr>
          <w:rFonts w:asciiTheme="majorHAnsi" w:hAnsiTheme="majorHAnsi"/>
          <w:sz w:val="22"/>
          <w:szCs w:val="22"/>
        </w:rPr>
        <w:t>E</w:t>
      </w:r>
      <w:r w:rsidRPr="00BD366E">
        <w:rPr>
          <w:rFonts w:asciiTheme="majorHAnsi" w:hAnsiTheme="majorHAnsi"/>
          <w:sz w:val="22"/>
          <w:szCs w:val="22"/>
        </w:rPr>
        <w:t>xpression profiles of the two neural tissues</w:t>
      </w:r>
      <w:r>
        <w:rPr>
          <w:rFonts w:asciiTheme="majorHAnsi" w:hAnsiTheme="majorHAnsi"/>
          <w:sz w:val="22"/>
          <w:szCs w:val="22"/>
        </w:rPr>
        <w:t xml:space="preserve"> used in our study</w:t>
      </w:r>
      <w:r w:rsidRPr="00BD366E">
        <w:rPr>
          <w:rFonts w:asciiTheme="majorHAnsi" w:hAnsiTheme="majorHAnsi"/>
          <w:sz w:val="22"/>
          <w:szCs w:val="22"/>
        </w:rPr>
        <w:t>, cortex and cerebellum, are highly correlated</w:t>
      </w:r>
      <w:r>
        <w:rPr>
          <w:rFonts w:asciiTheme="majorHAnsi" w:hAnsiTheme="majorHAnsi"/>
          <w:sz w:val="22"/>
          <w:szCs w:val="22"/>
        </w:rPr>
        <w:t xml:space="preserve"> and therefore we first </w:t>
      </w:r>
      <w:r w:rsidRPr="00BD366E">
        <w:rPr>
          <w:rFonts w:asciiTheme="majorHAnsi" w:hAnsiTheme="majorHAnsi"/>
          <w:sz w:val="22"/>
          <w:szCs w:val="22"/>
        </w:rPr>
        <w:t>computed the mean of their expression for each gene</w:t>
      </w:r>
      <w:r>
        <w:rPr>
          <w:rFonts w:asciiTheme="majorHAnsi" w:hAnsiTheme="majorHAnsi"/>
          <w:sz w:val="22"/>
          <w:szCs w:val="22"/>
        </w:rPr>
        <w:t>, effectively merging them into a single tissue. To validate our results, we also performed the analyses for brain and cerebellum separately.</w:t>
      </w:r>
      <w:r w:rsidRPr="00667747">
        <w:rPr>
          <w:rFonts w:ascii="Calibri" w:eastAsia="ＭＳ 明朝" w:hAnsi="Calibri" w:cs="Times New Roman"/>
          <w:sz w:val="22"/>
          <w:szCs w:val="22"/>
        </w:rPr>
        <w:t xml:space="preserve"> Treating brain and cerebellum as separate tissues, we could detect additional genes characterized as brain- or cerebellum-specific (e.g. 168 and 82 brain-specific, and 172 and 37 cerebellum-specific paralogs in human, with two different measures of tissue specificity [“twice uniform expression” and tau, respectively, see below]). However, using this approach a number of genes recognized as neural tissue-specific remained undetected (21 and 87 with the two different measures of tissue specificity, as above). Importantly, combining brain and cerebellum or treating them as separate tissues did not change inferences of function enrichment among neural tissue-specific </w:t>
      </w:r>
      <w:r w:rsidRPr="00667747">
        <w:rPr>
          <w:rFonts w:ascii="Calibri" w:eastAsia="ＭＳ 明朝" w:hAnsi="Calibri" w:cs="Helvetica"/>
          <w:sz w:val="22"/>
          <w:szCs w:val="22"/>
        </w:rPr>
        <w:t>expressed</w:t>
      </w:r>
      <w:r w:rsidRPr="00667747">
        <w:rPr>
          <w:rFonts w:ascii="Calibri" w:eastAsia="ＭＳ 明朝" w:hAnsi="Calibri" w:cs="Helvetica"/>
          <w:b/>
          <w:sz w:val="22"/>
          <w:szCs w:val="22"/>
        </w:rPr>
        <w:t xml:space="preserve"> </w:t>
      </w:r>
      <w:r w:rsidRPr="00667747">
        <w:rPr>
          <w:rFonts w:ascii="Calibri" w:eastAsia="ＭＳ 明朝" w:hAnsi="Calibri" w:cs="Times New Roman"/>
          <w:sz w:val="22"/>
          <w:szCs w:val="22"/>
        </w:rPr>
        <w:t>genes (Supplemental Table S13).</w:t>
      </w:r>
    </w:p>
    <w:p w14:paraId="10CAD94F" w14:textId="77777777" w:rsidR="00E568F7" w:rsidRDefault="00E568F7" w:rsidP="00667747">
      <w:pPr>
        <w:spacing w:line="360" w:lineRule="auto"/>
        <w:jc w:val="both"/>
      </w:pPr>
    </w:p>
    <w:p w14:paraId="445E3D15" w14:textId="7B3D9E86" w:rsidR="00E93027" w:rsidRPr="00BD366E" w:rsidRDefault="00E93027" w:rsidP="00E93027">
      <w:pPr>
        <w:pStyle w:val="ListParagraph"/>
        <w:spacing w:line="360" w:lineRule="auto"/>
        <w:ind w:left="0"/>
        <w:jc w:val="both"/>
        <w:rPr>
          <w:rFonts w:asciiTheme="majorHAnsi" w:hAnsiTheme="majorHAnsi"/>
          <w:b/>
          <w:sz w:val="22"/>
          <w:szCs w:val="22"/>
        </w:rPr>
      </w:pPr>
      <w:r w:rsidRPr="00BD366E">
        <w:rPr>
          <w:rFonts w:asciiTheme="majorHAnsi" w:hAnsiTheme="majorHAnsi"/>
          <w:b/>
          <w:sz w:val="22"/>
          <w:szCs w:val="22"/>
        </w:rPr>
        <w:t>E</w:t>
      </w:r>
      <w:r>
        <w:rPr>
          <w:rFonts w:asciiTheme="majorHAnsi" w:hAnsiTheme="majorHAnsi"/>
          <w:b/>
          <w:sz w:val="22"/>
          <w:szCs w:val="22"/>
        </w:rPr>
        <w:t>stimating e</w:t>
      </w:r>
      <w:r w:rsidRPr="00BD366E">
        <w:rPr>
          <w:rFonts w:asciiTheme="majorHAnsi" w:hAnsiTheme="majorHAnsi"/>
          <w:b/>
          <w:sz w:val="22"/>
          <w:szCs w:val="22"/>
        </w:rPr>
        <w:t xml:space="preserve">xpression divergence </w:t>
      </w:r>
      <w:r>
        <w:rPr>
          <w:rFonts w:asciiTheme="majorHAnsi" w:hAnsiTheme="majorHAnsi"/>
          <w:b/>
          <w:sz w:val="22"/>
          <w:szCs w:val="22"/>
        </w:rPr>
        <w:t xml:space="preserve">for analysis of </w:t>
      </w:r>
      <w:r w:rsidR="002B5D4C">
        <w:rPr>
          <w:rFonts w:asciiTheme="majorHAnsi" w:hAnsiTheme="majorHAnsi"/>
          <w:b/>
          <w:sz w:val="22"/>
          <w:szCs w:val="22"/>
        </w:rPr>
        <w:t xml:space="preserve">correlation between </w:t>
      </w:r>
      <w:r>
        <w:rPr>
          <w:rFonts w:asciiTheme="majorHAnsi" w:hAnsiTheme="majorHAnsi"/>
          <w:b/>
          <w:sz w:val="22"/>
          <w:szCs w:val="22"/>
        </w:rPr>
        <w:t xml:space="preserve">expression </w:t>
      </w:r>
      <w:r w:rsidRPr="00BD366E">
        <w:rPr>
          <w:rFonts w:asciiTheme="majorHAnsi" w:hAnsiTheme="majorHAnsi"/>
          <w:b/>
          <w:sz w:val="22"/>
          <w:szCs w:val="22"/>
        </w:rPr>
        <w:t>and protein sequence divergence</w:t>
      </w:r>
    </w:p>
    <w:p w14:paraId="2395C974" w14:textId="1BD85A22" w:rsidR="00E93027" w:rsidRDefault="00E93027" w:rsidP="00667747">
      <w:pPr>
        <w:spacing w:line="360" w:lineRule="auto"/>
        <w:jc w:val="both"/>
        <w:rPr>
          <w:rFonts w:asciiTheme="majorHAnsi" w:hAnsiTheme="majorHAnsi"/>
          <w:sz w:val="22"/>
          <w:szCs w:val="22"/>
        </w:rPr>
      </w:pPr>
      <w:r>
        <w:rPr>
          <w:rFonts w:asciiTheme="majorHAnsi" w:hAnsiTheme="majorHAnsi"/>
          <w:sz w:val="22"/>
          <w:szCs w:val="22"/>
        </w:rPr>
        <w:t xml:space="preserve">Expression divergence was calculated as Euclidean distances across all tissues in a pairwise manner for each paralog within a species and each duplication event. </w:t>
      </w:r>
      <w:r w:rsidRPr="00BD366E">
        <w:rPr>
          <w:rFonts w:asciiTheme="majorHAnsi" w:hAnsiTheme="majorHAnsi"/>
          <w:sz w:val="22"/>
          <w:szCs w:val="22"/>
        </w:rPr>
        <w:t>Duplication events were defined topologically by examining gene trees and serial duplication events were retained, so that expression divergence was calculated across all within-species paralog pairs resulting from such event. To avoid biases in expression divergence estimates that can arise if one of the paralogs has undergone subsequent duplications, we only considered events with at least two paralogs of the same duplication age. For single copy genes we considered species pairs. We excluded gene pairs in which none of the paralogs were expressed and those, in which the expression profiles of paralogs could not be determined with certainty (either one or both paralogs had no diagnostic sites and therefore no unique reads</w:t>
      </w:r>
      <w:r>
        <w:rPr>
          <w:rFonts w:asciiTheme="majorHAnsi" w:hAnsiTheme="majorHAnsi"/>
          <w:sz w:val="22"/>
          <w:szCs w:val="22"/>
        </w:rPr>
        <w:t>, see above</w:t>
      </w:r>
      <w:r w:rsidRPr="00BD366E">
        <w:rPr>
          <w:rFonts w:asciiTheme="majorHAnsi" w:hAnsiTheme="majorHAnsi"/>
          <w:sz w:val="22"/>
          <w:szCs w:val="22"/>
        </w:rPr>
        <w:t>).</w:t>
      </w:r>
    </w:p>
    <w:p w14:paraId="04974A05" w14:textId="77777777" w:rsidR="00E06353" w:rsidRDefault="00E06353" w:rsidP="00667747">
      <w:pPr>
        <w:spacing w:line="360" w:lineRule="auto"/>
        <w:jc w:val="both"/>
        <w:rPr>
          <w:rFonts w:asciiTheme="majorHAnsi" w:hAnsiTheme="majorHAnsi"/>
          <w:sz w:val="22"/>
          <w:szCs w:val="22"/>
        </w:rPr>
      </w:pPr>
    </w:p>
    <w:p w14:paraId="3AFF4269" w14:textId="24BF46A4" w:rsidR="00E06353" w:rsidRPr="00E06353" w:rsidRDefault="00E06353" w:rsidP="00667747">
      <w:pPr>
        <w:spacing w:line="360" w:lineRule="auto"/>
        <w:jc w:val="both"/>
        <w:rPr>
          <w:rFonts w:asciiTheme="majorHAnsi" w:hAnsiTheme="majorHAnsi"/>
          <w:b/>
          <w:sz w:val="22"/>
          <w:szCs w:val="22"/>
        </w:rPr>
      </w:pPr>
      <w:r w:rsidRPr="00E06353">
        <w:rPr>
          <w:rFonts w:asciiTheme="majorHAnsi" w:hAnsiTheme="majorHAnsi"/>
          <w:b/>
          <w:sz w:val="22"/>
          <w:szCs w:val="22"/>
        </w:rPr>
        <w:t>Tissue specificity, expression levels and duplication age</w:t>
      </w:r>
    </w:p>
    <w:p w14:paraId="2FAF314F" w14:textId="77777777" w:rsidR="00E06353" w:rsidRPr="00BD366E" w:rsidRDefault="00E06353" w:rsidP="00E06353">
      <w:pPr>
        <w:pStyle w:val="ListParagraph"/>
        <w:spacing w:line="360" w:lineRule="auto"/>
        <w:ind w:left="0"/>
        <w:jc w:val="both"/>
        <w:rPr>
          <w:rFonts w:asciiTheme="majorHAnsi" w:hAnsiTheme="majorHAnsi"/>
          <w:sz w:val="22"/>
          <w:szCs w:val="22"/>
        </w:rPr>
      </w:pPr>
      <w:r w:rsidRPr="00BD366E">
        <w:rPr>
          <w:rFonts w:asciiTheme="majorHAnsi" w:hAnsiTheme="majorHAnsi"/>
          <w:sz w:val="22"/>
          <w:szCs w:val="22"/>
        </w:rPr>
        <w:t>To evaluate if tissue specificity changes with expression level and duplication age, we defined six equally populated groups of genes (bins) according to their expression level. For each tissue we plotted relative tissue expression for single-copy genes and paralogs grouped by duplication ages within expression level bins (</w:t>
      </w:r>
      <w:r>
        <w:rPr>
          <w:rFonts w:asciiTheme="majorHAnsi" w:hAnsiTheme="majorHAnsi"/>
          <w:sz w:val="22"/>
          <w:szCs w:val="22"/>
        </w:rPr>
        <w:t>Supplemental Figs</w:t>
      </w:r>
      <w:r w:rsidRPr="00BD366E">
        <w:rPr>
          <w:rFonts w:asciiTheme="majorHAnsi" w:hAnsiTheme="majorHAnsi"/>
          <w:sz w:val="22"/>
          <w:szCs w:val="22"/>
        </w:rPr>
        <w:t xml:space="preserve"> S9-12). </w:t>
      </w:r>
    </w:p>
    <w:p w14:paraId="32DBA755" w14:textId="77777777" w:rsidR="00E06353" w:rsidRDefault="00E06353" w:rsidP="00667747">
      <w:pPr>
        <w:spacing w:line="360" w:lineRule="auto"/>
        <w:jc w:val="both"/>
      </w:pPr>
    </w:p>
    <w:sectPr w:rsidR="00E06353" w:rsidSect="000F2B9D">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5FA91" w14:textId="77777777" w:rsidR="00500437" w:rsidRDefault="00500437" w:rsidP="00AF1DE0">
      <w:r>
        <w:separator/>
      </w:r>
    </w:p>
  </w:endnote>
  <w:endnote w:type="continuationSeparator" w:id="0">
    <w:p w14:paraId="33CB6129" w14:textId="77777777" w:rsidR="00500437" w:rsidRDefault="00500437" w:rsidP="00AF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3237B" w14:textId="77777777" w:rsidR="00AF1DE0" w:rsidRDefault="00AF1DE0" w:rsidP="0015733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3F0B59" w14:textId="77777777" w:rsidR="00AF1DE0" w:rsidRDefault="00AF1D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067A4" w14:textId="77777777" w:rsidR="00AF1DE0" w:rsidRDefault="00AF1DE0" w:rsidP="0015733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0437">
      <w:rPr>
        <w:rStyle w:val="PageNumber"/>
        <w:noProof/>
      </w:rPr>
      <w:t>1</w:t>
    </w:r>
    <w:r>
      <w:rPr>
        <w:rStyle w:val="PageNumber"/>
      </w:rPr>
      <w:fldChar w:fldCharType="end"/>
    </w:r>
  </w:p>
  <w:p w14:paraId="2CB38BA1" w14:textId="77777777" w:rsidR="00AF1DE0" w:rsidRDefault="00AF1D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42941" w14:textId="77777777" w:rsidR="00500437" w:rsidRDefault="00500437" w:rsidP="00AF1DE0">
      <w:r>
        <w:separator/>
      </w:r>
    </w:p>
  </w:footnote>
  <w:footnote w:type="continuationSeparator" w:id="0">
    <w:p w14:paraId="6A7E4C57" w14:textId="77777777" w:rsidR="00500437" w:rsidRDefault="00500437" w:rsidP="00AF1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3A"/>
    <w:rsid w:val="000C1C3A"/>
    <w:rsid w:val="000F2B9D"/>
    <w:rsid w:val="00175BF2"/>
    <w:rsid w:val="002B5D4C"/>
    <w:rsid w:val="00424A74"/>
    <w:rsid w:val="00500437"/>
    <w:rsid w:val="00667747"/>
    <w:rsid w:val="006C14FF"/>
    <w:rsid w:val="00840024"/>
    <w:rsid w:val="00997DF4"/>
    <w:rsid w:val="00AF1DE0"/>
    <w:rsid w:val="00D75B87"/>
    <w:rsid w:val="00E06353"/>
    <w:rsid w:val="00E15D8C"/>
    <w:rsid w:val="00E568F7"/>
    <w:rsid w:val="00E93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0AA4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C3A"/>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A74"/>
    <w:pPr>
      <w:ind w:left="720"/>
      <w:contextualSpacing/>
    </w:pPr>
  </w:style>
  <w:style w:type="paragraph" w:styleId="Footer">
    <w:name w:val="footer"/>
    <w:basedOn w:val="Normal"/>
    <w:link w:val="FooterChar"/>
    <w:uiPriority w:val="99"/>
    <w:unhideWhenUsed/>
    <w:rsid w:val="00AF1DE0"/>
    <w:pPr>
      <w:tabs>
        <w:tab w:val="center" w:pos="4536"/>
        <w:tab w:val="right" w:pos="9072"/>
      </w:tabs>
    </w:pPr>
  </w:style>
  <w:style w:type="character" w:customStyle="1" w:styleId="FooterChar">
    <w:name w:val="Footer Char"/>
    <w:basedOn w:val="DefaultParagraphFont"/>
    <w:link w:val="Footer"/>
    <w:uiPriority w:val="99"/>
    <w:rsid w:val="00AF1DE0"/>
    <w:rPr>
      <w:lang w:eastAsia="ja-JP"/>
    </w:rPr>
  </w:style>
  <w:style w:type="character" w:styleId="PageNumber">
    <w:name w:val="page number"/>
    <w:basedOn w:val="DefaultParagraphFont"/>
    <w:uiPriority w:val="99"/>
    <w:semiHidden/>
    <w:unhideWhenUsed/>
    <w:rsid w:val="00AF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7793</Words>
  <Characters>44426</Characters>
  <Application>Microsoft Macintosh Word</Application>
  <DocSecurity>0</DocSecurity>
  <Lines>370</Lines>
  <Paragraphs>104</Paragraphs>
  <ScaleCrop>false</ScaleCrop>
  <Company>Uppsala universitet</Company>
  <LinksUpToDate>false</LinksUpToDate>
  <CharactersWithSpaces>52115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Guschanski</dc:creator>
  <cp:keywords/>
  <dc:description/>
  <cp:lastModifiedBy>Katja Guschanski</cp:lastModifiedBy>
  <cp:revision>10</cp:revision>
  <dcterms:created xsi:type="dcterms:W3CDTF">2017-06-22T12:35:00Z</dcterms:created>
  <dcterms:modified xsi:type="dcterms:W3CDTF">2017-06-29T09:52:00Z</dcterms:modified>
</cp:coreProperties>
</file>