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C6" w:rsidRDefault="008645C6" w:rsidP="008645C6">
      <w:pPr>
        <w:rPr>
          <w:rFonts w:ascii="Arial" w:hAnsi="Arial"/>
        </w:rPr>
      </w:pPr>
      <w:r>
        <w:rPr>
          <w:rFonts w:ascii="Arial" w:hAnsi="Arial"/>
          <w:b/>
        </w:rPr>
        <w:t xml:space="preserve">Supplemental </w:t>
      </w:r>
      <w:bookmarkStart w:id="0" w:name="_GoBack"/>
      <w:bookmarkEnd w:id="0"/>
      <w:r w:rsidRPr="00BB523C">
        <w:rPr>
          <w:rFonts w:ascii="Arial" w:hAnsi="Arial"/>
          <w:b/>
        </w:rPr>
        <w:t>Table S2.</w:t>
      </w:r>
      <w:r w:rsidRPr="00BB523C">
        <w:rPr>
          <w:rFonts w:ascii="Arial" w:hAnsi="Arial"/>
        </w:rPr>
        <w:t xml:space="preserve"> </w:t>
      </w:r>
      <w:proofErr w:type="gramStart"/>
      <w:r w:rsidRPr="00BB523C">
        <w:rPr>
          <w:rFonts w:ascii="Arial" w:hAnsi="Arial"/>
        </w:rPr>
        <w:t>Gains and</w:t>
      </w:r>
      <w:r w:rsidRPr="0093582B">
        <w:rPr>
          <w:rFonts w:ascii="Arial" w:hAnsi="Arial"/>
        </w:rPr>
        <w:t xml:space="preserve"> losses </w:t>
      </w:r>
      <w:r>
        <w:rPr>
          <w:rFonts w:ascii="Arial" w:hAnsi="Arial"/>
        </w:rPr>
        <w:t xml:space="preserve">of functionally annotated genes </w:t>
      </w:r>
      <w:r w:rsidRPr="0093582B">
        <w:rPr>
          <w:rFonts w:ascii="Arial" w:hAnsi="Arial"/>
        </w:rPr>
        <w:t>in VNBI and VNBII.</w:t>
      </w:r>
      <w:proofErr w:type="gramEnd"/>
      <w:r>
        <w:rPr>
          <w:rFonts w:ascii="Arial" w:hAnsi="Arial"/>
        </w:rPr>
        <w:t xml:space="preserve"> All genes other than those annotated as hypothetical proteins are listed. Representative genes belong to Tu401 (VNBI) and Ze90 (VNBII).</w:t>
      </w:r>
    </w:p>
    <w:tbl>
      <w:tblPr>
        <w:tblStyle w:val="LightShading"/>
        <w:tblW w:w="0" w:type="auto"/>
        <w:tblLook w:val="0620" w:firstRow="1" w:lastRow="0" w:firstColumn="0" w:lastColumn="0" w:noHBand="1" w:noVBand="1"/>
      </w:tblPr>
      <w:tblGrid>
        <w:gridCol w:w="1549"/>
        <w:gridCol w:w="2932"/>
        <w:gridCol w:w="2369"/>
      </w:tblGrid>
      <w:tr w:rsidR="008645C6" w:rsidRPr="00624694" w:rsidTr="006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Category</w:t>
            </w:r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Gene annotation</w:t>
            </w:r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Representative gene</w:t>
            </w:r>
          </w:p>
        </w:tc>
      </w:tr>
      <w:tr w:rsidR="008645C6" w:rsidRPr="00624694" w:rsidTr="00690B04"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VNBI Gains</w:t>
            </w:r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 w:rsidRPr="0093582B">
              <w:rPr>
                <w:rFonts w:ascii="Arial" w:hAnsi="Arial"/>
                <w:sz w:val="22"/>
                <w:szCs w:val="22"/>
              </w:rPr>
              <w:t>α-</w:t>
            </w:r>
            <w:r w:rsidRPr="0093582B">
              <w:rPr>
                <w:rFonts w:ascii="Arial" w:hAnsi="Arial"/>
                <w:sz w:val="22"/>
                <w:szCs w:val="22"/>
              </w:rPr>
              <w:sym w:font="Symbol" w:char="F062"/>
            </w:r>
            <w:r w:rsidRPr="0093582B">
              <w:rPr>
                <w:rFonts w:ascii="Arial" w:hAnsi="Arial"/>
                <w:sz w:val="22"/>
                <w:szCs w:val="22"/>
              </w:rPr>
              <w:t xml:space="preserve"> hydrolase</w:t>
            </w:r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 w:rsidRPr="00CE1BC5">
              <w:rPr>
                <w:rFonts w:ascii="Arial" w:hAnsi="Arial"/>
                <w:sz w:val="22"/>
                <w:szCs w:val="22"/>
              </w:rPr>
              <w:t>C366_00539</w:t>
            </w:r>
          </w:p>
        </w:tc>
      </w:tr>
      <w:tr w:rsidR="008645C6" w:rsidRPr="00624694" w:rsidTr="00690B04">
        <w:tc>
          <w:tcPr>
            <w:tcW w:w="0" w:type="auto"/>
          </w:tcPr>
          <w:p w:rsidR="008645C6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VNBI Losses</w:t>
            </w:r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 w:rsidRPr="002F3ED8">
              <w:rPr>
                <w:rFonts w:ascii="Arial" w:hAnsi="Arial"/>
                <w:sz w:val="22"/>
                <w:szCs w:val="22"/>
              </w:rPr>
              <w:t>phosphopyruvate</w:t>
            </w:r>
            <w:proofErr w:type="spellEnd"/>
            <w:proofErr w:type="gramEnd"/>
            <w:r w:rsidRPr="002F3ED8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2F3ED8">
              <w:rPr>
                <w:rFonts w:ascii="Arial" w:hAnsi="Arial"/>
                <w:sz w:val="22"/>
                <w:szCs w:val="22"/>
              </w:rPr>
              <w:t>hydratase</w:t>
            </w:r>
            <w:proofErr w:type="spellEnd"/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 w:rsidRPr="002F3ED8">
              <w:rPr>
                <w:rFonts w:ascii="Arial" w:hAnsi="Arial"/>
                <w:sz w:val="22"/>
                <w:szCs w:val="22"/>
              </w:rPr>
              <w:t>C367_02389</w:t>
            </w:r>
          </w:p>
        </w:tc>
      </w:tr>
      <w:tr w:rsidR="008645C6" w:rsidRPr="00624694" w:rsidTr="00690B04">
        <w:tc>
          <w:tcPr>
            <w:tcW w:w="0" w:type="auto"/>
          </w:tcPr>
          <w:p w:rsidR="008645C6" w:rsidRDefault="008645C6" w:rsidP="00690B0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8645C6" w:rsidRPr="0093582B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alginate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lyase</w:t>
            </w:r>
            <w:proofErr w:type="spellEnd"/>
          </w:p>
        </w:tc>
        <w:tc>
          <w:tcPr>
            <w:tcW w:w="0" w:type="auto"/>
          </w:tcPr>
          <w:p w:rsidR="008645C6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 w:rsidRPr="002F3ED8">
              <w:rPr>
                <w:rFonts w:ascii="Arial" w:hAnsi="Arial"/>
                <w:sz w:val="22"/>
                <w:szCs w:val="22"/>
              </w:rPr>
              <w:t>C367_02222</w:t>
            </w:r>
          </w:p>
        </w:tc>
      </w:tr>
      <w:tr w:rsidR="008645C6" w:rsidRPr="00624694" w:rsidTr="00690B04"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VNBII Gains</w:t>
            </w:r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 w:rsidRPr="0093582B">
              <w:rPr>
                <w:rFonts w:ascii="Arial" w:hAnsi="Arial"/>
                <w:sz w:val="22"/>
                <w:szCs w:val="22"/>
              </w:rPr>
              <w:t>L-</w:t>
            </w:r>
            <w:proofErr w:type="spellStart"/>
            <w:r w:rsidRPr="0093582B">
              <w:rPr>
                <w:rFonts w:ascii="Arial" w:hAnsi="Arial"/>
                <w:sz w:val="22"/>
                <w:szCs w:val="22"/>
              </w:rPr>
              <w:t>iditol</w:t>
            </w:r>
            <w:proofErr w:type="spellEnd"/>
            <w:r w:rsidRPr="0093582B">
              <w:rPr>
                <w:rFonts w:ascii="Arial" w:hAnsi="Arial"/>
                <w:sz w:val="22"/>
                <w:szCs w:val="22"/>
              </w:rPr>
              <w:t xml:space="preserve"> 2-dehydrogenase</w:t>
            </w:r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 w:rsidRPr="00CE1BC5">
              <w:rPr>
                <w:rFonts w:ascii="Arial" w:hAnsi="Arial"/>
                <w:sz w:val="22"/>
                <w:szCs w:val="22"/>
              </w:rPr>
              <w:t>C367_04669</w:t>
            </w:r>
          </w:p>
        </w:tc>
      </w:tr>
      <w:tr w:rsidR="008645C6" w:rsidRPr="00624694" w:rsidTr="00690B04"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VNBII Losses</w:t>
            </w:r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nuclear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protein</w:t>
            </w:r>
          </w:p>
        </w:tc>
        <w:tc>
          <w:tcPr>
            <w:tcW w:w="0" w:type="auto"/>
          </w:tcPr>
          <w:p w:rsidR="008645C6" w:rsidRPr="00624694" w:rsidRDefault="008645C6" w:rsidP="00690B04">
            <w:pPr>
              <w:rPr>
                <w:rFonts w:ascii="Arial" w:hAnsi="Arial"/>
                <w:sz w:val="22"/>
                <w:szCs w:val="22"/>
              </w:rPr>
            </w:pPr>
            <w:r w:rsidRPr="002F3ED8">
              <w:rPr>
                <w:rFonts w:ascii="Arial" w:hAnsi="Arial"/>
                <w:sz w:val="22"/>
                <w:szCs w:val="22"/>
              </w:rPr>
              <w:t>C366_04628</w:t>
            </w:r>
          </w:p>
        </w:tc>
      </w:tr>
    </w:tbl>
    <w:p w:rsidR="008645C6" w:rsidRDefault="008645C6" w:rsidP="008645C6">
      <w:pPr>
        <w:rPr>
          <w:rFonts w:ascii="Arial" w:hAnsi="Arial"/>
          <w:b/>
        </w:rPr>
      </w:pPr>
    </w:p>
    <w:p w:rsidR="00377419" w:rsidRDefault="00377419"/>
    <w:sectPr w:rsidR="00377419" w:rsidSect="000065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C6"/>
    <w:rsid w:val="00006504"/>
    <w:rsid w:val="00377419"/>
    <w:rsid w:val="0086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F5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8645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8645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Macintosh Word</Application>
  <DocSecurity>0</DocSecurity>
  <Lines>3</Lines>
  <Paragraphs>1</Paragraphs>
  <ScaleCrop>false</ScaleCrop>
  <Company>Broad Institute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Desjardins</dc:creator>
  <cp:keywords/>
  <dc:description/>
  <cp:lastModifiedBy>Chris Desjardins</cp:lastModifiedBy>
  <cp:revision>1</cp:revision>
  <dcterms:created xsi:type="dcterms:W3CDTF">2017-04-20T16:57:00Z</dcterms:created>
  <dcterms:modified xsi:type="dcterms:W3CDTF">2017-04-20T16:58:00Z</dcterms:modified>
</cp:coreProperties>
</file>