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3D" w:rsidRPr="00457901" w:rsidRDefault="0064633D" w:rsidP="0064633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 w:rsidRPr="00457901">
        <w:rPr>
          <w:rFonts w:ascii="Arial" w:hAnsi="Arial" w:cs="Arial"/>
          <w:b/>
        </w:rPr>
        <w:t>Table S</w:t>
      </w:r>
      <w:r>
        <w:rPr>
          <w:rFonts w:ascii="Arial" w:hAnsi="Arial" w:cs="Arial"/>
          <w:b/>
        </w:rPr>
        <w:t>12</w:t>
      </w:r>
      <w:r w:rsidRPr="00457901">
        <w:rPr>
          <w:rFonts w:ascii="Arial" w:hAnsi="Arial" w:cs="Arial"/>
          <w:b/>
        </w:rPr>
        <w:t>.</w:t>
      </w:r>
      <w:r w:rsidRPr="00457901">
        <w:rPr>
          <w:rFonts w:ascii="Arial" w:hAnsi="Arial" w:cs="Arial"/>
        </w:rPr>
        <w:t xml:space="preserve"> Enriched functions in </w:t>
      </w:r>
      <w:proofErr w:type="spellStart"/>
      <w:r w:rsidRPr="00457901">
        <w:rPr>
          <w:rFonts w:ascii="Arial" w:hAnsi="Arial" w:cs="Arial"/>
        </w:rPr>
        <w:t>subtelomeric</w:t>
      </w:r>
      <w:proofErr w:type="spellEnd"/>
      <w:r w:rsidRPr="00457901">
        <w:rPr>
          <w:rFonts w:ascii="Arial" w:hAnsi="Arial" w:cs="Arial"/>
        </w:rPr>
        <w:t xml:space="preserve"> regions under selection identified with the composite likelihood ratio (CLR) test. CLR was calculated for sliding windows of 50 segregating sites, and the top 5% of windows were selected for each lineage. Windows in the first and last 40 </w:t>
      </w:r>
      <w:proofErr w:type="gramStart"/>
      <w:r w:rsidRPr="00457901">
        <w:rPr>
          <w:rFonts w:ascii="Arial" w:hAnsi="Arial" w:cs="Arial"/>
        </w:rPr>
        <w:t>Kb</w:t>
      </w:r>
      <w:proofErr w:type="gramEnd"/>
      <w:r w:rsidRPr="00457901">
        <w:rPr>
          <w:rFonts w:ascii="Arial" w:hAnsi="Arial" w:cs="Arial"/>
        </w:rPr>
        <w:t xml:space="preserve"> of each chromosome were considered </w:t>
      </w:r>
      <w:proofErr w:type="spellStart"/>
      <w:r w:rsidRPr="00457901">
        <w:rPr>
          <w:rFonts w:ascii="Arial" w:hAnsi="Arial" w:cs="Arial"/>
        </w:rPr>
        <w:t>subtelomeric</w:t>
      </w:r>
      <w:proofErr w:type="spellEnd"/>
      <w:r w:rsidRPr="00457901">
        <w:rPr>
          <w:rFonts w:ascii="Arial" w:hAnsi="Arial" w:cs="Arial"/>
        </w:rPr>
        <w:t xml:space="preserve">. PFAM domains of genes within those regions were then compared to domains of the remaining genes using Fisher’s exact test corrected with the </w:t>
      </w:r>
      <w:proofErr w:type="spellStart"/>
      <w:r w:rsidRPr="00457901">
        <w:rPr>
          <w:rFonts w:ascii="Arial" w:hAnsi="Arial" w:cs="Arial"/>
        </w:rPr>
        <w:t>Benjamini</w:t>
      </w:r>
      <w:proofErr w:type="spellEnd"/>
      <w:r w:rsidRPr="00457901">
        <w:rPr>
          <w:rFonts w:ascii="Arial" w:hAnsi="Arial" w:cs="Arial"/>
        </w:rPr>
        <w:t>-Hochberg method for multiple comparisons.</w:t>
      </w:r>
    </w:p>
    <w:tbl>
      <w:tblPr>
        <w:tblStyle w:val="LightShading"/>
        <w:tblW w:w="0" w:type="auto"/>
        <w:tblLayout w:type="fixed"/>
        <w:tblLook w:val="0620" w:firstRow="1" w:lastRow="0" w:firstColumn="0" w:lastColumn="0" w:noHBand="1" w:noVBand="1"/>
      </w:tblPr>
      <w:tblGrid>
        <w:gridCol w:w="4788"/>
        <w:gridCol w:w="1170"/>
        <w:gridCol w:w="1170"/>
        <w:gridCol w:w="1080"/>
      </w:tblGrid>
      <w:tr w:rsidR="0064633D" w:rsidRPr="00457901" w:rsidTr="0069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PFAM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VNI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VNBI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VNBII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PF00083 Sugar transporter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1.7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6.0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4.3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PF07690 MFS transporter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1.2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1.4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3.0</w:t>
            </w:r>
            <w:r w:rsidRPr="0046261E">
              <w:rPr>
                <w:rFonts w:ascii="Arial" w:hAnsi="Arial" w:cs="Arial"/>
                <w:sz w:val="22"/>
                <w:szCs w:val="22"/>
              </w:rPr>
              <w:t>×10</w:t>
            </w:r>
            <w:r w:rsidRPr="0046261E">
              <w:rPr>
                <w:rFonts w:ascii="Arial" w:hAnsi="Arial" w:cs="Arial"/>
                <w:sz w:val="22"/>
                <w:szCs w:val="22"/>
                <w:vertAlign w:val="superscript"/>
              </w:rPr>
              <w:t>-5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PF04082 Fungal specific transcription factor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 w:rsidRPr="0045790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 w:rsidRPr="0045790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PF02894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Oxidoreductase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family, C-terminal alpha/beta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PF13738 Pyridine nucleotide-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disulphide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oxidoreductase</w:t>
            </w:r>
            <w:proofErr w:type="spellEnd"/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PF13434 L-lysine 6-monooxygenase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0.020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PF00743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Flavin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-binding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monooxygenase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>-like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0.030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PF01408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Oxidoreductase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family, NAD-binding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Rossmann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fold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0.0030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>PF07691 PA14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PF00933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Glycosyl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hydrolase family 3 N terminal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PF01915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Glycosyl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hydrolase family 3 C-terminal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PF14310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Fibronectin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 type III-like domain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</w:t>
            </w:r>
            <w:r w:rsidRPr="00457901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4633D" w:rsidRPr="00457901" w:rsidTr="00690B04">
        <w:tc>
          <w:tcPr>
            <w:tcW w:w="4788" w:type="dxa"/>
          </w:tcPr>
          <w:p w:rsidR="0064633D" w:rsidRPr="00457901" w:rsidRDefault="0064633D" w:rsidP="00690B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PF05721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Phytanoyl</w:t>
            </w:r>
            <w:proofErr w:type="spellEnd"/>
            <w:r w:rsidRPr="00457901">
              <w:rPr>
                <w:rFonts w:ascii="Arial" w:hAnsi="Arial" w:cs="Arial"/>
                <w:bCs/>
                <w:sz w:val="22"/>
                <w:szCs w:val="22"/>
              </w:rPr>
              <w:t xml:space="preserve">-CoA </w:t>
            </w:r>
            <w:proofErr w:type="spellStart"/>
            <w:r w:rsidRPr="00457901">
              <w:rPr>
                <w:rFonts w:ascii="Arial" w:hAnsi="Arial" w:cs="Arial"/>
                <w:bCs/>
                <w:sz w:val="22"/>
                <w:szCs w:val="22"/>
              </w:rPr>
              <w:t>dioxygenase</w:t>
            </w:r>
            <w:proofErr w:type="spellEnd"/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7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 w:rsidRPr="0045790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80" w:type="dxa"/>
          </w:tcPr>
          <w:p w:rsidR="0064633D" w:rsidRPr="00457901" w:rsidRDefault="0064633D" w:rsidP="00690B04">
            <w:pPr>
              <w:rPr>
                <w:rFonts w:ascii="Arial" w:hAnsi="Arial" w:cs="Arial"/>
                <w:sz w:val="22"/>
                <w:szCs w:val="22"/>
              </w:rPr>
            </w:pPr>
            <w:r w:rsidRPr="0045790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4633D" w:rsidRPr="00457901" w:rsidRDefault="0064633D" w:rsidP="0064633D">
      <w:pPr>
        <w:rPr>
          <w:rFonts w:ascii="Arial" w:hAnsi="Arial" w:cs="Arial"/>
          <w:b/>
          <w:sz w:val="22"/>
          <w:szCs w:val="22"/>
        </w:rPr>
      </w:pPr>
    </w:p>
    <w:p w:rsidR="0064633D" w:rsidRPr="00457901" w:rsidRDefault="0064633D" w:rsidP="0064633D">
      <w:pPr>
        <w:rPr>
          <w:rFonts w:ascii="Arial" w:hAnsi="Arial" w:cs="Arial"/>
        </w:rPr>
      </w:pPr>
    </w:p>
    <w:p w:rsidR="00377419" w:rsidRDefault="00377419"/>
    <w:sectPr w:rsidR="00377419" w:rsidSect="000065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3D"/>
    <w:rsid w:val="00006504"/>
    <w:rsid w:val="00377419"/>
    <w:rsid w:val="0064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6F59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4633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4633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Macintosh Word</Application>
  <DocSecurity>0</DocSecurity>
  <Lines>9</Lines>
  <Paragraphs>2</Paragraphs>
  <ScaleCrop>false</ScaleCrop>
  <Company>Broad Institute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Desjardins</dc:creator>
  <cp:keywords/>
  <dc:description/>
  <cp:lastModifiedBy>Chris Desjardins</cp:lastModifiedBy>
  <cp:revision>1</cp:revision>
  <dcterms:created xsi:type="dcterms:W3CDTF">2017-04-20T17:03:00Z</dcterms:created>
  <dcterms:modified xsi:type="dcterms:W3CDTF">2017-04-20T17:03:00Z</dcterms:modified>
</cp:coreProperties>
</file>