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5142A" w14:textId="5BDB3930" w:rsidR="00AA4856" w:rsidRPr="00CE5C7B" w:rsidRDefault="006B47D8" w:rsidP="00CE5C7B">
      <w:pPr>
        <w:spacing w:line="360" w:lineRule="auto"/>
        <w:rPr>
          <w:rFonts w:ascii="Arial" w:hAnsi="Arial"/>
          <w:b/>
          <w:sz w:val="22"/>
          <w:szCs w:val="22"/>
        </w:rPr>
      </w:pPr>
      <w:r>
        <w:rPr>
          <w:rFonts w:ascii="Arial" w:hAnsi="Arial"/>
          <w:b/>
          <w:sz w:val="22"/>
          <w:szCs w:val="22"/>
        </w:rPr>
        <w:t>Supplemental Methods</w:t>
      </w:r>
    </w:p>
    <w:p w14:paraId="36B37FD8" w14:textId="77777777" w:rsidR="00AA4856" w:rsidRPr="00CE5C7B" w:rsidRDefault="00AA4856" w:rsidP="00CE5C7B">
      <w:pPr>
        <w:spacing w:line="360" w:lineRule="auto"/>
        <w:rPr>
          <w:rFonts w:ascii="Arial" w:hAnsi="Arial"/>
          <w:sz w:val="22"/>
          <w:szCs w:val="22"/>
        </w:rPr>
      </w:pPr>
    </w:p>
    <w:p w14:paraId="415F4CFE" w14:textId="21D00AD4" w:rsidR="0022530E" w:rsidRDefault="0022530E" w:rsidP="00CE5C7B">
      <w:pPr>
        <w:spacing w:line="360" w:lineRule="auto"/>
        <w:rPr>
          <w:rFonts w:ascii="Arial" w:hAnsi="Arial"/>
          <w:b/>
          <w:sz w:val="22"/>
          <w:szCs w:val="22"/>
        </w:rPr>
      </w:pPr>
      <w:r>
        <w:rPr>
          <w:rFonts w:ascii="Arial" w:hAnsi="Arial"/>
          <w:b/>
          <w:sz w:val="22"/>
          <w:szCs w:val="22"/>
        </w:rPr>
        <w:t>Sample Selection</w:t>
      </w:r>
    </w:p>
    <w:p w14:paraId="6C916B58" w14:textId="0D4B8127" w:rsidR="0022530E" w:rsidRDefault="0022530E" w:rsidP="00CE5C7B">
      <w:pPr>
        <w:spacing w:line="360" w:lineRule="auto"/>
        <w:rPr>
          <w:rFonts w:ascii="Arial" w:hAnsi="Arial"/>
          <w:b/>
          <w:sz w:val="22"/>
          <w:szCs w:val="22"/>
        </w:rPr>
      </w:pPr>
      <w:r>
        <w:rPr>
          <w:rFonts w:ascii="Arial" w:hAnsi="Arial" w:cs="Arial"/>
          <w:sz w:val="22"/>
          <w:szCs w:val="22"/>
        </w:rPr>
        <w:t>The majority of isolates, particularly VNB isolates,</w:t>
      </w:r>
      <w:r w:rsidRPr="003B705D">
        <w:rPr>
          <w:rFonts w:ascii="Arial" w:hAnsi="Arial" w:cs="Arial"/>
          <w:sz w:val="22"/>
          <w:szCs w:val="22"/>
        </w:rPr>
        <w:t xml:space="preserve"> were collected in Botswana and came from five localities: 1) clinical samples from Princess Marina Hospital, a major referral hospital in southern Botswana; 2) clinical samples from </w:t>
      </w:r>
      <w:proofErr w:type="spellStart"/>
      <w:r w:rsidRPr="003B705D">
        <w:rPr>
          <w:rFonts w:ascii="Arial" w:hAnsi="Arial" w:cs="Arial"/>
          <w:sz w:val="22"/>
          <w:szCs w:val="22"/>
        </w:rPr>
        <w:t>Nyangabgwe</w:t>
      </w:r>
      <w:proofErr w:type="spellEnd"/>
      <w:r w:rsidRPr="003B705D">
        <w:rPr>
          <w:rFonts w:ascii="Arial" w:hAnsi="Arial" w:cs="Arial"/>
          <w:sz w:val="22"/>
          <w:szCs w:val="22"/>
        </w:rPr>
        <w:t xml:space="preserve"> Referral Hospital, a referral hospital in northeastern Botswana; 3) from trees in the vicinity of Gaborone, where the Princess Marina is located; 4) from trees in the vicinity of Francistown, where </w:t>
      </w:r>
      <w:proofErr w:type="spellStart"/>
      <w:r w:rsidRPr="003B705D">
        <w:rPr>
          <w:rFonts w:ascii="Arial" w:hAnsi="Arial" w:cs="Arial"/>
          <w:sz w:val="22"/>
          <w:szCs w:val="22"/>
        </w:rPr>
        <w:t>Nyangabgwe</w:t>
      </w:r>
      <w:proofErr w:type="spellEnd"/>
      <w:r w:rsidRPr="003B705D">
        <w:rPr>
          <w:rFonts w:ascii="Arial" w:hAnsi="Arial" w:cs="Arial"/>
          <w:sz w:val="22"/>
          <w:szCs w:val="22"/>
        </w:rPr>
        <w:t xml:space="preserve"> Referral Hospital is located; and 5) from trees in the vicinity of Maun, in north-central Botswana.</w:t>
      </w:r>
      <w:r>
        <w:rPr>
          <w:rFonts w:ascii="Arial" w:hAnsi="Arial" w:cs="Arial"/>
          <w:sz w:val="22"/>
          <w:szCs w:val="22"/>
        </w:rPr>
        <w:t xml:space="preserve"> See </w:t>
      </w:r>
      <w:r>
        <w:rPr>
          <w:rFonts w:ascii="Arial" w:hAnsi="Arial" w:cs="Arial"/>
          <w:sz w:val="22"/>
          <w:szCs w:val="22"/>
        </w:rPr>
        <w:fldChar w:fldCharType="begin"/>
      </w:r>
      <w:r>
        <w:rPr>
          <w:rFonts w:ascii="Arial" w:hAnsi="Arial" w:cs="Arial"/>
          <w:sz w:val="22"/>
          <w:szCs w:val="22"/>
        </w:rPr>
        <w:instrText xml:space="preserve"> ADDIN ZOTERO_ITEM CSL_CITATION {"citationID":"TdjBXPjR","properties":{"formattedCitation":"(Chen et al. 2015)","plainCitation":"(Chen et al. 2015)"},"citationItems":[{"id":1111,"uris":["http://zotero.org/users/local/AH3MnjOo/items/H6QCG27B"],"uri":["http://zotero.org/users/local/AH3MnjOo/items/H6QCG27B"],"itemData":{"id":1111,"type":"article-journal","title":"Comparative analyses of clinical and environmental populations of &lt;i&gt;Cryptococcus neoformans&lt;/i&gt; in Botswana","container-title":"Molecular Ecology","page":"3559-3571","volume":"24","issue":"14","source":"Wiley Online Library","abstract":"Cryptococcus neoformans var. grubii (Cng) is the most common cause of fungal meningitis, and its prevalence is highest in sub-Saharan Africa. Patients become infected by inhaling airborne spores or desiccated yeast cells from the environment, where the fungus thrives in avian droppings, trees and soil. To investigate the prevalence and population structure of Cng in southern Africa, we analysed isolates from 77 environmental samples and 64 patients. We detected significant genetic diversity among isolates and strong evidence of geographic structure at the local level. High proportions of isolates with the rare MATa allele were observed in both clinical and environmental isolates; however, the mating-type alleles were unevenly distributed among different subpopulations. Nearly equal proportions of the MATa and MATα mating types were observed among all clinical isolates and in one environmental subpopulation from the eastern part of Botswana. As previously reported, there was evidence of both clonality and recombination in different geographic areas. These results provide a foundation for subsequent genomewide association studies to identify genes and genotypes linked to pathogenicity in humans.","DOI":"10.1111/mec.13260","ISSN":"1365-294X","journalAbbreviation":"Mol Ecol","language":"en","author":[{"family":"Chen","given":"Yuan"},{"family":"Litvintseva","given":"Anastasia P."},{"family":"Frazzitta","given":"Aubrey E."},{"family":"Haverkamp","given":"Miriam R."},{"family":"Wang","given":"Liuyang"},{"family":"Fang","given":"Charles"},{"family":"Muthoga","given":"Charles"},{"family":"Mitchell","given":"Thomas G."},{"family":"Perfect","given":"John R."}],"issued":{"date-parts":[["2015",7,1]]}}}],"schema":"https://github.com/citation-style-language/schema/raw/master/csl-citation.json"} </w:instrText>
      </w:r>
      <w:r>
        <w:rPr>
          <w:rFonts w:ascii="Arial" w:hAnsi="Arial" w:cs="Arial"/>
          <w:sz w:val="22"/>
          <w:szCs w:val="22"/>
        </w:rPr>
        <w:fldChar w:fldCharType="separate"/>
      </w:r>
      <w:r>
        <w:rPr>
          <w:rFonts w:ascii="Arial" w:hAnsi="Arial" w:cs="Arial"/>
          <w:noProof/>
          <w:sz w:val="22"/>
          <w:szCs w:val="22"/>
        </w:rPr>
        <w:t>(Chen et al. 2015)</w:t>
      </w:r>
      <w:r>
        <w:rPr>
          <w:rFonts w:ascii="Arial" w:hAnsi="Arial" w:cs="Arial"/>
          <w:sz w:val="22"/>
          <w:szCs w:val="22"/>
        </w:rPr>
        <w:fldChar w:fldCharType="end"/>
      </w:r>
      <w:r>
        <w:rPr>
          <w:rFonts w:ascii="Arial" w:hAnsi="Arial" w:cs="Arial"/>
          <w:sz w:val="22"/>
          <w:szCs w:val="22"/>
        </w:rPr>
        <w:t xml:space="preserve"> for more details.</w:t>
      </w:r>
    </w:p>
    <w:p w14:paraId="00197B07" w14:textId="77777777" w:rsidR="0022530E" w:rsidRDefault="0022530E" w:rsidP="00CE5C7B">
      <w:pPr>
        <w:spacing w:line="360" w:lineRule="auto"/>
        <w:rPr>
          <w:rFonts w:ascii="Arial" w:hAnsi="Arial"/>
          <w:b/>
          <w:sz w:val="22"/>
          <w:szCs w:val="22"/>
        </w:rPr>
      </w:pPr>
    </w:p>
    <w:p w14:paraId="6430B9B2" w14:textId="77777777" w:rsidR="00AA4856" w:rsidRDefault="00AA4856" w:rsidP="00CE5C7B">
      <w:pPr>
        <w:spacing w:line="360" w:lineRule="auto"/>
        <w:rPr>
          <w:rFonts w:ascii="Arial" w:hAnsi="Arial"/>
          <w:b/>
          <w:sz w:val="22"/>
          <w:szCs w:val="22"/>
        </w:rPr>
      </w:pPr>
      <w:r>
        <w:rPr>
          <w:rFonts w:ascii="Arial" w:hAnsi="Arial"/>
          <w:b/>
          <w:sz w:val="22"/>
          <w:szCs w:val="22"/>
        </w:rPr>
        <w:t>Sample Preparation</w:t>
      </w:r>
    </w:p>
    <w:p w14:paraId="0466098C" w14:textId="5988FDF9" w:rsidR="00AA4856" w:rsidRDefault="00AA4856" w:rsidP="00CE5C7B">
      <w:pPr>
        <w:spacing w:line="360" w:lineRule="auto"/>
        <w:rPr>
          <w:rFonts w:ascii="Arial" w:hAnsi="Arial" w:cs="Arial"/>
          <w:sz w:val="22"/>
          <w:szCs w:val="22"/>
        </w:rPr>
      </w:pPr>
      <w:r w:rsidRPr="003B705D">
        <w:rPr>
          <w:rFonts w:ascii="Arial" w:hAnsi="Arial" w:cs="Arial"/>
          <w:sz w:val="22"/>
          <w:szCs w:val="22"/>
        </w:rPr>
        <w:t>Strains were grown overnight in 10 ml YPD at 30</w:t>
      </w:r>
      <w:r w:rsidRPr="003B705D">
        <w:rPr>
          <w:rFonts w:ascii="Arial" w:hAnsi="Arial" w:cs="Arial"/>
          <w:sz w:val="22"/>
          <w:szCs w:val="22"/>
        </w:rPr>
        <w:sym w:font="Symbol" w:char="F0B0"/>
      </w:r>
      <w:r w:rsidRPr="003B705D">
        <w:rPr>
          <w:rFonts w:ascii="Arial" w:hAnsi="Arial" w:cs="Arial"/>
          <w:sz w:val="22"/>
          <w:szCs w:val="22"/>
        </w:rPr>
        <w:t xml:space="preserve">C in shaking incubator (225 rpm). The cell pellets were processed for genomic DNA isolation using the </w:t>
      </w:r>
      <w:proofErr w:type="spellStart"/>
      <w:r w:rsidRPr="003B705D">
        <w:rPr>
          <w:rFonts w:ascii="Arial" w:hAnsi="Arial" w:cs="Arial"/>
          <w:sz w:val="22"/>
          <w:szCs w:val="22"/>
        </w:rPr>
        <w:t>MasterPure</w:t>
      </w:r>
      <w:proofErr w:type="spellEnd"/>
      <w:r w:rsidRPr="003B705D">
        <w:rPr>
          <w:rFonts w:ascii="Arial" w:hAnsi="Arial" w:cs="Arial"/>
          <w:sz w:val="22"/>
          <w:szCs w:val="22"/>
        </w:rPr>
        <w:t xml:space="preserve"> Yeast DNA Purification Kit (</w:t>
      </w:r>
      <w:proofErr w:type="spellStart"/>
      <w:r w:rsidRPr="003B705D">
        <w:rPr>
          <w:rFonts w:ascii="Arial" w:hAnsi="Arial" w:cs="Arial"/>
          <w:sz w:val="22"/>
          <w:szCs w:val="22"/>
        </w:rPr>
        <w:t>Epicentre</w:t>
      </w:r>
      <w:proofErr w:type="spellEnd"/>
      <w:r w:rsidRPr="003B705D">
        <w:rPr>
          <w:rFonts w:ascii="Arial" w:hAnsi="Arial" w:cs="Arial"/>
          <w:sz w:val="22"/>
          <w:szCs w:val="22"/>
        </w:rPr>
        <w:t>, Madison, WI). The cells were incubated for 1 hour at 65</w:t>
      </w:r>
      <w:r w:rsidRPr="003B705D">
        <w:rPr>
          <w:rFonts w:ascii="Arial" w:hAnsi="Arial" w:cs="Arial"/>
          <w:sz w:val="22"/>
          <w:szCs w:val="22"/>
        </w:rPr>
        <w:sym w:font="Symbol" w:char="F0B0"/>
      </w:r>
      <w:r w:rsidRPr="003B705D">
        <w:rPr>
          <w:rFonts w:ascii="Arial" w:hAnsi="Arial" w:cs="Arial"/>
          <w:sz w:val="22"/>
          <w:szCs w:val="22"/>
        </w:rPr>
        <w:t xml:space="preserve">C in the cell </w:t>
      </w:r>
      <w:proofErr w:type="spellStart"/>
      <w:r w:rsidRPr="003B705D">
        <w:rPr>
          <w:rFonts w:ascii="Arial" w:hAnsi="Arial" w:cs="Arial"/>
          <w:sz w:val="22"/>
          <w:szCs w:val="22"/>
        </w:rPr>
        <w:t>lysis</w:t>
      </w:r>
      <w:proofErr w:type="spellEnd"/>
      <w:r w:rsidRPr="003B705D">
        <w:rPr>
          <w:rFonts w:ascii="Arial" w:hAnsi="Arial" w:cs="Arial"/>
          <w:sz w:val="22"/>
          <w:szCs w:val="22"/>
        </w:rPr>
        <w:t xml:space="preserve"> solution and then were treated twice with 5 µl 5 µg/µl </w:t>
      </w:r>
      <w:proofErr w:type="spellStart"/>
      <w:r w:rsidRPr="003B705D">
        <w:rPr>
          <w:rFonts w:ascii="Arial" w:hAnsi="Arial" w:cs="Arial"/>
          <w:sz w:val="22"/>
          <w:szCs w:val="22"/>
        </w:rPr>
        <w:t>RNase</w:t>
      </w:r>
      <w:proofErr w:type="spellEnd"/>
      <w:r w:rsidRPr="003B705D">
        <w:rPr>
          <w:rFonts w:ascii="Arial" w:hAnsi="Arial" w:cs="Arial"/>
          <w:sz w:val="22"/>
          <w:szCs w:val="22"/>
        </w:rPr>
        <w:t xml:space="preserve"> A. A </w:t>
      </w:r>
      <w:proofErr w:type="spellStart"/>
      <w:r w:rsidRPr="003B705D">
        <w:rPr>
          <w:rFonts w:ascii="Arial" w:hAnsi="Arial" w:cs="Arial"/>
          <w:sz w:val="22"/>
          <w:szCs w:val="22"/>
        </w:rPr>
        <w:t>lypophilization</w:t>
      </w:r>
      <w:proofErr w:type="spellEnd"/>
      <w:r w:rsidRPr="003B705D">
        <w:rPr>
          <w:rFonts w:ascii="Arial" w:hAnsi="Arial" w:cs="Arial"/>
          <w:sz w:val="22"/>
          <w:szCs w:val="22"/>
        </w:rPr>
        <w:t xml:space="preserve"> step was included for extraction of genomic DNA from cell pellets that were loose. The dried pellets were then pulverized by </w:t>
      </w:r>
      <w:proofErr w:type="spellStart"/>
      <w:r w:rsidRPr="003B705D">
        <w:rPr>
          <w:rFonts w:ascii="Arial" w:hAnsi="Arial" w:cs="Arial"/>
          <w:sz w:val="22"/>
          <w:szCs w:val="22"/>
        </w:rPr>
        <w:t>vortexing</w:t>
      </w:r>
      <w:proofErr w:type="spellEnd"/>
      <w:r w:rsidRPr="003B705D">
        <w:rPr>
          <w:rFonts w:ascii="Arial" w:hAnsi="Arial" w:cs="Arial"/>
          <w:sz w:val="22"/>
          <w:szCs w:val="22"/>
        </w:rPr>
        <w:t xml:space="preserve"> in a tube containing 3 mm glass beads.</w:t>
      </w:r>
    </w:p>
    <w:p w14:paraId="7784298C" w14:textId="77777777" w:rsidR="00AA4856" w:rsidRDefault="00AA4856" w:rsidP="00CE5C7B">
      <w:pPr>
        <w:spacing w:line="360" w:lineRule="auto"/>
        <w:rPr>
          <w:rFonts w:ascii="Arial" w:hAnsi="Arial"/>
          <w:b/>
          <w:sz w:val="22"/>
          <w:szCs w:val="22"/>
        </w:rPr>
      </w:pPr>
    </w:p>
    <w:p w14:paraId="58BFF08A" w14:textId="3C50D1D5" w:rsidR="00AA4856" w:rsidRPr="00CE5C7B" w:rsidRDefault="00AA4856" w:rsidP="00CE5C7B">
      <w:pPr>
        <w:spacing w:line="360" w:lineRule="auto"/>
        <w:rPr>
          <w:rFonts w:ascii="Arial" w:hAnsi="Arial"/>
          <w:b/>
          <w:sz w:val="22"/>
          <w:szCs w:val="22"/>
        </w:rPr>
      </w:pPr>
      <w:r w:rsidRPr="00CE5C7B">
        <w:rPr>
          <w:rFonts w:ascii="Arial" w:hAnsi="Arial"/>
          <w:b/>
          <w:sz w:val="22"/>
          <w:szCs w:val="22"/>
        </w:rPr>
        <w:t>Variant Identification</w:t>
      </w:r>
    </w:p>
    <w:p w14:paraId="674928D5" w14:textId="697C6086" w:rsidR="00AA4856" w:rsidRDefault="00AA4856" w:rsidP="00CE5C7B">
      <w:pPr>
        <w:spacing w:line="360" w:lineRule="auto"/>
        <w:rPr>
          <w:rFonts w:ascii="Arial" w:hAnsi="Arial" w:cs="Arial"/>
          <w:sz w:val="22"/>
          <w:szCs w:val="22"/>
        </w:rPr>
      </w:pPr>
      <w:r w:rsidRPr="00AA4856">
        <w:rPr>
          <w:rFonts w:ascii="Arial" w:hAnsi="Arial" w:cs="Arial"/>
          <w:sz w:val="22"/>
          <w:szCs w:val="22"/>
        </w:rPr>
        <w:t xml:space="preserve">Variants were then identified using GATK version 3.4 </w:t>
      </w:r>
      <w:r w:rsidRPr="00AA4856">
        <w:rPr>
          <w:rFonts w:ascii="Arial" w:hAnsi="Arial" w:cs="Arial"/>
          <w:sz w:val="22"/>
          <w:szCs w:val="22"/>
        </w:rPr>
        <w:fldChar w:fldCharType="begin"/>
      </w:r>
      <w:r w:rsidRPr="00AA4856">
        <w:rPr>
          <w:rFonts w:ascii="Arial" w:hAnsi="Arial" w:cs="Arial"/>
          <w:sz w:val="22"/>
          <w:szCs w:val="22"/>
        </w:rPr>
        <w:instrText xml:space="preserve"> ADDIN ZOTERO_ITEM CSL_CITATION {"citationID":"7m8vab7r2","properties":{"formattedCitation":"(McKenna et al. 2010)","plainCitation":"(McKenna et al. 2010)"},"citationItems":[{"id":668,"uris":["http://zotero.org/users/local/AH3MnjOo/items/NCAAG7MH"],"uri":["http://zotero.org/users/local/AH3MnjOo/items/NCAAG7MH"],"itemData":{"id":668,"type":"article-journal","title":"The Genome Analysis Toolkit: a MapReduce framework for analyzing next-generation DNA sequencing data","container-title":"Genome Research","page":"1297-1303","volume":"20","issue":"9","source":"genome.cshlp.org","abstract":"Next-generation DNA sequencing (NGS) projects, such as the 1000 Genomes Project, are already revolutionizing our understanding of genetic variation among individuals. However, the massive data sets generated by NGS—the 1000 Genome pilot alone includes nearly five terabases—make writing feature-rich, efficient, and robust analysis tools difficult for even computationally sophisticated individuals. Indeed, many professionals are limited in the scope and the ease with which they can answer scientific questions by the complexity of accessing and manipulating the data produced by these machines. Here, we discuss our Genome Analysis Toolkit (GATK), a structured programming framework designed to ease the development of efficient and robust analysis tools for next-generation DNA sequencers using the functional programming philosophy of MapReduce. The GATK provides a small but rich set of data access patterns that encompass the majority of analysis tool needs. Separating specific analysis calculations from common data management infrastructure enables us to optimize the GATK framework for correctness, stability, and CPU and memory efficiency and to enable distributed and shared memory parallelization. We highlight the capabilities of the GATK by describing the implementation and application of robust, scale-tolerant tools like coverage calculators and single nucleotide polymorphism (SNP) calling. We conclude that the GATK programming framework enables developers and analysts to quickly and easily write efficient and robust NGS tools, many of which have already been incorporated into large-scale sequencing projects like the 1000 Genomes Project and The Cancer Genome Atlas.","DOI":"10.1101/gr.107524.110","ISSN":"1088-9051, 1549-5469","note":"PMID: 20644199","shortTitle":"The Genome Analysis Toolkit","journalAbbreviation":"Genome Res.","language":"en","author":[{"family":"McKenna","given":"Aaron"},{"family":"Hanna","given":"Matthew"},{"family":"Banks","given":"Eric"},{"family":"Sivachenko","given":"Andrey"},{"family":"Cibulskis","given":"Kristian"},{"family":"Kernytsky","given":"Andrew"},{"family":"Garimella","given":"Kiran"},{"family":"Altshuler","given":"David"},{"family":"Gabriel","given":"Stacey"},{"family":"Daly","given":"Mark"},{"family":"DePristo","given":"Mark A."}],"issued":{"date-parts":[["2010",9,1]]}}}],"schema":"https://github.com/citation-style-language/schema/raw/master/csl-citation.json"} </w:instrText>
      </w:r>
      <w:r w:rsidRPr="00AA4856">
        <w:rPr>
          <w:rFonts w:ascii="Arial" w:hAnsi="Arial" w:cs="Arial"/>
          <w:sz w:val="22"/>
          <w:szCs w:val="22"/>
        </w:rPr>
        <w:fldChar w:fldCharType="separate"/>
      </w:r>
      <w:r w:rsidRPr="00AA4856">
        <w:rPr>
          <w:rFonts w:ascii="Arial" w:hAnsi="Arial"/>
          <w:sz w:val="22"/>
          <w:szCs w:val="22"/>
        </w:rPr>
        <w:t>(McKenna et al. 2010)</w:t>
      </w:r>
      <w:r w:rsidRPr="00AA4856">
        <w:rPr>
          <w:rFonts w:ascii="Arial" w:hAnsi="Arial" w:cs="Arial"/>
          <w:sz w:val="22"/>
          <w:szCs w:val="22"/>
        </w:rPr>
        <w:fldChar w:fldCharType="end"/>
      </w:r>
      <w:r w:rsidRPr="00AA4856">
        <w:rPr>
          <w:rFonts w:ascii="Arial" w:hAnsi="Arial" w:cs="Arial"/>
          <w:sz w:val="22"/>
          <w:szCs w:val="22"/>
        </w:rPr>
        <w:t xml:space="preserve"> as described. Briefly, </w:t>
      </w:r>
      <w:proofErr w:type="spellStart"/>
      <w:r w:rsidRPr="00AA4856">
        <w:rPr>
          <w:rFonts w:ascii="Arial" w:hAnsi="Arial" w:cs="Arial"/>
          <w:sz w:val="22"/>
          <w:szCs w:val="22"/>
        </w:rPr>
        <w:t>indels</w:t>
      </w:r>
      <w:proofErr w:type="spellEnd"/>
      <w:r w:rsidRPr="00AA4856">
        <w:rPr>
          <w:rFonts w:ascii="Arial" w:hAnsi="Arial" w:cs="Arial"/>
          <w:sz w:val="22"/>
          <w:szCs w:val="22"/>
        </w:rPr>
        <w:t xml:space="preserve"> were locally realigned, </w:t>
      </w:r>
      <w:proofErr w:type="spellStart"/>
      <w:r w:rsidRPr="00AA4856">
        <w:rPr>
          <w:rFonts w:ascii="Arial" w:hAnsi="Arial" w:cs="Arial"/>
          <w:sz w:val="22"/>
          <w:szCs w:val="22"/>
        </w:rPr>
        <w:t>haplotypeCaller</w:t>
      </w:r>
      <w:proofErr w:type="spellEnd"/>
      <w:r w:rsidRPr="00AA4856">
        <w:rPr>
          <w:rFonts w:ascii="Arial" w:hAnsi="Arial" w:cs="Arial"/>
          <w:sz w:val="22"/>
          <w:szCs w:val="22"/>
        </w:rPr>
        <w:t xml:space="preserve"> was invoked in GVCF mode with </w:t>
      </w:r>
      <w:proofErr w:type="spellStart"/>
      <w:r w:rsidRPr="00AA4856">
        <w:rPr>
          <w:rFonts w:ascii="Arial" w:hAnsi="Arial" w:cs="Arial"/>
          <w:sz w:val="22"/>
          <w:szCs w:val="22"/>
        </w:rPr>
        <w:t>ploidy</w:t>
      </w:r>
      <w:proofErr w:type="spellEnd"/>
      <w:r w:rsidRPr="00AA4856">
        <w:rPr>
          <w:rFonts w:ascii="Arial" w:hAnsi="Arial" w:cs="Arial"/>
          <w:sz w:val="22"/>
          <w:szCs w:val="22"/>
        </w:rPr>
        <w:t xml:space="preserve"> = 1, and </w:t>
      </w:r>
      <w:proofErr w:type="spellStart"/>
      <w:r w:rsidRPr="00AA4856">
        <w:rPr>
          <w:rFonts w:ascii="Arial" w:hAnsi="Arial" w:cs="Arial"/>
          <w:sz w:val="22"/>
          <w:szCs w:val="22"/>
        </w:rPr>
        <w:t>genotypeGVCFs</w:t>
      </w:r>
      <w:proofErr w:type="spellEnd"/>
      <w:r w:rsidRPr="00AA4856">
        <w:rPr>
          <w:rFonts w:ascii="Arial" w:hAnsi="Arial" w:cs="Arial"/>
          <w:sz w:val="22"/>
          <w:szCs w:val="22"/>
        </w:rPr>
        <w:t xml:space="preserve"> was used to predict variants in each strain. All VCFs were then combined and sites were filtered us</w:t>
      </w:r>
      <w:r w:rsidRPr="0004438F">
        <w:rPr>
          <w:rFonts w:ascii="Arial" w:hAnsi="Arial" w:cs="Arial"/>
          <w:sz w:val="22"/>
          <w:szCs w:val="22"/>
        </w:rPr>
        <w:t xml:space="preserve">ing </w:t>
      </w:r>
      <w:proofErr w:type="spellStart"/>
      <w:r w:rsidRPr="0004438F">
        <w:rPr>
          <w:rFonts w:ascii="Arial" w:hAnsi="Arial" w:cs="Arial"/>
          <w:sz w:val="22"/>
          <w:szCs w:val="22"/>
        </w:rPr>
        <w:t>variantFiltration</w:t>
      </w:r>
      <w:proofErr w:type="spellEnd"/>
      <w:r w:rsidRPr="0004438F">
        <w:rPr>
          <w:rFonts w:ascii="Arial" w:hAnsi="Arial" w:cs="Arial"/>
          <w:sz w:val="22"/>
          <w:szCs w:val="22"/>
        </w:rPr>
        <w:t xml:space="preserve"> with QD &lt; 2.0, FS &gt; 60.0, and MQ &lt; 40.0. Individual genotypes were then filtered if the minimum genotype quality &lt; 50, percent alternate allele &lt; 0.8, or depth &lt; 10.</w:t>
      </w:r>
    </w:p>
    <w:p w14:paraId="109CBBF6" w14:textId="77777777" w:rsidR="0004438F" w:rsidRDefault="0004438F" w:rsidP="00CE5C7B">
      <w:pPr>
        <w:spacing w:line="360" w:lineRule="auto"/>
        <w:rPr>
          <w:rFonts w:ascii="Arial" w:hAnsi="Arial" w:cs="Arial"/>
          <w:sz w:val="22"/>
          <w:szCs w:val="22"/>
        </w:rPr>
      </w:pPr>
    </w:p>
    <w:p w14:paraId="67E3866F" w14:textId="5F32CBD8" w:rsidR="0004438F" w:rsidRPr="00CE5C7B" w:rsidRDefault="0004438F" w:rsidP="00CE5C7B">
      <w:pPr>
        <w:spacing w:line="360" w:lineRule="auto"/>
        <w:rPr>
          <w:rFonts w:ascii="Arial" w:hAnsi="Arial" w:cs="Arial"/>
          <w:b/>
          <w:sz w:val="22"/>
          <w:szCs w:val="22"/>
        </w:rPr>
      </w:pPr>
      <w:r w:rsidRPr="00CE5C7B">
        <w:rPr>
          <w:rFonts w:ascii="Arial" w:hAnsi="Arial" w:cs="Arial"/>
          <w:b/>
          <w:sz w:val="22"/>
          <w:szCs w:val="22"/>
        </w:rPr>
        <w:t>Population Genomic Analyses</w:t>
      </w:r>
    </w:p>
    <w:p w14:paraId="47F261FC" w14:textId="301FA0C3" w:rsidR="0004438F" w:rsidRPr="0004438F" w:rsidRDefault="0004438F" w:rsidP="0004438F">
      <w:pPr>
        <w:spacing w:line="360" w:lineRule="auto"/>
        <w:rPr>
          <w:rFonts w:ascii="Arial" w:hAnsi="Arial"/>
          <w:sz w:val="22"/>
          <w:szCs w:val="22"/>
        </w:rPr>
      </w:pPr>
      <w:r w:rsidRPr="0004438F">
        <w:rPr>
          <w:rFonts w:ascii="Arial" w:hAnsi="Arial"/>
          <w:sz w:val="22"/>
          <w:szCs w:val="22"/>
        </w:rPr>
        <w:t xml:space="preserve">For analysis of VNI subdivisions, STRUCTURE was run with k=3, with 43% of the positions randomly subsampled from those containing at least 2 variants and missing in fewer than 5% of the strains (~94K sites); comparison to prior MLST analysis </w:t>
      </w:r>
      <w:r w:rsidR="005C22C5">
        <w:rPr>
          <w:rFonts w:ascii="Arial" w:hAnsi="Arial"/>
          <w:sz w:val="22"/>
          <w:szCs w:val="22"/>
        </w:rPr>
        <w:fldChar w:fldCharType="begin"/>
      </w:r>
      <w:r w:rsidR="005C22C5">
        <w:rPr>
          <w:rFonts w:ascii="Arial" w:hAnsi="Arial"/>
          <w:sz w:val="22"/>
          <w:szCs w:val="22"/>
        </w:rPr>
        <w:instrText xml:space="preserve"> ADDIN ZOTERO_ITEM CSL_CITATION {"citationID":"K2I0WlbE","properties":{"formattedCitation":"(Litvintseva et al. 2006)","plainCitation":"(Litvintseva et al. 2006)"},"citationItems":[{"id":199,"uris":["http://zotero.org/users/local/AH3MnjOo/items/P7DSRIAI"],"uri":["http://zotero.org/users/local/AH3MnjOo/items/P7DSRIAI"],"itemData":{"id":199,"type":"article-journal","title":"Multilocus sequence typing reveals three genetic subpopulations of &lt;i&gt;Cryptococcus neoformans&lt;/i&gt; var. &lt;i&gt;grubii &lt;/i&gt;(Serotype A), including a unique population in Botswana","container-title":"Genetics","page":"2223-2238","volume":"172","issue":"4","source":"www.genetics.org","abstract":"We applied multilocus sequence typing (MLST) to investigate the population structure and mode of reproduction of Cryptococcus neoformans var. grubii (serotype A). This MLST system utilizes 12 unlinked polymorphic loci, which are dispersed on nine different chromosomes, and allows the unambiguous identification of closely related strains of serotype A. We compared MLST analyses with the conventional genotyping method of detecting amplified fragment length polymorphisms (AFLPs), and there was excellent correlation between the MLST and AFLP results. However, MLST differentiated a larger number of strains. We analyzed a global collection of isolates of serotype A using both methods, and the results identified at least three genetically distinct subpopulations, designated groups VNI, VNII, and VNB. Groups VNI and VNII are widespread, dominated by isolates wit</w:instrText>
      </w:r>
      <w:r w:rsidR="005C22C5">
        <w:rPr>
          <w:rFonts w:ascii="Arial" w:hAnsi="Arial" w:hint="eastAsia"/>
          <w:sz w:val="22"/>
          <w:szCs w:val="22"/>
        </w:rPr>
        <w:instrText>h the MAT</w:instrText>
      </w:r>
      <w:r w:rsidR="005C22C5">
        <w:rPr>
          <w:rFonts w:ascii="Arial" w:hAnsi="Arial" w:hint="eastAsia"/>
          <w:sz w:val="22"/>
          <w:szCs w:val="22"/>
        </w:rPr>
        <w:instrText>α</w:instrText>
      </w:r>
      <w:r w:rsidR="005C22C5">
        <w:rPr>
          <w:rFonts w:ascii="Arial" w:hAnsi="Arial" w:hint="eastAsia"/>
          <w:sz w:val="22"/>
          <w:szCs w:val="22"/>
        </w:rPr>
        <w:instrText xml:space="preserve"> mating type, and predominantly clonal. Conversely, isolates of group VNB are unique to Botswana, include a significant proportion of fertile strains with the MATa mating type, and manifest compelling evidence of recombination. We have AFLP geno</w:instrText>
      </w:r>
      <w:r w:rsidR="005C22C5">
        <w:rPr>
          <w:rFonts w:ascii="Arial" w:hAnsi="Arial"/>
          <w:sz w:val="22"/>
          <w:szCs w:val="22"/>
        </w:rPr>
        <w:instrText xml:space="preserve">typed &gt;1000 strains of serotype A from different parts of the world, including isolates from several African countries, and, to date, haploid serotype A isolates of group VNB have been found only in Botswana.","DOI":"10.1534/genetics.105.046672","ISSN":"0016-6731, 1943-2631","note":"PMID: 16322524","journalAbbreviation":"Genetics","language":"en","author":[{"family":"Litvintseva","given":"Anastasia P."},{"family":"Thakur","given":"Rameshwari"},{"family":"Vilgalys","given":"Rytas"},{"family":"Mitchell","given":"Thomas G."}],"issued":{"date-parts":[["2006",4,1]]}}}],"schema":"https://github.com/citation-style-language/schema/raw/master/csl-citation.json"} </w:instrText>
      </w:r>
      <w:r w:rsidR="005C22C5">
        <w:rPr>
          <w:rFonts w:ascii="Arial" w:hAnsi="Arial"/>
          <w:sz w:val="22"/>
          <w:szCs w:val="22"/>
        </w:rPr>
        <w:fldChar w:fldCharType="separate"/>
      </w:r>
      <w:r w:rsidR="005C22C5">
        <w:rPr>
          <w:rFonts w:ascii="Arial" w:hAnsi="Arial"/>
          <w:noProof/>
          <w:sz w:val="22"/>
          <w:szCs w:val="22"/>
        </w:rPr>
        <w:t>(Litvintseva et al. 2006)</w:t>
      </w:r>
      <w:r w:rsidR="005C22C5">
        <w:rPr>
          <w:rFonts w:ascii="Arial" w:hAnsi="Arial"/>
          <w:sz w:val="22"/>
          <w:szCs w:val="22"/>
        </w:rPr>
        <w:fldChar w:fldCharType="end"/>
      </w:r>
      <w:r w:rsidR="005C22C5">
        <w:rPr>
          <w:rFonts w:ascii="Arial" w:hAnsi="Arial"/>
          <w:sz w:val="22"/>
          <w:szCs w:val="22"/>
        </w:rPr>
        <w:t xml:space="preserve"> </w:t>
      </w:r>
      <w:r w:rsidRPr="0004438F">
        <w:rPr>
          <w:rFonts w:ascii="Arial" w:hAnsi="Arial"/>
          <w:sz w:val="22"/>
          <w:szCs w:val="22"/>
        </w:rPr>
        <w:t xml:space="preserve">mapped AFLP genotypes to the three lineages as follows: </w:t>
      </w:r>
      <w:proofErr w:type="spellStart"/>
      <w:r w:rsidRPr="0004438F">
        <w:rPr>
          <w:rFonts w:ascii="Arial" w:hAnsi="Arial"/>
          <w:sz w:val="22"/>
          <w:szCs w:val="22"/>
        </w:rPr>
        <w:t>VNIa</w:t>
      </w:r>
      <w:proofErr w:type="spellEnd"/>
      <w:r w:rsidRPr="0004438F">
        <w:rPr>
          <w:rFonts w:ascii="Arial" w:hAnsi="Arial"/>
          <w:sz w:val="22"/>
          <w:szCs w:val="22"/>
        </w:rPr>
        <w:t xml:space="preserve"> </w:t>
      </w:r>
      <w:r w:rsidRPr="0004438F">
        <w:rPr>
          <w:rFonts w:ascii="Arial" w:hAnsi="Arial"/>
          <w:sz w:val="22"/>
          <w:szCs w:val="22"/>
        </w:rPr>
        <w:lastRenderedPageBreak/>
        <w:t xml:space="preserve">corresponds to A2, A4, and A5, </w:t>
      </w:r>
      <w:proofErr w:type="spellStart"/>
      <w:r w:rsidRPr="0004438F">
        <w:rPr>
          <w:rFonts w:ascii="Arial" w:hAnsi="Arial"/>
          <w:sz w:val="22"/>
          <w:szCs w:val="22"/>
        </w:rPr>
        <w:t>VNIb</w:t>
      </w:r>
      <w:proofErr w:type="spellEnd"/>
      <w:r w:rsidRPr="0004438F">
        <w:rPr>
          <w:rFonts w:ascii="Arial" w:hAnsi="Arial"/>
          <w:sz w:val="22"/>
          <w:szCs w:val="22"/>
        </w:rPr>
        <w:t xml:space="preserve"> corresponds to A1 and A3, and </w:t>
      </w:r>
      <w:proofErr w:type="spellStart"/>
      <w:r w:rsidRPr="0004438F">
        <w:rPr>
          <w:rFonts w:ascii="Arial" w:hAnsi="Arial"/>
          <w:sz w:val="22"/>
          <w:szCs w:val="22"/>
        </w:rPr>
        <w:t>VNIc</w:t>
      </w:r>
      <w:proofErr w:type="spellEnd"/>
      <w:r w:rsidRPr="0004438F">
        <w:rPr>
          <w:rFonts w:ascii="Arial" w:hAnsi="Arial"/>
          <w:sz w:val="22"/>
          <w:szCs w:val="22"/>
        </w:rPr>
        <w:t xml:space="preserve"> was not assigned an AFLP type but corresponds to an African VNI clade in this prior study.</w:t>
      </w:r>
    </w:p>
    <w:p w14:paraId="38A5D345" w14:textId="6B53E860" w:rsidR="0004438F" w:rsidRDefault="0004438F" w:rsidP="0004438F">
      <w:pPr>
        <w:spacing w:line="360" w:lineRule="auto"/>
        <w:rPr>
          <w:rFonts w:ascii="Arial" w:hAnsi="Arial"/>
          <w:sz w:val="22"/>
          <w:szCs w:val="22"/>
        </w:rPr>
      </w:pPr>
      <w:r w:rsidRPr="0004438F">
        <w:rPr>
          <w:rFonts w:ascii="Arial" w:hAnsi="Arial"/>
          <w:sz w:val="22"/>
          <w:szCs w:val="22"/>
        </w:rPr>
        <w:t xml:space="preserve">To identify smaller introgressions, we partitioned the marker data into 500 </w:t>
      </w:r>
      <w:proofErr w:type="gramStart"/>
      <w:r w:rsidRPr="0004438F">
        <w:rPr>
          <w:rFonts w:ascii="Arial" w:hAnsi="Arial"/>
          <w:sz w:val="22"/>
          <w:szCs w:val="22"/>
        </w:rPr>
        <w:t>kb</w:t>
      </w:r>
      <w:proofErr w:type="gramEnd"/>
      <w:r w:rsidRPr="0004438F">
        <w:rPr>
          <w:rFonts w:ascii="Arial" w:hAnsi="Arial"/>
          <w:sz w:val="22"/>
          <w:szCs w:val="22"/>
        </w:rPr>
        <w:t xml:space="preserve"> genome segments and repeated the ST</w:t>
      </w:r>
      <w:r w:rsidR="004F306D">
        <w:rPr>
          <w:rFonts w:ascii="Arial" w:hAnsi="Arial"/>
          <w:sz w:val="22"/>
          <w:szCs w:val="22"/>
        </w:rPr>
        <w:t xml:space="preserve">RUCTURE analysis using the same </w:t>
      </w:r>
      <w:r w:rsidRPr="0004438F">
        <w:rPr>
          <w:rFonts w:ascii="Arial" w:hAnsi="Arial"/>
          <w:sz w:val="22"/>
          <w:szCs w:val="22"/>
        </w:rPr>
        <w:t xml:space="preserve">parameters. Segments showing incomplete population separation were excluded from the analysis. For each strain, we calculated the fraction of total marker sites with an alternate population fraction ≥ 0.9 in 5 </w:t>
      </w:r>
      <w:proofErr w:type="gramStart"/>
      <w:r w:rsidRPr="0004438F">
        <w:rPr>
          <w:rFonts w:ascii="Arial" w:hAnsi="Arial"/>
          <w:sz w:val="22"/>
          <w:szCs w:val="22"/>
        </w:rPr>
        <w:t>kb</w:t>
      </w:r>
      <w:proofErr w:type="gramEnd"/>
      <w:r w:rsidRPr="0004438F">
        <w:rPr>
          <w:rFonts w:ascii="Arial" w:hAnsi="Arial"/>
          <w:sz w:val="22"/>
          <w:szCs w:val="22"/>
        </w:rPr>
        <w:t xml:space="preserve"> windows. We identified those strains containing at least ten windows (50 kb total) across the genome exhibiting ≥ 75% markers showing an alternate population, and plotted the ancestry of all windows for those strains. </w:t>
      </w:r>
    </w:p>
    <w:p w14:paraId="7E94AAC8" w14:textId="51D5DE1F" w:rsidR="00ED0E33" w:rsidRDefault="00366F0F" w:rsidP="004F306D">
      <w:pPr>
        <w:spacing w:line="360" w:lineRule="auto"/>
        <w:rPr>
          <w:rFonts w:ascii="Arial" w:hAnsi="Arial" w:cs="Arial"/>
          <w:sz w:val="22"/>
          <w:szCs w:val="22"/>
        </w:rPr>
      </w:pPr>
      <w:r w:rsidRPr="003B705D">
        <w:rPr>
          <w:rFonts w:ascii="Arial" w:hAnsi="Arial" w:cs="Arial"/>
          <w:sz w:val="22"/>
          <w:szCs w:val="22"/>
        </w:rPr>
        <w:t xml:space="preserve">Linkage disequilibrium was calculated in 500 </w:t>
      </w:r>
      <w:proofErr w:type="spellStart"/>
      <w:r w:rsidRPr="003B705D">
        <w:rPr>
          <w:rFonts w:ascii="Arial" w:hAnsi="Arial" w:cs="Arial"/>
          <w:sz w:val="22"/>
          <w:szCs w:val="22"/>
        </w:rPr>
        <w:t>bp</w:t>
      </w:r>
      <w:proofErr w:type="spellEnd"/>
      <w:r w:rsidRPr="003B705D">
        <w:rPr>
          <w:rFonts w:ascii="Arial" w:hAnsi="Arial" w:cs="Arial"/>
          <w:sz w:val="22"/>
          <w:szCs w:val="22"/>
        </w:rPr>
        <w:t xml:space="preserve"> windows of all chromosomes except 5 (where the mating type locus is located) with </w:t>
      </w:r>
      <w:proofErr w:type="spellStart"/>
      <w:r w:rsidRPr="003B705D">
        <w:rPr>
          <w:rFonts w:ascii="Arial" w:hAnsi="Arial" w:cs="Arial"/>
          <w:sz w:val="22"/>
          <w:szCs w:val="22"/>
        </w:rPr>
        <w:t>vcftools</w:t>
      </w:r>
      <w:proofErr w:type="spellEnd"/>
      <w:r w:rsidRPr="003B705D">
        <w:rPr>
          <w:rFonts w:ascii="Arial" w:hAnsi="Arial" w:cs="Arial"/>
          <w:sz w:val="22"/>
          <w:szCs w:val="22"/>
        </w:rPr>
        <w:t xml:space="preserve"> version 1.14</w:t>
      </w:r>
      <w:r>
        <w:rPr>
          <w:rFonts w:ascii="Arial" w:hAnsi="Arial" w:cs="Arial"/>
          <w:sz w:val="22"/>
          <w:szCs w:val="22"/>
        </w:rPr>
        <w:t xml:space="preserve"> </w:t>
      </w:r>
      <w:r w:rsidRPr="003B705D">
        <w:rPr>
          <w:rFonts w:ascii="Arial" w:hAnsi="Arial" w:cs="Arial"/>
          <w:sz w:val="22"/>
          <w:szCs w:val="22"/>
        </w:rPr>
        <w:fldChar w:fldCharType="begin"/>
      </w:r>
      <w:r w:rsidRPr="003B705D">
        <w:rPr>
          <w:rFonts w:ascii="Arial" w:hAnsi="Arial" w:cs="Arial"/>
          <w:sz w:val="22"/>
          <w:szCs w:val="22"/>
        </w:rPr>
        <w:instrText xml:space="preserve"> ADDIN ZOTERO_ITEM CSL_CITATION {"citationID":"2ktsfj2jpb","properties":{"formattedCitation":"(Danecek et al. 2011)","plainCitation":"(Danecek et al. 2011)"},"citationItems":[{"id":859,"uris":["http://zotero.org/users/local/AH3MnjOo/items/BGFJ7TFG"],"uri":["http://zotero.org/users/local/AH3MnjOo/items/BGFJ7TFG"],"itemData":{"id":859,"type":"article-journal","title":"The variant call format and VCFtools","container-title":"Bioinformatics","page":"2156-2158","volume":"27","issue":"15","source":"bioinformatics.oxfordjournals.org","abstract":"Summary: The variant call format (VCF) is a generic format for storing DNA polymorphism data such as SNPs, insertions, deletions and structural variants, together with rich annotations. VCF is usually stored in a compressed manner and can be indexed for fast data retrieval of variants from a range of positions on the reference genome. The format was developed for the 1000 Genomes Project, and has also been adopted by other projects such as UK10K, dbSNP and the NHLBI Exome Project. VCFtools is a software suite that implements various utilities for processing VCF files, including validation, merging, comparing and also provides a general Perl API.\nAvailability: http://vcftools.sourceforge.net\nContact: rd@sanger.ac.uk","DOI":"10.1093/bioinformatics/btr330","ISSN":"1367-4803, 1460-2059","note":"PMID: 21653522","journalAbbreviation":"Bioinformatics","language":"en","author":[{"family":"Danecek","given":"Petr"},{"family":"Auton","given":"Adam"},{"family":"Abecasis","given":"Goncalo"},{"family":"Albers","given":"Cornelis A."},{"family":"Banks","given":"Eric"},{"family":"DePristo","given":"Mark A."},{"family":"Handsaker","given":"Robert E."},{"family":"Lunter","given":"Gerton"},{"family":"Marth","given":"Gabor T."},{"family":"Sherry","given":"Stephen T."},{"family":"McVean","given":"Gilean"},{"family":"Durbin","given":"Richard"},{"family":"Group","given":"1000 Genomes Project Analysis"}],"issued":{"date-parts":[["2011",8,1]]}}}],"schema":"https://github.com/citation-style-language/schema/raw/master/csl-citation.json"} </w:instrText>
      </w:r>
      <w:r w:rsidRPr="003B705D">
        <w:rPr>
          <w:rFonts w:ascii="Arial" w:hAnsi="Arial" w:cs="Arial"/>
          <w:sz w:val="22"/>
          <w:szCs w:val="22"/>
        </w:rPr>
        <w:fldChar w:fldCharType="separate"/>
      </w:r>
      <w:r w:rsidRPr="003B705D">
        <w:rPr>
          <w:rFonts w:ascii="Arial" w:hAnsi="Arial"/>
          <w:sz w:val="22"/>
          <w:szCs w:val="22"/>
        </w:rPr>
        <w:t>(Danecek et al. 2011)</w:t>
      </w:r>
      <w:r w:rsidRPr="003B705D">
        <w:rPr>
          <w:rFonts w:ascii="Arial" w:hAnsi="Arial" w:cs="Arial"/>
          <w:sz w:val="22"/>
          <w:szCs w:val="22"/>
        </w:rPr>
        <w:fldChar w:fldCharType="end"/>
      </w:r>
      <w:r w:rsidRPr="003B705D">
        <w:rPr>
          <w:rFonts w:ascii="Arial" w:hAnsi="Arial" w:cs="Arial"/>
          <w:sz w:val="22"/>
          <w:szCs w:val="22"/>
        </w:rPr>
        <w:t>, using the --hap-r2 option with a minimum minor allele frequency of 0.1. Sliding-window population genetic statistics (π, Tajima’s D, F</w:t>
      </w:r>
      <w:r w:rsidRPr="003B705D">
        <w:rPr>
          <w:rFonts w:ascii="Arial" w:hAnsi="Arial" w:cs="Arial"/>
          <w:sz w:val="22"/>
          <w:szCs w:val="22"/>
          <w:vertAlign w:val="subscript"/>
        </w:rPr>
        <w:t>ST</w:t>
      </w:r>
      <w:r w:rsidRPr="003B705D">
        <w:rPr>
          <w:rFonts w:ascii="Arial" w:hAnsi="Arial" w:cs="Arial"/>
          <w:sz w:val="22"/>
          <w:szCs w:val="22"/>
        </w:rPr>
        <w:t xml:space="preserve">) were calculated in the </w:t>
      </w:r>
      <w:proofErr w:type="spellStart"/>
      <w:r w:rsidRPr="003B705D">
        <w:rPr>
          <w:rFonts w:ascii="Arial" w:hAnsi="Arial" w:cs="Arial"/>
          <w:sz w:val="22"/>
          <w:szCs w:val="22"/>
        </w:rPr>
        <w:t>PopGenome</w:t>
      </w:r>
      <w:proofErr w:type="spellEnd"/>
      <w:r w:rsidRPr="003B705D">
        <w:rPr>
          <w:rFonts w:ascii="Arial" w:hAnsi="Arial" w:cs="Arial"/>
          <w:sz w:val="22"/>
          <w:szCs w:val="22"/>
        </w:rPr>
        <w:t xml:space="preserve"> R package</w:t>
      </w:r>
      <w:r>
        <w:rPr>
          <w:rFonts w:ascii="Arial" w:hAnsi="Arial" w:cs="Arial"/>
          <w:sz w:val="22"/>
          <w:szCs w:val="22"/>
        </w:rPr>
        <w:t xml:space="preserve"> </w:t>
      </w:r>
      <w:r w:rsidRPr="003B705D">
        <w:rPr>
          <w:rFonts w:ascii="Arial" w:hAnsi="Arial" w:cs="Arial"/>
          <w:sz w:val="22"/>
          <w:szCs w:val="22"/>
        </w:rPr>
        <w:fldChar w:fldCharType="begin"/>
      </w:r>
      <w:r w:rsidRPr="003B705D">
        <w:rPr>
          <w:rFonts w:ascii="Arial" w:hAnsi="Arial" w:cs="Arial"/>
          <w:sz w:val="22"/>
          <w:szCs w:val="22"/>
        </w:rPr>
        <w:instrText xml:space="preserve"> ADDIN ZOTERO_ITEM CSL_CITATION {"citationID":"2flvq3nsi3","properties":{"formattedCitation":"(Pfeifer et al. 2014)","plainCitation":"(Pfeifer et al. 2014)"},"citationItems":[{"id":390,"uris":["http://zotero.org/users/local/AH3MnjOo/items/CWFDH4MQ"],"uri":["http://zotero.org/users/local/AH3MnjOo/items/CWFDH4MQ"],"itemData":{"id":390,"type":"article-journal","title":"PopGenome: an efficient swiss army knife for population genomic analyses in R","container-title":"Molecular Biology and Evolution","page":"1929-1936","volume":"31","issue":"7","source":"mbe.oxfordjournals.org","abstract":"Although many computer programs can perform population genetics calculations, they are typically limited in the analyses and data input formats they offer; few applications can process the large data sets produced by whole-genome resequencing projects. Furthermore, there is no coherent framework for the easy integration of new statistics into existing pipelines, hindering the development and application of new population genetics and genomics approaches. Here, we present PopGenome, a population genomics package for the R software environment (a de facto standard for statistical analyses). PopGenome can efficiently process genome-scale data as well as large sets of individual loci. It reads DNA alignments and single-nucleotide polymorphism (SNP) data sets in most common formats, including those used by the HapMap, 1000 human genomes, and 1001 Arabidopsis genomes projects. PopGenome also reads associated annotation files in GFF format, enabling users to easily define regions or classify SNPs based on their annotation; all analyses can also be applied to sliding windows. PopGenome offers a wide range of diverse population genetics analyses, including neutrality tests as well as statistics for population differentiation, linkage disequilibrium, and recombination. PopGenome is linked to Hudson’s MS and Ewing’s MSMS programs to assess statistical significance based on coalescent simulations. PopGenome’s integration in R facilitates effortless and reproducible downstream analyses as well as the production of publication-quality graphics. Developers can easily incorporate new analyses methods into the PopGenome framework. PopGenome and R are freely available from CRAN (http://cran.r-project.org/) for all major operating systems under the GNU General Public License.","DOI":"10.1093/molbev/msu136","ISSN":"0737-4038, 1537-1719","note":"PMID: 24739305","shortTitle":"PopGenome","journalAbbreviation":"Mol Biol Evol","language":"en","author":[{"family":"Pfeifer","given":"Bastian"},{"family":"Wittelsbürger","given":"Ulrich"},{"family":"Ramos-Onsins","given":"Sebastian E."},{"family":"Lercher","given":"Martin J."}],"issued":{"date-parts":[["2014",7,1]]}}}],"schema":"https://github.com/citation-style-language/schema/raw/master/csl-citation.json"} </w:instrText>
      </w:r>
      <w:r w:rsidRPr="003B705D">
        <w:rPr>
          <w:rFonts w:ascii="Arial" w:hAnsi="Arial" w:cs="Arial"/>
          <w:sz w:val="22"/>
          <w:szCs w:val="22"/>
        </w:rPr>
        <w:fldChar w:fldCharType="separate"/>
      </w:r>
      <w:r w:rsidRPr="003B705D">
        <w:rPr>
          <w:rFonts w:ascii="Arial" w:hAnsi="Arial"/>
          <w:sz w:val="22"/>
          <w:szCs w:val="22"/>
        </w:rPr>
        <w:t>(Pfeifer et al. 2014)</w:t>
      </w:r>
      <w:r w:rsidRPr="003B705D">
        <w:rPr>
          <w:rFonts w:ascii="Arial" w:hAnsi="Arial" w:cs="Arial"/>
          <w:sz w:val="22"/>
          <w:szCs w:val="22"/>
        </w:rPr>
        <w:fldChar w:fldCharType="end"/>
      </w:r>
      <w:r w:rsidRPr="003B705D">
        <w:rPr>
          <w:rFonts w:ascii="Arial" w:hAnsi="Arial" w:cs="Arial"/>
          <w:sz w:val="22"/>
          <w:szCs w:val="22"/>
        </w:rPr>
        <w:t xml:space="preserve"> per chromosome in 5 kb windows. Genome-wide calculations used the average of all 5 </w:t>
      </w:r>
      <w:proofErr w:type="gramStart"/>
      <w:r w:rsidRPr="003B705D">
        <w:rPr>
          <w:rFonts w:ascii="Arial" w:hAnsi="Arial" w:cs="Arial"/>
          <w:sz w:val="22"/>
          <w:szCs w:val="22"/>
        </w:rPr>
        <w:t>kb</w:t>
      </w:r>
      <w:proofErr w:type="gramEnd"/>
      <w:r w:rsidRPr="003B705D">
        <w:rPr>
          <w:rFonts w:ascii="Arial" w:hAnsi="Arial" w:cs="Arial"/>
          <w:sz w:val="22"/>
          <w:szCs w:val="22"/>
        </w:rPr>
        <w:t xml:space="preserve"> windows</w:t>
      </w:r>
      <w:r w:rsidR="00ED0E33">
        <w:rPr>
          <w:rFonts w:ascii="Arial" w:hAnsi="Arial" w:cs="Arial"/>
          <w:sz w:val="22"/>
          <w:szCs w:val="22"/>
        </w:rPr>
        <w:t xml:space="preserve">. The </w:t>
      </w:r>
      <w:r w:rsidR="00ED0E33" w:rsidRPr="003B705D">
        <w:rPr>
          <w:rFonts w:ascii="Arial" w:hAnsi="Arial" w:cs="Arial"/>
          <w:sz w:val="22"/>
          <w:szCs w:val="22"/>
        </w:rPr>
        <w:t xml:space="preserve">CLR </w:t>
      </w:r>
      <w:r w:rsidR="00ED0E33">
        <w:rPr>
          <w:rFonts w:ascii="Arial" w:hAnsi="Arial" w:cs="Arial"/>
          <w:sz w:val="22"/>
          <w:szCs w:val="22"/>
        </w:rPr>
        <w:t xml:space="preserve">selection metric </w:t>
      </w:r>
      <w:r w:rsidR="00ED0E33" w:rsidRPr="003B705D">
        <w:rPr>
          <w:rFonts w:ascii="Arial" w:hAnsi="Arial" w:cs="Arial"/>
          <w:sz w:val="22"/>
          <w:szCs w:val="22"/>
        </w:rPr>
        <w:t xml:space="preserve">was also calculated using </w:t>
      </w:r>
      <w:proofErr w:type="spellStart"/>
      <w:r w:rsidR="00ED0E33" w:rsidRPr="003B705D">
        <w:rPr>
          <w:rFonts w:ascii="Arial" w:hAnsi="Arial" w:cs="Arial"/>
          <w:sz w:val="22"/>
          <w:szCs w:val="22"/>
        </w:rPr>
        <w:t>PopGenome</w:t>
      </w:r>
      <w:proofErr w:type="spellEnd"/>
      <w:r w:rsidR="00ED0E33" w:rsidRPr="003B705D">
        <w:rPr>
          <w:rFonts w:ascii="Arial" w:hAnsi="Arial" w:cs="Arial"/>
          <w:sz w:val="22"/>
          <w:szCs w:val="22"/>
        </w:rPr>
        <w:t xml:space="preserve"> with sliding windows of 50 segregating sites. The top 5% of windows were selected for each lineage. PFAM domains of genes within those regions were then compared to domains of the remaining genes using Fisher’s exact test corrected with the </w:t>
      </w:r>
      <w:proofErr w:type="spellStart"/>
      <w:r w:rsidR="00ED0E33" w:rsidRPr="003B705D">
        <w:rPr>
          <w:rFonts w:ascii="Arial" w:hAnsi="Arial" w:cs="Arial"/>
          <w:sz w:val="22"/>
          <w:szCs w:val="22"/>
        </w:rPr>
        <w:t>Benjamini</w:t>
      </w:r>
      <w:proofErr w:type="spellEnd"/>
      <w:r w:rsidR="00ED0E33" w:rsidRPr="003B705D">
        <w:rPr>
          <w:rFonts w:ascii="Arial" w:hAnsi="Arial" w:cs="Arial"/>
          <w:sz w:val="22"/>
          <w:szCs w:val="22"/>
        </w:rPr>
        <w:t xml:space="preserve">-Hochberg method for multiple comparisons. For </w:t>
      </w:r>
      <w:proofErr w:type="spellStart"/>
      <w:r w:rsidR="00ED0E33" w:rsidRPr="003B705D">
        <w:rPr>
          <w:rFonts w:ascii="Arial" w:hAnsi="Arial" w:cs="Arial"/>
          <w:sz w:val="22"/>
          <w:szCs w:val="22"/>
        </w:rPr>
        <w:t>subtelomeric</w:t>
      </w:r>
      <w:proofErr w:type="spellEnd"/>
      <w:r w:rsidR="00ED0E33" w:rsidRPr="003B705D">
        <w:rPr>
          <w:rFonts w:ascii="Arial" w:hAnsi="Arial" w:cs="Arial"/>
          <w:sz w:val="22"/>
          <w:szCs w:val="22"/>
        </w:rPr>
        <w:t xml:space="preserve"> enrichment tests, the distribution of the top 5% of windows under selection between </w:t>
      </w:r>
      <w:proofErr w:type="spellStart"/>
      <w:r w:rsidR="00ED0E33" w:rsidRPr="003B705D">
        <w:rPr>
          <w:rFonts w:ascii="Arial" w:hAnsi="Arial" w:cs="Arial"/>
          <w:sz w:val="22"/>
          <w:szCs w:val="22"/>
        </w:rPr>
        <w:t>subtelomeric</w:t>
      </w:r>
      <w:proofErr w:type="spellEnd"/>
      <w:r w:rsidR="00ED0E33" w:rsidRPr="003B705D">
        <w:rPr>
          <w:rFonts w:ascii="Arial" w:hAnsi="Arial" w:cs="Arial"/>
          <w:sz w:val="22"/>
          <w:szCs w:val="22"/>
        </w:rPr>
        <w:t xml:space="preserve"> regions (40 kb from each chromosome end, as previously defined </w:t>
      </w:r>
      <w:r w:rsidR="00ED0E33" w:rsidRPr="003B705D">
        <w:rPr>
          <w:rFonts w:ascii="Arial" w:hAnsi="Arial" w:cs="Arial"/>
          <w:sz w:val="22"/>
          <w:szCs w:val="22"/>
        </w:rPr>
        <w:fldChar w:fldCharType="begin"/>
      </w:r>
      <w:r w:rsidR="00ED0E33" w:rsidRPr="003B705D">
        <w:rPr>
          <w:rFonts w:ascii="Arial" w:hAnsi="Arial" w:cs="Arial"/>
          <w:sz w:val="22"/>
          <w:szCs w:val="22"/>
        </w:rPr>
        <w:instrText xml:space="preserve"> ADDIN ZOTERO_ITEM CSL_CITATION {"citationID":"1fs1hkiola","properties":{"formattedCitation":"(Chow et al. 2012)","plainCitation":"(Chow et al. 2012)"},"citationItems":[{"id":801,"uris":["http://zotero.org/users/local/AH3MnjOo/items/TQEXZGJB"],"uri":["http://zotero.org/users/local/AH3MnjOo/items/TQEXZGJB"],"itemData":{"id":801,"type":"article-journal","title":"Microevolution of &lt;i&gt;Cryptococcus neoformans&lt;/i&gt; driven by massive tandem gene amplification","container-title":"Molecular Biology and Evolution","page":"1987-2000","volume":"29","issue":"8","source":"mbe.oxfordjournals.org","abstract":"The subtelomeric regions of organisms ranging from protists to fungi undergo a much higher rate of rearrangement than is observed in the rest of the genome. While characterizing these </w:instrText>
      </w:r>
      <w:r w:rsidR="00ED0E33" w:rsidRPr="003B705D">
        <w:rPr>
          <w:rFonts w:ascii="Bradley Hand Bold" w:hAnsi="Bradley Hand Bold" w:cs="Bradley Hand Bold"/>
          <w:sz w:val="22"/>
          <w:szCs w:val="22"/>
        </w:rPr>
        <w:instrText>∼</w:instrText>
      </w:r>
      <w:r w:rsidR="00ED0E33" w:rsidRPr="003B705D">
        <w:rPr>
          <w:rFonts w:ascii="Arial" w:hAnsi="Arial" w:cs="Arial"/>
          <w:sz w:val="22"/>
          <w:szCs w:val="22"/>
        </w:rPr>
        <w:instrText xml:space="preserve">40-kb regions of the human fungal pathogen Cryptococcus neoformans, we have identified a recent gene amplification event near the right telomere of chromosome 3 that involves a gene encoding an arsenite efflux transporter (ARR3). The 3,177-bp amplicon exists in a tandem array of 2–15 copies and is present exclusively in strains with the C. neoformans var. grubii subclade VNI A5 MLST profile. Strains bearing the amplification display dramatically enhanced resistance to arsenite that correlates with the copy number of the repeat; the origin of increased resistance was verified as transport-related by functional complementation of an arsenite transporter mutant of Saccharomyces cerevisiae. Subsequent experimental evolution in the presence of increasing concentrations of arsenite yielded highly resistant strains with the ARR3 amplicon further amplified to over 50 copies, accounting for up to </w:instrText>
      </w:r>
      <w:r w:rsidR="00ED0E33" w:rsidRPr="003B705D">
        <w:rPr>
          <w:rFonts w:ascii="Bradley Hand Bold" w:hAnsi="Bradley Hand Bold" w:cs="Bradley Hand Bold"/>
          <w:sz w:val="22"/>
          <w:szCs w:val="22"/>
        </w:rPr>
        <w:instrText>∼</w:instrText>
      </w:r>
      <w:r w:rsidR="00ED0E33" w:rsidRPr="003B705D">
        <w:rPr>
          <w:rFonts w:ascii="Arial" w:hAnsi="Arial" w:cs="Arial"/>
          <w:sz w:val="22"/>
          <w:szCs w:val="22"/>
        </w:rPr>
        <w:instrText xml:space="preserve">1% of the whole genome and making the copy number of this repeat as high as that seen for the ribosomal DNA. The example described here therefore represents a rare evolutionary intermediate—an array that is currently in a state of dynamic flux, in dramatic contrast to relatively common, static relics of past tandem duplications that are unable to further amplify due to nucleotide divergence. Beyond identifying and engineering fungal isolates that are highly resistant to arsenite and describing the first reported instance of microevolution via massive gene amplification in C. neoformans, these results suggest that adaptation through gene amplification may be an important mechanism that C. neoformans employs in response to environmental stresses, perhaps including those encountered during infection. More importantly, the ARR3 array will serve as an ideal model for further molecular genetic analyses of how tandem gene duplications arise and expand.","DOI":"10.1093/molbev/mss066","ISSN":"0737-4038, 1537-1719","note":"PMID: 22334577","journalAbbreviation":"Mol Biol Evol","language":"en","author":[{"family":"Chow","given":"Eve W. L."},{"family":"Morrow","given":"Carl A."},{"family":"Djordjevic","given":"Julianne T."},{"family":"Wood","given":"Ian A."},{"family":"Fraser","given":"James A."}],"issued":{"date-parts":[["2012",8,1]]}}}],"schema":"https://github.com/citation-style-language/schema/raw/master/csl-citation.json"} </w:instrText>
      </w:r>
      <w:r w:rsidR="00ED0E33" w:rsidRPr="003B705D">
        <w:rPr>
          <w:rFonts w:ascii="Arial" w:hAnsi="Arial" w:cs="Arial"/>
          <w:sz w:val="22"/>
          <w:szCs w:val="22"/>
        </w:rPr>
        <w:fldChar w:fldCharType="separate"/>
      </w:r>
      <w:r w:rsidR="00ED0E33" w:rsidRPr="003B705D">
        <w:rPr>
          <w:rFonts w:ascii="Arial" w:hAnsi="Arial"/>
          <w:sz w:val="22"/>
          <w:szCs w:val="22"/>
        </w:rPr>
        <w:t>(Chow et al. 2012)</w:t>
      </w:r>
      <w:r w:rsidR="00ED0E33" w:rsidRPr="003B705D">
        <w:rPr>
          <w:rFonts w:ascii="Arial" w:hAnsi="Arial" w:cs="Arial"/>
          <w:sz w:val="22"/>
          <w:szCs w:val="22"/>
        </w:rPr>
        <w:fldChar w:fldCharType="end"/>
      </w:r>
      <w:r w:rsidR="00ED0E33" w:rsidRPr="003B705D">
        <w:rPr>
          <w:rFonts w:ascii="Arial" w:hAnsi="Arial" w:cs="Arial"/>
          <w:sz w:val="22"/>
          <w:szCs w:val="22"/>
        </w:rPr>
        <w:t>) and the remainder of the chromosome was compared to a null distribution using Fisher’s exact tests.</w:t>
      </w:r>
    </w:p>
    <w:p w14:paraId="0DF0D644" w14:textId="77777777" w:rsidR="00ED0E33" w:rsidRDefault="00ED0E33" w:rsidP="004F306D">
      <w:pPr>
        <w:spacing w:line="360" w:lineRule="auto"/>
        <w:rPr>
          <w:rFonts w:ascii="Arial" w:hAnsi="Arial" w:cs="Arial"/>
          <w:sz w:val="22"/>
          <w:szCs w:val="22"/>
        </w:rPr>
      </w:pPr>
    </w:p>
    <w:p w14:paraId="6B589E81" w14:textId="58FF946C" w:rsidR="00ED0E33" w:rsidRPr="00CE5C7B" w:rsidRDefault="00ED0E33" w:rsidP="004F306D">
      <w:pPr>
        <w:spacing w:line="360" w:lineRule="auto"/>
        <w:rPr>
          <w:rFonts w:ascii="Arial" w:hAnsi="Arial" w:cs="Arial"/>
          <w:b/>
          <w:sz w:val="22"/>
          <w:szCs w:val="22"/>
        </w:rPr>
      </w:pPr>
      <w:r w:rsidRPr="00CE5C7B">
        <w:rPr>
          <w:rFonts w:ascii="Arial" w:hAnsi="Arial" w:cs="Arial"/>
          <w:b/>
          <w:sz w:val="22"/>
          <w:szCs w:val="22"/>
        </w:rPr>
        <w:t>Phenotypic Assays</w:t>
      </w:r>
    </w:p>
    <w:p w14:paraId="341024F5" w14:textId="260D4502" w:rsidR="00361603" w:rsidRPr="00093A7D" w:rsidRDefault="00ED0E33" w:rsidP="00093A7D">
      <w:pPr>
        <w:spacing w:line="360" w:lineRule="auto"/>
        <w:rPr>
          <w:rFonts w:ascii="Arial" w:hAnsi="Arial" w:cs="Arial"/>
          <w:sz w:val="22"/>
          <w:szCs w:val="22"/>
        </w:rPr>
      </w:pPr>
      <w:r w:rsidRPr="003B705D">
        <w:rPr>
          <w:rFonts w:ascii="Arial" w:hAnsi="Arial" w:cs="Arial"/>
          <w:sz w:val="22"/>
          <w:szCs w:val="22"/>
        </w:rPr>
        <w:t xml:space="preserve">Freezer stocks containing were streaked onto YPD petri dishes from either 50% glycerol or 1X </w:t>
      </w:r>
      <w:proofErr w:type="spellStart"/>
      <w:r w:rsidRPr="003B705D">
        <w:rPr>
          <w:rFonts w:ascii="Arial" w:hAnsi="Arial" w:cs="Arial"/>
          <w:sz w:val="22"/>
          <w:szCs w:val="22"/>
        </w:rPr>
        <w:t>Hogness</w:t>
      </w:r>
      <w:proofErr w:type="spellEnd"/>
      <w:r w:rsidRPr="003B705D">
        <w:rPr>
          <w:rFonts w:ascii="Arial" w:hAnsi="Arial" w:cs="Arial"/>
          <w:sz w:val="22"/>
          <w:szCs w:val="22"/>
        </w:rPr>
        <w:t xml:space="preserve"> buffer. Strains were grown at 30</w:t>
      </w:r>
      <w:r w:rsidRPr="003B705D">
        <w:rPr>
          <w:rFonts w:ascii="Arial" w:hAnsi="Arial" w:cs="Arial"/>
          <w:sz w:val="22"/>
          <w:szCs w:val="22"/>
        </w:rPr>
        <w:sym w:font="Symbol" w:char="F0B0"/>
      </w:r>
      <w:r w:rsidRPr="003B705D">
        <w:rPr>
          <w:rFonts w:ascii="Arial" w:hAnsi="Arial" w:cs="Arial"/>
          <w:sz w:val="22"/>
          <w:szCs w:val="22"/>
        </w:rPr>
        <w:t xml:space="preserve">C for two to five days. For each strain, a single colony was selected and added to 96 well </w:t>
      </w:r>
      <w:proofErr w:type="spellStart"/>
      <w:r w:rsidRPr="003B705D">
        <w:rPr>
          <w:rFonts w:ascii="Arial" w:hAnsi="Arial" w:cs="Arial"/>
          <w:sz w:val="22"/>
          <w:szCs w:val="22"/>
        </w:rPr>
        <w:t>microtiter</w:t>
      </w:r>
      <w:proofErr w:type="spellEnd"/>
      <w:r w:rsidRPr="003B705D">
        <w:rPr>
          <w:rFonts w:ascii="Arial" w:hAnsi="Arial" w:cs="Arial"/>
          <w:sz w:val="22"/>
          <w:szCs w:val="22"/>
        </w:rPr>
        <w:t xml:space="preserve"> plates containing 200 µL of YPD broth. Strain location in all plates was randomized to avoid position effects. Each 96 well plate contained six control strains (H99, </w:t>
      </w:r>
      <w:r w:rsidRPr="003B705D">
        <w:rPr>
          <w:rFonts w:ascii="Arial" w:hAnsi="Arial" w:cs="Arial"/>
          <w:i/>
          <w:sz w:val="22"/>
          <w:szCs w:val="22"/>
        </w:rPr>
        <w:t>LAC1</w:t>
      </w:r>
      <w:r w:rsidRPr="003B705D">
        <w:rPr>
          <w:rFonts w:ascii="Arial" w:hAnsi="Arial" w:cs="Arial"/>
          <w:sz w:val="22"/>
          <w:szCs w:val="22"/>
        </w:rPr>
        <w:t xml:space="preserve">, </w:t>
      </w:r>
      <w:r w:rsidRPr="003B705D">
        <w:rPr>
          <w:rFonts w:ascii="Arial" w:hAnsi="Arial" w:cs="Arial"/>
          <w:i/>
          <w:sz w:val="22"/>
          <w:szCs w:val="22"/>
        </w:rPr>
        <w:t>MPK1</w:t>
      </w:r>
      <w:r w:rsidRPr="003B705D">
        <w:rPr>
          <w:rFonts w:ascii="Arial" w:hAnsi="Arial" w:cs="Arial"/>
          <w:sz w:val="22"/>
          <w:szCs w:val="22"/>
        </w:rPr>
        <w:t xml:space="preserve">, </w:t>
      </w:r>
      <w:r w:rsidRPr="003B705D">
        <w:rPr>
          <w:rFonts w:ascii="Arial" w:hAnsi="Arial" w:cs="Arial"/>
          <w:i/>
          <w:sz w:val="22"/>
          <w:szCs w:val="22"/>
        </w:rPr>
        <w:t>CNA1</w:t>
      </w:r>
      <w:r w:rsidRPr="003B705D">
        <w:rPr>
          <w:rFonts w:ascii="Arial" w:hAnsi="Arial" w:cs="Arial"/>
          <w:sz w:val="22"/>
          <w:szCs w:val="22"/>
        </w:rPr>
        <w:t xml:space="preserve">, </w:t>
      </w:r>
      <w:r w:rsidRPr="003B705D">
        <w:rPr>
          <w:rFonts w:ascii="Arial" w:hAnsi="Arial" w:cs="Arial"/>
          <w:i/>
          <w:sz w:val="22"/>
          <w:szCs w:val="22"/>
        </w:rPr>
        <w:t>RAS1</w:t>
      </w:r>
      <w:r w:rsidRPr="003B705D">
        <w:rPr>
          <w:rFonts w:ascii="Arial" w:hAnsi="Arial" w:cs="Arial"/>
          <w:sz w:val="22"/>
          <w:szCs w:val="22"/>
        </w:rPr>
        <w:t xml:space="preserve">, and </w:t>
      </w:r>
      <w:r w:rsidRPr="003B705D">
        <w:rPr>
          <w:rFonts w:ascii="Arial" w:hAnsi="Arial" w:cs="Arial"/>
          <w:i/>
          <w:sz w:val="22"/>
          <w:szCs w:val="22"/>
        </w:rPr>
        <w:t>HOG1</w:t>
      </w:r>
      <w:r w:rsidRPr="003B705D">
        <w:rPr>
          <w:rFonts w:ascii="Arial" w:hAnsi="Arial" w:cs="Arial"/>
          <w:sz w:val="22"/>
          <w:szCs w:val="22"/>
        </w:rPr>
        <w:t xml:space="preserve">) and </w:t>
      </w:r>
      <w:proofErr w:type="gramStart"/>
      <w:r w:rsidRPr="003B705D">
        <w:rPr>
          <w:rFonts w:ascii="Arial" w:hAnsi="Arial" w:cs="Arial"/>
          <w:sz w:val="22"/>
          <w:szCs w:val="22"/>
        </w:rPr>
        <w:t>a</w:t>
      </w:r>
      <w:proofErr w:type="gramEnd"/>
      <w:r w:rsidRPr="003B705D">
        <w:rPr>
          <w:rFonts w:ascii="Arial" w:hAnsi="Arial" w:cs="Arial"/>
          <w:sz w:val="22"/>
          <w:szCs w:val="22"/>
        </w:rPr>
        <w:t xml:space="preserve"> YPD control. The 96 well plates were incubated for one to two days at 30</w:t>
      </w:r>
      <w:r w:rsidRPr="003B705D">
        <w:rPr>
          <w:rFonts w:ascii="Arial" w:hAnsi="Arial" w:cs="Arial"/>
          <w:sz w:val="22"/>
          <w:szCs w:val="22"/>
        </w:rPr>
        <w:sym w:font="Symbol" w:char="F0B0"/>
      </w:r>
      <w:r w:rsidRPr="003B705D">
        <w:rPr>
          <w:rFonts w:ascii="Arial" w:hAnsi="Arial" w:cs="Arial"/>
          <w:sz w:val="22"/>
          <w:szCs w:val="22"/>
        </w:rPr>
        <w:t xml:space="preserve">C. Colonies were pin replicated into 384 well </w:t>
      </w:r>
      <w:proofErr w:type="spellStart"/>
      <w:r w:rsidRPr="003B705D">
        <w:rPr>
          <w:rFonts w:ascii="Arial" w:hAnsi="Arial" w:cs="Arial"/>
          <w:sz w:val="22"/>
          <w:szCs w:val="22"/>
        </w:rPr>
        <w:t>microtiter</w:t>
      </w:r>
      <w:proofErr w:type="spellEnd"/>
      <w:r w:rsidRPr="003B705D">
        <w:rPr>
          <w:rFonts w:ascii="Arial" w:hAnsi="Arial" w:cs="Arial"/>
          <w:sz w:val="22"/>
          <w:szCs w:val="22"/>
        </w:rPr>
        <w:t xml:space="preserve"> plates containing 80 µL of YPD broth in each well. The 384 well plates were incubated for one to two days at 30C. They </w:t>
      </w:r>
      <w:r w:rsidRPr="003B705D">
        <w:rPr>
          <w:rFonts w:ascii="Arial" w:hAnsi="Arial" w:cs="Arial"/>
          <w:sz w:val="22"/>
          <w:szCs w:val="22"/>
        </w:rPr>
        <w:lastRenderedPageBreak/>
        <w:t>were then pinned onto one well solid agar plates in duplicate using the BM5-BC Colony Processing Robot (S &amp; P Robotics) in 1536 array format.</w:t>
      </w:r>
    </w:p>
    <w:p w14:paraId="6F1DF9B1" w14:textId="4A8A0466" w:rsidR="00F31EDA" w:rsidRPr="002C24F0" w:rsidRDefault="00F31EDA" w:rsidP="00F31EDA">
      <w:pPr>
        <w:rPr>
          <w:rFonts w:ascii="Arial" w:hAnsi="Arial"/>
          <w:b/>
        </w:rPr>
      </w:pPr>
    </w:p>
    <w:p w14:paraId="77D4A415" w14:textId="096E2451" w:rsidR="00AD78BA" w:rsidRDefault="00AD78BA">
      <w:pPr>
        <w:rPr>
          <w:rFonts w:ascii="Arial" w:hAnsi="Arial"/>
        </w:rPr>
      </w:pPr>
      <w:bookmarkStart w:id="0" w:name="_GoBack"/>
      <w:bookmarkEnd w:id="0"/>
      <w:r>
        <w:rPr>
          <w:rFonts w:ascii="Arial" w:hAnsi="Arial"/>
        </w:rPr>
        <w:br w:type="page"/>
      </w:r>
    </w:p>
    <w:p w14:paraId="59F462D2" w14:textId="3B6FAA31" w:rsidR="00AD78BA" w:rsidRPr="002C24F0" w:rsidRDefault="00AD78BA" w:rsidP="002C24F0">
      <w:pPr>
        <w:pStyle w:val="Bibliography"/>
        <w:ind w:left="0" w:firstLine="0"/>
        <w:rPr>
          <w:rFonts w:ascii="Arial" w:hAnsi="Arial"/>
          <w:b/>
          <w:sz w:val="22"/>
          <w:szCs w:val="22"/>
        </w:rPr>
      </w:pPr>
      <w:r w:rsidRPr="002C24F0">
        <w:rPr>
          <w:rFonts w:ascii="Arial" w:hAnsi="Arial"/>
          <w:b/>
          <w:sz w:val="22"/>
          <w:szCs w:val="22"/>
        </w:rPr>
        <w:lastRenderedPageBreak/>
        <w:t>References</w:t>
      </w:r>
    </w:p>
    <w:p w14:paraId="3DDF07AD" w14:textId="77777777" w:rsidR="002C24F0" w:rsidRPr="002C24F0" w:rsidRDefault="00AD78BA" w:rsidP="002C24F0">
      <w:pPr>
        <w:pStyle w:val="Bibliography"/>
        <w:rPr>
          <w:rFonts w:ascii="Arial" w:hAnsi="Arial"/>
          <w:sz w:val="22"/>
          <w:szCs w:val="22"/>
        </w:rPr>
      </w:pPr>
      <w:r w:rsidRPr="002C24F0">
        <w:rPr>
          <w:rFonts w:ascii="Arial" w:hAnsi="Arial"/>
          <w:sz w:val="22"/>
          <w:szCs w:val="22"/>
        </w:rPr>
        <w:fldChar w:fldCharType="begin"/>
      </w:r>
      <w:r w:rsidR="002C24F0" w:rsidRPr="002C24F0">
        <w:rPr>
          <w:rFonts w:ascii="Arial" w:hAnsi="Arial"/>
          <w:sz w:val="22"/>
          <w:szCs w:val="22"/>
        </w:rPr>
        <w:instrText xml:space="preserve"> ADDIN ZOTERO_BIBL {"custom":[]} CSL_BIBLIOGRAPHY </w:instrText>
      </w:r>
      <w:r w:rsidRPr="002C24F0">
        <w:rPr>
          <w:rFonts w:ascii="Arial" w:hAnsi="Arial"/>
          <w:sz w:val="22"/>
          <w:szCs w:val="22"/>
        </w:rPr>
        <w:fldChar w:fldCharType="separate"/>
      </w:r>
      <w:r w:rsidR="002C24F0" w:rsidRPr="002C24F0">
        <w:rPr>
          <w:rFonts w:ascii="Arial" w:hAnsi="Arial"/>
          <w:sz w:val="22"/>
          <w:szCs w:val="22"/>
        </w:rPr>
        <w:t xml:space="preserve">Chen Y, </w:t>
      </w:r>
      <w:proofErr w:type="spellStart"/>
      <w:r w:rsidR="002C24F0" w:rsidRPr="002C24F0">
        <w:rPr>
          <w:rFonts w:ascii="Arial" w:hAnsi="Arial"/>
          <w:sz w:val="22"/>
          <w:szCs w:val="22"/>
        </w:rPr>
        <w:t>Litvintseva</w:t>
      </w:r>
      <w:proofErr w:type="spellEnd"/>
      <w:r w:rsidR="002C24F0" w:rsidRPr="002C24F0">
        <w:rPr>
          <w:rFonts w:ascii="Arial" w:hAnsi="Arial"/>
          <w:sz w:val="22"/>
          <w:szCs w:val="22"/>
        </w:rPr>
        <w:t xml:space="preserve"> AP, </w:t>
      </w:r>
      <w:proofErr w:type="spellStart"/>
      <w:r w:rsidR="002C24F0" w:rsidRPr="002C24F0">
        <w:rPr>
          <w:rFonts w:ascii="Arial" w:hAnsi="Arial"/>
          <w:sz w:val="22"/>
          <w:szCs w:val="22"/>
        </w:rPr>
        <w:t>Frazzitta</w:t>
      </w:r>
      <w:proofErr w:type="spellEnd"/>
      <w:r w:rsidR="002C24F0" w:rsidRPr="002C24F0">
        <w:rPr>
          <w:rFonts w:ascii="Arial" w:hAnsi="Arial"/>
          <w:sz w:val="22"/>
          <w:szCs w:val="22"/>
        </w:rPr>
        <w:t xml:space="preserve"> AE, </w:t>
      </w:r>
      <w:proofErr w:type="spellStart"/>
      <w:r w:rsidR="002C24F0" w:rsidRPr="002C24F0">
        <w:rPr>
          <w:rFonts w:ascii="Arial" w:hAnsi="Arial"/>
          <w:sz w:val="22"/>
          <w:szCs w:val="22"/>
        </w:rPr>
        <w:t>Haverkamp</w:t>
      </w:r>
      <w:proofErr w:type="spellEnd"/>
      <w:r w:rsidR="002C24F0" w:rsidRPr="002C24F0">
        <w:rPr>
          <w:rFonts w:ascii="Arial" w:hAnsi="Arial"/>
          <w:sz w:val="22"/>
          <w:szCs w:val="22"/>
        </w:rPr>
        <w:t xml:space="preserve"> MR, Wang L, Fang C, </w:t>
      </w:r>
      <w:proofErr w:type="spellStart"/>
      <w:r w:rsidR="002C24F0" w:rsidRPr="002C24F0">
        <w:rPr>
          <w:rFonts w:ascii="Arial" w:hAnsi="Arial"/>
          <w:sz w:val="22"/>
          <w:szCs w:val="22"/>
        </w:rPr>
        <w:t>Muthoga</w:t>
      </w:r>
      <w:proofErr w:type="spellEnd"/>
      <w:r w:rsidR="002C24F0" w:rsidRPr="002C24F0">
        <w:rPr>
          <w:rFonts w:ascii="Arial" w:hAnsi="Arial"/>
          <w:sz w:val="22"/>
          <w:szCs w:val="22"/>
        </w:rPr>
        <w:t xml:space="preserve"> C, Mitchell TG, Perfect JR. 2015. </w:t>
      </w:r>
      <w:proofErr w:type="gramStart"/>
      <w:r w:rsidR="002C24F0" w:rsidRPr="002C24F0">
        <w:rPr>
          <w:rFonts w:ascii="Arial" w:hAnsi="Arial"/>
          <w:sz w:val="22"/>
          <w:szCs w:val="22"/>
        </w:rPr>
        <w:t xml:space="preserve">Comparative analyses of clinical and environmental populations of </w:t>
      </w:r>
      <w:r w:rsidR="002C24F0" w:rsidRPr="002C24F0">
        <w:rPr>
          <w:rFonts w:ascii="Arial" w:hAnsi="Arial"/>
          <w:i/>
          <w:iCs/>
          <w:sz w:val="22"/>
          <w:szCs w:val="22"/>
        </w:rPr>
        <w:t xml:space="preserve">Cryptococcus </w:t>
      </w:r>
      <w:proofErr w:type="spellStart"/>
      <w:r w:rsidR="002C24F0" w:rsidRPr="002C24F0">
        <w:rPr>
          <w:rFonts w:ascii="Arial" w:hAnsi="Arial"/>
          <w:i/>
          <w:iCs/>
          <w:sz w:val="22"/>
          <w:szCs w:val="22"/>
        </w:rPr>
        <w:t>neoformans</w:t>
      </w:r>
      <w:proofErr w:type="spellEnd"/>
      <w:r w:rsidR="002C24F0" w:rsidRPr="002C24F0">
        <w:rPr>
          <w:rFonts w:ascii="Arial" w:hAnsi="Arial"/>
          <w:sz w:val="22"/>
          <w:szCs w:val="22"/>
        </w:rPr>
        <w:t xml:space="preserve"> in Botswana.</w:t>
      </w:r>
      <w:proofErr w:type="gramEnd"/>
      <w:r w:rsidR="002C24F0" w:rsidRPr="002C24F0">
        <w:rPr>
          <w:rFonts w:ascii="Arial" w:hAnsi="Arial"/>
          <w:sz w:val="22"/>
          <w:szCs w:val="22"/>
        </w:rPr>
        <w:t xml:space="preserve"> </w:t>
      </w:r>
      <w:proofErr w:type="spellStart"/>
      <w:proofErr w:type="gramStart"/>
      <w:r w:rsidR="002C24F0" w:rsidRPr="002C24F0">
        <w:rPr>
          <w:rFonts w:ascii="Arial" w:hAnsi="Arial"/>
          <w:i/>
          <w:iCs/>
          <w:sz w:val="22"/>
          <w:szCs w:val="22"/>
        </w:rPr>
        <w:t>Mol</w:t>
      </w:r>
      <w:proofErr w:type="spellEnd"/>
      <w:r w:rsidR="002C24F0" w:rsidRPr="002C24F0">
        <w:rPr>
          <w:rFonts w:ascii="Arial" w:hAnsi="Arial"/>
          <w:i/>
          <w:iCs/>
          <w:sz w:val="22"/>
          <w:szCs w:val="22"/>
        </w:rPr>
        <w:t xml:space="preserve"> </w:t>
      </w:r>
      <w:proofErr w:type="spellStart"/>
      <w:r w:rsidR="002C24F0" w:rsidRPr="002C24F0">
        <w:rPr>
          <w:rFonts w:ascii="Arial" w:hAnsi="Arial"/>
          <w:i/>
          <w:iCs/>
          <w:sz w:val="22"/>
          <w:szCs w:val="22"/>
        </w:rPr>
        <w:t>Ecol</w:t>
      </w:r>
      <w:proofErr w:type="spellEnd"/>
      <w:r w:rsidR="002C24F0" w:rsidRPr="002C24F0">
        <w:rPr>
          <w:rFonts w:ascii="Arial" w:hAnsi="Arial"/>
          <w:sz w:val="22"/>
          <w:szCs w:val="22"/>
        </w:rPr>
        <w:t xml:space="preserve"> </w:t>
      </w:r>
      <w:r w:rsidR="002C24F0" w:rsidRPr="002C24F0">
        <w:rPr>
          <w:rFonts w:ascii="Arial" w:hAnsi="Arial"/>
          <w:b/>
          <w:bCs/>
          <w:sz w:val="22"/>
          <w:szCs w:val="22"/>
        </w:rPr>
        <w:t>24</w:t>
      </w:r>
      <w:r w:rsidR="002C24F0" w:rsidRPr="002C24F0">
        <w:rPr>
          <w:rFonts w:ascii="Arial" w:hAnsi="Arial"/>
          <w:sz w:val="22"/>
          <w:szCs w:val="22"/>
        </w:rPr>
        <w:t>: 3559–3571.</w:t>
      </w:r>
      <w:proofErr w:type="gramEnd"/>
    </w:p>
    <w:p w14:paraId="30364301" w14:textId="77777777" w:rsidR="002C24F0" w:rsidRPr="002C24F0" w:rsidRDefault="002C24F0" w:rsidP="002C24F0">
      <w:pPr>
        <w:pStyle w:val="Bibliography"/>
        <w:rPr>
          <w:rFonts w:ascii="Arial" w:hAnsi="Arial"/>
          <w:sz w:val="22"/>
          <w:szCs w:val="22"/>
        </w:rPr>
      </w:pPr>
      <w:r w:rsidRPr="002C24F0">
        <w:rPr>
          <w:rFonts w:ascii="Arial" w:hAnsi="Arial"/>
          <w:sz w:val="22"/>
          <w:szCs w:val="22"/>
        </w:rPr>
        <w:t xml:space="preserve">Chow EWL, Morrow CA, </w:t>
      </w:r>
      <w:proofErr w:type="spellStart"/>
      <w:r w:rsidRPr="002C24F0">
        <w:rPr>
          <w:rFonts w:ascii="Arial" w:hAnsi="Arial"/>
          <w:sz w:val="22"/>
          <w:szCs w:val="22"/>
        </w:rPr>
        <w:t>Djordjevic</w:t>
      </w:r>
      <w:proofErr w:type="spellEnd"/>
      <w:r w:rsidRPr="002C24F0">
        <w:rPr>
          <w:rFonts w:ascii="Arial" w:hAnsi="Arial"/>
          <w:sz w:val="22"/>
          <w:szCs w:val="22"/>
        </w:rPr>
        <w:t xml:space="preserve"> JT, Wood IA, Fraser JA. 2012. Microevolution of </w:t>
      </w:r>
      <w:r w:rsidRPr="002C24F0">
        <w:rPr>
          <w:rFonts w:ascii="Arial" w:hAnsi="Arial"/>
          <w:i/>
          <w:iCs/>
          <w:sz w:val="22"/>
          <w:szCs w:val="22"/>
        </w:rPr>
        <w:t xml:space="preserve">Cryptococcus </w:t>
      </w:r>
      <w:proofErr w:type="spellStart"/>
      <w:r w:rsidRPr="002C24F0">
        <w:rPr>
          <w:rFonts w:ascii="Arial" w:hAnsi="Arial"/>
          <w:i/>
          <w:iCs/>
          <w:sz w:val="22"/>
          <w:szCs w:val="22"/>
        </w:rPr>
        <w:t>neoformans</w:t>
      </w:r>
      <w:proofErr w:type="spellEnd"/>
      <w:r w:rsidRPr="002C24F0">
        <w:rPr>
          <w:rFonts w:ascii="Arial" w:hAnsi="Arial"/>
          <w:sz w:val="22"/>
          <w:szCs w:val="22"/>
        </w:rPr>
        <w:t xml:space="preserve"> driven by massive tandem gene amplification. </w:t>
      </w:r>
      <w:proofErr w:type="spellStart"/>
      <w:proofErr w:type="gramStart"/>
      <w:r w:rsidRPr="002C24F0">
        <w:rPr>
          <w:rFonts w:ascii="Arial" w:hAnsi="Arial"/>
          <w:i/>
          <w:iCs/>
          <w:sz w:val="22"/>
          <w:szCs w:val="22"/>
        </w:rPr>
        <w:t>Mol</w:t>
      </w:r>
      <w:proofErr w:type="spellEnd"/>
      <w:r w:rsidRPr="002C24F0">
        <w:rPr>
          <w:rFonts w:ascii="Arial" w:hAnsi="Arial"/>
          <w:i/>
          <w:iCs/>
          <w:sz w:val="22"/>
          <w:szCs w:val="22"/>
        </w:rPr>
        <w:t xml:space="preserve"> </w:t>
      </w:r>
      <w:proofErr w:type="spellStart"/>
      <w:r w:rsidRPr="002C24F0">
        <w:rPr>
          <w:rFonts w:ascii="Arial" w:hAnsi="Arial"/>
          <w:i/>
          <w:iCs/>
          <w:sz w:val="22"/>
          <w:szCs w:val="22"/>
        </w:rPr>
        <w:t>Biol</w:t>
      </w:r>
      <w:proofErr w:type="spellEnd"/>
      <w:r w:rsidRPr="002C24F0">
        <w:rPr>
          <w:rFonts w:ascii="Arial" w:hAnsi="Arial"/>
          <w:i/>
          <w:iCs/>
          <w:sz w:val="22"/>
          <w:szCs w:val="22"/>
        </w:rPr>
        <w:t xml:space="preserve"> </w:t>
      </w:r>
      <w:proofErr w:type="spellStart"/>
      <w:r w:rsidRPr="002C24F0">
        <w:rPr>
          <w:rFonts w:ascii="Arial" w:hAnsi="Arial"/>
          <w:i/>
          <w:iCs/>
          <w:sz w:val="22"/>
          <w:szCs w:val="22"/>
        </w:rPr>
        <w:t>Evol</w:t>
      </w:r>
      <w:proofErr w:type="spellEnd"/>
      <w:r w:rsidRPr="002C24F0">
        <w:rPr>
          <w:rFonts w:ascii="Arial" w:hAnsi="Arial"/>
          <w:sz w:val="22"/>
          <w:szCs w:val="22"/>
        </w:rPr>
        <w:t xml:space="preserve"> </w:t>
      </w:r>
      <w:r w:rsidRPr="002C24F0">
        <w:rPr>
          <w:rFonts w:ascii="Arial" w:hAnsi="Arial"/>
          <w:b/>
          <w:bCs/>
          <w:sz w:val="22"/>
          <w:szCs w:val="22"/>
        </w:rPr>
        <w:t>29</w:t>
      </w:r>
      <w:r w:rsidRPr="002C24F0">
        <w:rPr>
          <w:rFonts w:ascii="Arial" w:hAnsi="Arial"/>
          <w:sz w:val="22"/>
          <w:szCs w:val="22"/>
        </w:rPr>
        <w:t>: 1987–2000.</w:t>
      </w:r>
      <w:proofErr w:type="gramEnd"/>
    </w:p>
    <w:p w14:paraId="2CB537F5" w14:textId="77777777" w:rsidR="002C24F0" w:rsidRPr="002C24F0" w:rsidRDefault="002C24F0" w:rsidP="002C24F0">
      <w:pPr>
        <w:pStyle w:val="Bibliography"/>
        <w:rPr>
          <w:rFonts w:ascii="Arial" w:hAnsi="Arial"/>
          <w:sz w:val="22"/>
          <w:szCs w:val="22"/>
        </w:rPr>
      </w:pPr>
      <w:proofErr w:type="spellStart"/>
      <w:r w:rsidRPr="002C24F0">
        <w:rPr>
          <w:rFonts w:ascii="Arial" w:hAnsi="Arial"/>
          <w:sz w:val="22"/>
          <w:szCs w:val="22"/>
        </w:rPr>
        <w:t>Danecek</w:t>
      </w:r>
      <w:proofErr w:type="spellEnd"/>
      <w:r w:rsidRPr="002C24F0">
        <w:rPr>
          <w:rFonts w:ascii="Arial" w:hAnsi="Arial"/>
          <w:sz w:val="22"/>
          <w:szCs w:val="22"/>
        </w:rPr>
        <w:t xml:space="preserve"> P, </w:t>
      </w:r>
      <w:proofErr w:type="spellStart"/>
      <w:r w:rsidRPr="002C24F0">
        <w:rPr>
          <w:rFonts w:ascii="Arial" w:hAnsi="Arial"/>
          <w:sz w:val="22"/>
          <w:szCs w:val="22"/>
        </w:rPr>
        <w:t>Auton</w:t>
      </w:r>
      <w:proofErr w:type="spellEnd"/>
      <w:r w:rsidRPr="002C24F0">
        <w:rPr>
          <w:rFonts w:ascii="Arial" w:hAnsi="Arial"/>
          <w:sz w:val="22"/>
          <w:szCs w:val="22"/>
        </w:rPr>
        <w:t xml:space="preserve"> A, </w:t>
      </w:r>
      <w:proofErr w:type="spellStart"/>
      <w:r w:rsidRPr="002C24F0">
        <w:rPr>
          <w:rFonts w:ascii="Arial" w:hAnsi="Arial"/>
          <w:sz w:val="22"/>
          <w:szCs w:val="22"/>
        </w:rPr>
        <w:t>Abecasis</w:t>
      </w:r>
      <w:proofErr w:type="spellEnd"/>
      <w:r w:rsidRPr="002C24F0">
        <w:rPr>
          <w:rFonts w:ascii="Arial" w:hAnsi="Arial"/>
          <w:sz w:val="22"/>
          <w:szCs w:val="22"/>
        </w:rPr>
        <w:t xml:space="preserve"> G, Albers CA, Banks E, </w:t>
      </w:r>
      <w:proofErr w:type="spellStart"/>
      <w:r w:rsidRPr="002C24F0">
        <w:rPr>
          <w:rFonts w:ascii="Arial" w:hAnsi="Arial"/>
          <w:sz w:val="22"/>
          <w:szCs w:val="22"/>
        </w:rPr>
        <w:t>DePristo</w:t>
      </w:r>
      <w:proofErr w:type="spellEnd"/>
      <w:r w:rsidRPr="002C24F0">
        <w:rPr>
          <w:rFonts w:ascii="Arial" w:hAnsi="Arial"/>
          <w:sz w:val="22"/>
          <w:szCs w:val="22"/>
        </w:rPr>
        <w:t xml:space="preserve"> MA, </w:t>
      </w:r>
      <w:proofErr w:type="spellStart"/>
      <w:r w:rsidRPr="002C24F0">
        <w:rPr>
          <w:rFonts w:ascii="Arial" w:hAnsi="Arial"/>
          <w:sz w:val="22"/>
          <w:szCs w:val="22"/>
        </w:rPr>
        <w:t>Handsaker</w:t>
      </w:r>
      <w:proofErr w:type="spellEnd"/>
      <w:r w:rsidRPr="002C24F0">
        <w:rPr>
          <w:rFonts w:ascii="Arial" w:hAnsi="Arial"/>
          <w:sz w:val="22"/>
          <w:szCs w:val="22"/>
        </w:rPr>
        <w:t xml:space="preserve"> RE, </w:t>
      </w:r>
      <w:proofErr w:type="spellStart"/>
      <w:r w:rsidRPr="002C24F0">
        <w:rPr>
          <w:rFonts w:ascii="Arial" w:hAnsi="Arial"/>
          <w:sz w:val="22"/>
          <w:szCs w:val="22"/>
        </w:rPr>
        <w:t>Lunter</w:t>
      </w:r>
      <w:proofErr w:type="spellEnd"/>
      <w:r w:rsidRPr="002C24F0">
        <w:rPr>
          <w:rFonts w:ascii="Arial" w:hAnsi="Arial"/>
          <w:sz w:val="22"/>
          <w:szCs w:val="22"/>
        </w:rPr>
        <w:t xml:space="preserve"> G, </w:t>
      </w:r>
      <w:proofErr w:type="spellStart"/>
      <w:r w:rsidRPr="002C24F0">
        <w:rPr>
          <w:rFonts w:ascii="Arial" w:hAnsi="Arial"/>
          <w:sz w:val="22"/>
          <w:szCs w:val="22"/>
        </w:rPr>
        <w:t>Marth</w:t>
      </w:r>
      <w:proofErr w:type="spellEnd"/>
      <w:r w:rsidRPr="002C24F0">
        <w:rPr>
          <w:rFonts w:ascii="Arial" w:hAnsi="Arial"/>
          <w:sz w:val="22"/>
          <w:szCs w:val="22"/>
        </w:rPr>
        <w:t xml:space="preserve"> GT, Sherry ST, et al. 2011. </w:t>
      </w:r>
      <w:proofErr w:type="gramStart"/>
      <w:r w:rsidRPr="002C24F0">
        <w:rPr>
          <w:rFonts w:ascii="Arial" w:hAnsi="Arial"/>
          <w:sz w:val="22"/>
          <w:szCs w:val="22"/>
        </w:rPr>
        <w:t xml:space="preserve">The variant call format and </w:t>
      </w:r>
      <w:proofErr w:type="spellStart"/>
      <w:r w:rsidRPr="002C24F0">
        <w:rPr>
          <w:rFonts w:ascii="Arial" w:hAnsi="Arial"/>
          <w:sz w:val="22"/>
          <w:szCs w:val="22"/>
        </w:rPr>
        <w:t>VCFtools</w:t>
      </w:r>
      <w:proofErr w:type="spellEnd"/>
      <w:r w:rsidRPr="002C24F0">
        <w:rPr>
          <w:rFonts w:ascii="Arial" w:hAnsi="Arial"/>
          <w:sz w:val="22"/>
          <w:szCs w:val="22"/>
        </w:rPr>
        <w:t>.</w:t>
      </w:r>
      <w:proofErr w:type="gramEnd"/>
      <w:r w:rsidRPr="002C24F0">
        <w:rPr>
          <w:rFonts w:ascii="Arial" w:hAnsi="Arial"/>
          <w:sz w:val="22"/>
          <w:szCs w:val="22"/>
        </w:rPr>
        <w:t xml:space="preserve"> </w:t>
      </w:r>
      <w:proofErr w:type="gramStart"/>
      <w:r w:rsidRPr="002C24F0">
        <w:rPr>
          <w:rFonts w:ascii="Arial" w:hAnsi="Arial"/>
          <w:i/>
          <w:iCs/>
          <w:sz w:val="22"/>
          <w:szCs w:val="22"/>
        </w:rPr>
        <w:t>Bioinformatics</w:t>
      </w:r>
      <w:r w:rsidRPr="002C24F0">
        <w:rPr>
          <w:rFonts w:ascii="Arial" w:hAnsi="Arial"/>
          <w:sz w:val="22"/>
          <w:szCs w:val="22"/>
        </w:rPr>
        <w:t xml:space="preserve"> </w:t>
      </w:r>
      <w:r w:rsidRPr="002C24F0">
        <w:rPr>
          <w:rFonts w:ascii="Arial" w:hAnsi="Arial"/>
          <w:b/>
          <w:bCs/>
          <w:sz w:val="22"/>
          <w:szCs w:val="22"/>
        </w:rPr>
        <w:t>27</w:t>
      </w:r>
      <w:r w:rsidRPr="002C24F0">
        <w:rPr>
          <w:rFonts w:ascii="Arial" w:hAnsi="Arial"/>
          <w:sz w:val="22"/>
          <w:szCs w:val="22"/>
        </w:rPr>
        <w:t>: 2156–2158.</w:t>
      </w:r>
      <w:proofErr w:type="gramEnd"/>
    </w:p>
    <w:p w14:paraId="3F308D7E" w14:textId="77777777" w:rsidR="002C24F0" w:rsidRPr="002C24F0" w:rsidRDefault="002C24F0" w:rsidP="002C24F0">
      <w:pPr>
        <w:pStyle w:val="Bibliography"/>
        <w:rPr>
          <w:rFonts w:ascii="Arial" w:hAnsi="Arial"/>
          <w:sz w:val="22"/>
          <w:szCs w:val="22"/>
        </w:rPr>
      </w:pPr>
      <w:proofErr w:type="spellStart"/>
      <w:r w:rsidRPr="002C24F0">
        <w:rPr>
          <w:rFonts w:ascii="Arial" w:hAnsi="Arial"/>
          <w:sz w:val="22"/>
          <w:szCs w:val="22"/>
        </w:rPr>
        <w:t>Litvintseva</w:t>
      </w:r>
      <w:proofErr w:type="spellEnd"/>
      <w:r w:rsidRPr="002C24F0">
        <w:rPr>
          <w:rFonts w:ascii="Arial" w:hAnsi="Arial"/>
          <w:sz w:val="22"/>
          <w:szCs w:val="22"/>
        </w:rPr>
        <w:t xml:space="preserve"> AP, Thakur R, </w:t>
      </w:r>
      <w:proofErr w:type="spellStart"/>
      <w:r w:rsidRPr="002C24F0">
        <w:rPr>
          <w:rFonts w:ascii="Arial" w:hAnsi="Arial"/>
          <w:sz w:val="22"/>
          <w:szCs w:val="22"/>
        </w:rPr>
        <w:t>Vilgalys</w:t>
      </w:r>
      <w:proofErr w:type="spellEnd"/>
      <w:r w:rsidRPr="002C24F0">
        <w:rPr>
          <w:rFonts w:ascii="Arial" w:hAnsi="Arial"/>
          <w:sz w:val="22"/>
          <w:szCs w:val="22"/>
        </w:rPr>
        <w:t xml:space="preserve"> R, Mitchell TG. 2006. </w:t>
      </w:r>
      <w:proofErr w:type="spellStart"/>
      <w:r w:rsidRPr="002C24F0">
        <w:rPr>
          <w:rFonts w:ascii="Arial" w:hAnsi="Arial"/>
          <w:sz w:val="22"/>
          <w:szCs w:val="22"/>
        </w:rPr>
        <w:t>Multilocus</w:t>
      </w:r>
      <w:proofErr w:type="spellEnd"/>
      <w:r w:rsidRPr="002C24F0">
        <w:rPr>
          <w:rFonts w:ascii="Arial" w:hAnsi="Arial"/>
          <w:sz w:val="22"/>
          <w:szCs w:val="22"/>
        </w:rPr>
        <w:t xml:space="preserve"> sequence typing reveals three genetic subpopulations of </w:t>
      </w:r>
      <w:r w:rsidRPr="002C24F0">
        <w:rPr>
          <w:rFonts w:ascii="Arial" w:hAnsi="Arial"/>
          <w:i/>
          <w:iCs/>
          <w:sz w:val="22"/>
          <w:szCs w:val="22"/>
        </w:rPr>
        <w:t xml:space="preserve">Cryptococcus </w:t>
      </w:r>
      <w:proofErr w:type="spellStart"/>
      <w:r w:rsidRPr="002C24F0">
        <w:rPr>
          <w:rFonts w:ascii="Arial" w:hAnsi="Arial"/>
          <w:i/>
          <w:iCs/>
          <w:sz w:val="22"/>
          <w:szCs w:val="22"/>
        </w:rPr>
        <w:t>neoformans</w:t>
      </w:r>
      <w:proofErr w:type="spellEnd"/>
      <w:r w:rsidRPr="002C24F0">
        <w:rPr>
          <w:rFonts w:ascii="Arial" w:hAnsi="Arial"/>
          <w:sz w:val="22"/>
          <w:szCs w:val="22"/>
        </w:rPr>
        <w:t xml:space="preserve"> var. </w:t>
      </w:r>
      <w:proofErr w:type="spellStart"/>
      <w:r w:rsidRPr="002C24F0">
        <w:rPr>
          <w:rFonts w:ascii="Arial" w:hAnsi="Arial"/>
          <w:i/>
          <w:iCs/>
          <w:sz w:val="22"/>
          <w:szCs w:val="22"/>
        </w:rPr>
        <w:t>grubii</w:t>
      </w:r>
      <w:proofErr w:type="spellEnd"/>
      <w:r w:rsidRPr="002C24F0">
        <w:rPr>
          <w:rFonts w:ascii="Arial" w:hAnsi="Arial"/>
          <w:i/>
          <w:iCs/>
          <w:sz w:val="22"/>
          <w:szCs w:val="22"/>
        </w:rPr>
        <w:t xml:space="preserve"> </w:t>
      </w:r>
      <w:r w:rsidRPr="002C24F0">
        <w:rPr>
          <w:rFonts w:ascii="Arial" w:hAnsi="Arial"/>
          <w:sz w:val="22"/>
          <w:szCs w:val="22"/>
        </w:rPr>
        <w:t xml:space="preserve">(Serotype A), including a unique population in Botswana. </w:t>
      </w:r>
      <w:proofErr w:type="gramStart"/>
      <w:r w:rsidRPr="002C24F0">
        <w:rPr>
          <w:rFonts w:ascii="Arial" w:hAnsi="Arial"/>
          <w:i/>
          <w:iCs/>
          <w:sz w:val="22"/>
          <w:szCs w:val="22"/>
        </w:rPr>
        <w:t>Genetics</w:t>
      </w:r>
      <w:r w:rsidRPr="002C24F0">
        <w:rPr>
          <w:rFonts w:ascii="Arial" w:hAnsi="Arial"/>
          <w:sz w:val="22"/>
          <w:szCs w:val="22"/>
        </w:rPr>
        <w:t xml:space="preserve"> </w:t>
      </w:r>
      <w:r w:rsidRPr="002C24F0">
        <w:rPr>
          <w:rFonts w:ascii="Arial" w:hAnsi="Arial"/>
          <w:b/>
          <w:bCs/>
          <w:sz w:val="22"/>
          <w:szCs w:val="22"/>
        </w:rPr>
        <w:t>172</w:t>
      </w:r>
      <w:r w:rsidRPr="002C24F0">
        <w:rPr>
          <w:rFonts w:ascii="Arial" w:hAnsi="Arial"/>
          <w:sz w:val="22"/>
          <w:szCs w:val="22"/>
        </w:rPr>
        <w:t>: 2223–2238.</w:t>
      </w:r>
      <w:proofErr w:type="gramEnd"/>
    </w:p>
    <w:p w14:paraId="44B0EC4C" w14:textId="77777777" w:rsidR="002C24F0" w:rsidRPr="002C24F0" w:rsidRDefault="002C24F0" w:rsidP="002C24F0">
      <w:pPr>
        <w:pStyle w:val="Bibliography"/>
        <w:rPr>
          <w:rFonts w:ascii="Arial" w:hAnsi="Arial"/>
          <w:sz w:val="22"/>
          <w:szCs w:val="22"/>
        </w:rPr>
      </w:pPr>
      <w:r w:rsidRPr="002C24F0">
        <w:rPr>
          <w:rFonts w:ascii="Arial" w:hAnsi="Arial"/>
          <w:sz w:val="22"/>
          <w:szCs w:val="22"/>
        </w:rPr>
        <w:t xml:space="preserve">McKenna A, Hanna M, Banks E, </w:t>
      </w:r>
      <w:proofErr w:type="spellStart"/>
      <w:r w:rsidRPr="002C24F0">
        <w:rPr>
          <w:rFonts w:ascii="Arial" w:hAnsi="Arial"/>
          <w:sz w:val="22"/>
          <w:szCs w:val="22"/>
        </w:rPr>
        <w:t>Sivachenko</w:t>
      </w:r>
      <w:proofErr w:type="spellEnd"/>
      <w:r w:rsidRPr="002C24F0">
        <w:rPr>
          <w:rFonts w:ascii="Arial" w:hAnsi="Arial"/>
          <w:sz w:val="22"/>
          <w:szCs w:val="22"/>
        </w:rPr>
        <w:t xml:space="preserve"> A, </w:t>
      </w:r>
      <w:proofErr w:type="spellStart"/>
      <w:r w:rsidRPr="002C24F0">
        <w:rPr>
          <w:rFonts w:ascii="Arial" w:hAnsi="Arial"/>
          <w:sz w:val="22"/>
          <w:szCs w:val="22"/>
        </w:rPr>
        <w:t>Cibulskis</w:t>
      </w:r>
      <w:proofErr w:type="spellEnd"/>
      <w:r w:rsidRPr="002C24F0">
        <w:rPr>
          <w:rFonts w:ascii="Arial" w:hAnsi="Arial"/>
          <w:sz w:val="22"/>
          <w:szCs w:val="22"/>
        </w:rPr>
        <w:t xml:space="preserve"> K, </w:t>
      </w:r>
      <w:proofErr w:type="spellStart"/>
      <w:r w:rsidRPr="002C24F0">
        <w:rPr>
          <w:rFonts w:ascii="Arial" w:hAnsi="Arial"/>
          <w:sz w:val="22"/>
          <w:szCs w:val="22"/>
        </w:rPr>
        <w:t>Kernytsky</w:t>
      </w:r>
      <w:proofErr w:type="spellEnd"/>
      <w:r w:rsidRPr="002C24F0">
        <w:rPr>
          <w:rFonts w:ascii="Arial" w:hAnsi="Arial"/>
          <w:sz w:val="22"/>
          <w:szCs w:val="22"/>
        </w:rPr>
        <w:t xml:space="preserve"> A, </w:t>
      </w:r>
      <w:proofErr w:type="spellStart"/>
      <w:r w:rsidRPr="002C24F0">
        <w:rPr>
          <w:rFonts w:ascii="Arial" w:hAnsi="Arial"/>
          <w:sz w:val="22"/>
          <w:szCs w:val="22"/>
        </w:rPr>
        <w:t>Garimella</w:t>
      </w:r>
      <w:proofErr w:type="spellEnd"/>
      <w:r w:rsidRPr="002C24F0">
        <w:rPr>
          <w:rFonts w:ascii="Arial" w:hAnsi="Arial"/>
          <w:sz w:val="22"/>
          <w:szCs w:val="22"/>
        </w:rPr>
        <w:t xml:space="preserve"> K, </w:t>
      </w:r>
      <w:proofErr w:type="spellStart"/>
      <w:r w:rsidRPr="002C24F0">
        <w:rPr>
          <w:rFonts w:ascii="Arial" w:hAnsi="Arial"/>
          <w:sz w:val="22"/>
          <w:szCs w:val="22"/>
        </w:rPr>
        <w:t>Altshuler</w:t>
      </w:r>
      <w:proofErr w:type="spellEnd"/>
      <w:r w:rsidRPr="002C24F0">
        <w:rPr>
          <w:rFonts w:ascii="Arial" w:hAnsi="Arial"/>
          <w:sz w:val="22"/>
          <w:szCs w:val="22"/>
        </w:rPr>
        <w:t xml:space="preserve"> D, Gabriel S, Daly M, et al. 2010. The Genome Analysis Toolkit: a </w:t>
      </w:r>
      <w:proofErr w:type="spellStart"/>
      <w:r w:rsidRPr="002C24F0">
        <w:rPr>
          <w:rFonts w:ascii="Arial" w:hAnsi="Arial"/>
          <w:sz w:val="22"/>
          <w:szCs w:val="22"/>
        </w:rPr>
        <w:t>MapReduce</w:t>
      </w:r>
      <w:proofErr w:type="spellEnd"/>
      <w:r w:rsidRPr="002C24F0">
        <w:rPr>
          <w:rFonts w:ascii="Arial" w:hAnsi="Arial"/>
          <w:sz w:val="22"/>
          <w:szCs w:val="22"/>
        </w:rPr>
        <w:t xml:space="preserve"> framework for analyzing next-generation DNA sequencing data. </w:t>
      </w:r>
      <w:proofErr w:type="gramStart"/>
      <w:r w:rsidRPr="002C24F0">
        <w:rPr>
          <w:rFonts w:ascii="Arial" w:hAnsi="Arial"/>
          <w:i/>
          <w:iCs/>
          <w:sz w:val="22"/>
          <w:szCs w:val="22"/>
        </w:rPr>
        <w:t>Genome Res</w:t>
      </w:r>
      <w:r w:rsidRPr="002C24F0">
        <w:rPr>
          <w:rFonts w:ascii="Arial" w:hAnsi="Arial"/>
          <w:sz w:val="22"/>
          <w:szCs w:val="22"/>
        </w:rPr>
        <w:t xml:space="preserve"> </w:t>
      </w:r>
      <w:r w:rsidRPr="002C24F0">
        <w:rPr>
          <w:rFonts w:ascii="Arial" w:hAnsi="Arial"/>
          <w:b/>
          <w:bCs/>
          <w:sz w:val="22"/>
          <w:szCs w:val="22"/>
        </w:rPr>
        <w:t>20</w:t>
      </w:r>
      <w:r w:rsidRPr="002C24F0">
        <w:rPr>
          <w:rFonts w:ascii="Arial" w:hAnsi="Arial"/>
          <w:sz w:val="22"/>
          <w:szCs w:val="22"/>
        </w:rPr>
        <w:t>: 1297–1303.</w:t>
      </w:r>
      <w:proofErr w:type="gramEnd"/>
    </w:p>
    <w:p w14:paraId="5265EB10" w14:textId="77777777" w:rsidR="002C24F0" w:rsidRPr="002C24F0" w:rsidRDefault="002C24F0" w:rsidP="002C24F0">
      <w:pPr>
        <w:pStyle w:val="Bibliography"/>
        <w:rPr>
          <w:rFonts w:ascii="Arial" w:hAnsi="Arial"/>
          <w:sz w:val="22"/>
          <w:szCs w:val="22"/>
        </w:rPr>
      </w:pPr>
      <w:r w:rsidRPr="002C24F0">
        <w:rPr>
          <w:rFonts w:ascii="Arial" w:hAnsi="Arial"/>
          <w:sz w:val="22"/>
          <w:szCs w:val="22"/>
        </w:rPr>
        <w:t xml:space="preserve">Pfeifer B, </w:t>
      </w:r>
      <w:proofErr w:type="spellStart"/>
      <w:r w:rsidRPr="002C24F0">
        <w:rPr>
          <w:rFonts w:ascii="Arial" w:hAnsi="Arial"/>
          <w:sz w:val="22"/>
          <w:szCs w:val="22"/>
        </w:rPr>
        <w:t>Wittelsbürger</w:t>
      </w:r>
      <w:proofErr w:type="spellEnd"/>
      <w:r w:rsidRPr="002C24F0">
        <w:rPr>
          <w:rFonts w:ascii="Arial" w:hAnsi="Arial"/>
          <w:sz w:val="22"/>
          <w:szCs w:val="22"/>
        </w:rPr>
        <w:t xml:space="preserve"> U, Ramos-</w:t>
      </w:r>
      <w:proofErr w:type="spellStart"/>
      <w:r w:rsidRPr="002C24F0">
        <w:rPr>
          <w:rFonts w:ascii="Arial" w:hAnsi="Arial"/>
          <w:sz w:val="22"/>
          <w:szCs w:val="22"/>
        </w:rPr>
        <w:t>Onsins</w:t>
      </w:r>
      <w:proofErr w:type="spellEnd"/>
      <w:r w:rsidRPr="002C24F0">
        <w:rPr>
          <w:rFonts w:ascii="Arial" w:hAnsi="Arial"/>
          <w:sz w:val="22"/>
          <w:szCs w:val="22"/>
        </w:rPr>
        <w:t xml:space="preserve"> SE, </w:t>
      </w:r>
      <w:proofErr w:type="spellStart"/>
      <w:r w:rsidRPr="002C24F0">
        <w:rPr>
          <w:rFonts w:ascii="Arial" w:hAnsi="Arial"/>
          <w:sz w:val="22"/>
          <w:szCs w:val="22"/>
        </w:rPr>
        <w:t>Lercher</w:t>
      </w:r>
      <w:proofErr w:type="spellEnd"/>
      <w:r w:rsidRPr="002C24F0">
        <w:rPr>
          <w:rFonts w:ascii="Arial" w:hAnsi="Arial"/>
          <w:sz w:val="22"/>
          <w:szCs w:val="22"/>
        </w:rPr>
        <w:t xml:space="preserve"> MJ. 2014. </w:t>
      </w:r>
      <w:proofErr w:type="spellStart"/>
      <w:r w:rsidRPr="002C24F0">
        <w:rPr>
          <w:rFonts w:ascii="Arial" w:hAnsi="Arial"/>
          <w:sz w:val="22"/>
          <w:szCs w:val="22"/>
        </w:rPr>
        <w:t>PopGenome</w:t>
      </w:r>
      <w:proofErr w:type="spellEnd"/>
      <w:r w:rsidRPr="002C24F0">
        <w:rPr>
          <w:rFonts w:ascii="Arial" w:hAnsi="Arial"/>
          <w:sz w:val="22"/>
          <w:szCs w:val="22"/>
        </w:rPr>
        <w:t xml:space="preserve">: an efficient </w:t>
      </w:r>
      <w:proofErr w:type="spellStart"/>
      <w:r w:rsidRPr="002C24F0">
        <w:rPr>
          <w:rFonts w:ascii="Arial" w:hAnsi="Arial"/>
          <w:sz w:val="22"/>
          <w:szCs w:val="22"/>
        </w:rPr>
        <w:t>swiss</w:t>
      </w:r>
      <w:proofErr w:type="spellEnd"/>
      <w:r w:rsidRPr="002C24F0">
        <w:rPr>
          <w:rFonts w:ascii="Arial" w:hAnsi="Arial"/>
          <w:sz w:val="22"/>
          <w:szCs w:val="22"/>
        </w:rPr>
        <w:t xml:space="preserve"> army knife for population genomic analyses in R. </w:t>
      </w:r>
      <w:proofErr w:type="spellStart"/>
      <w:r w:rsidRPr="002C24F0">
        <w:rPr>
          <w:rFonts w:ascii="Arial" w:hAnsi="Arial"/>
          <w:i/>
          <w:iCs/>
          <w:sz w:val="22"/>
          <w:szCs w:val="22"/>
        </w:rPr>
        <w:t>Mol</w:t>
      </w:r>
      <w:proofErr w:type="spellEnd"/>
      <w:r w:rsidRPr="002C24F0">
        <w:rPr>
          <w:rFonts w:ascii="Arial" w:hAnsi="Arial"/>
          <w:i/>
          <w:iCs/>
          <w:sz w:val="22"/>
          <w:szCs w:val="22"/>
        </w:rPr>
        <w:t xml:space="preserve"> </w:t>
      </w:r>
      <w:proofErr w:type="spellStart"/>
      <w:r w:rsidRPr="002C24F0">
        <w:rPr>
          <w:rFonts w:ascii="Arial" w:hAnsi="Arial"/>
          <w:i/>
          <w:iCs/>
          <w:sz w:val="22"/>
          <w:szCs w:val="22"/>
        </w:rPr>
        <w:t>Biol</w:t>
      </w:r>
      <w:proofErr w:type="spellEnd"/>
      <w:r w:rsidRPr="002C24F0">
        <w:rPr>
          <w:rFonts w:ascii="Arial" w:hAnsi="Arial"/>
          <w:i/>
          <w:iCs/>
          <w:sz w:val="22"/>
          <w:szCs w:val="22"/>
        </w:rPr>
        <w:t xml:space="preserve"> </w:t>
      </w:r>
      <w:proofErr w:type="spellStart"/>
      <w:r w:rsidRPr="002C24F0">
        <w:rPr>
          <w:rFonts w:ascii="Arial" w:hAnsi="Arial"/>
          <w:i/>
          <w:iCs/>
          <w:sz w:val="22"/>
          <w:szCs w:val="22"/>
        </w:rPr>
        <w:t>Evol</w:t>
      </w:r>
      <w:proofErr w:type="spellEnd"/>
      <w:r w:rsidRPr="002C24F0">
        <w:rPr>
          <w:rFonts w:ascii="Arial" w:hAnsi="Arial"/>
          <w:sz w:val="22"/>
          <w:szCs w:val="22"/>
        </w:rPr>
        <w:t xml:space="preserve"> </w:t>
      </w:r>
      <w:r w:rsidRPr="002C24F0">
        <w:rPr>
          <w:rFonts w:ascii="Arial" w:hAnsi="Arial"/>
          <w:b/>
          <w:bCs/>
          <w:sz w:val="22"/>
          <w:szCs w:val="22"/>
        </w:rPr>
        <w:t>31</w:t>
      </w:r>
      <w:r w:rsidRPr="002C24F0">
        <w:rPr>
          <w:rFonts w:ascii="Arial" w:hAnsi="Arial"/>
          <w:sz w:val="22"/>
          <w:szCs w:val="22"/>
        </w:rPr>
        <w:t>: 1929–1936.</w:t>
      </w:r>
    </w:p>
    <w:p w14:paraId="6173FE28" w14:textId="5F00F023" w:rsidR="001A102D" w:rsidRPr="00457901" w:rsidRDefault="00AD78BA" w:rsidP="002D4E70">
      <w:pPr>
        <w:rPr>
          <w:rFonts w:ascii="Arial" w:hAnsi="Arial"/>
        </w:rPr>
      </w:pPr>
      <w:r w:rsidRPr="002C24F0">
        <w:rPr>
          <w:rFonts w:ascii="Arial" w:hAnsi="Arial"/>
          <w:sz w:val="22"/>
          <w:szCs w:val="22"/>
        </w:rPr>
        <w:fldChar w:fldCharType="end"/>
      </w:r>
    </w:p>
    <w:sectPr w:rsidR="001A102D" w:rsidRPr="00457901" w:rsidSect="008C507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Bradley Hand Bold">
    <w:panose1 w:val="00000700000000000000"/>
    <w:charset w:val="00"/>
    <w:family w:val="auto"/>
    <w:pitch w:val="variable"/>
    <w:sig w:usb0="800000FF" w:usb1="5000204A" w:usb2="00000000" w:usb3="00000000" w:csb0="0000011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DFC"/>
    <w:rsid w:val="0004438F"/>
    <w:rsid w:val="0008269B"/>
    <w:rsid w:val="00093A7D"/>
    <w:rsid w:val="000B7002"/>
    <w:rsid w:val="00115B5C"/>
    <w:rsid w:val="0014169F"/>
    <w:rsid w:val="001A102D"/>
    <w:rsid w:val="001C4A95"/>
    <w:rsid w:val="0022530E"/>
    <w:rsid w:val="00263FDD"/>
    <w:rsid w:val="0028128B"/>
    <w:rsid w:val="002C021A"/>
    <w:rsid w:val="002C24F0"/>
    <w:rsid w:val="002D4E70"/>
    <w:rsid w:val="002F3ED8"/>
    <w:rsid w:val="00300F95"/>
    <w:rsid w:val="00360B57"/>
    <w:rsid w:val="00361603"/>
    <w:rsid w:val="00365703"/>
    <w:rsid w:val="00366F0F"/>
    <w:rsid w:val="00377218"/>
    <w:rsid w:val="00412957"/>
    <w:rsid w:val="00443E25"/>
    <w:rsid w:val="004540B9"/>
    <w:rsid w:val="00457901"/>
    <w:rsid w:val="0046261E"/>
    <w:rsid w:val="0046523F"/>
    <w:rsid w:val="0046676B"/>
    <w:rsid w:val="00490226"/>
    <w:rsid w:val="004C23A7"/>
    <w:rsid w:val="004E1F2A"/>
    <w:rsid w:val="004E3F7A"/>
    <w:rsid w:val="004F306D"/>
    <w:rsid w:val="00521357"/>
    <w:rsid w:val="0057697E"/>
    <w:rsid w:val="005C22C5"/>
    <w:rsid w:val="005C6521"/>
    <w:rsid w:val="005D1E34"/>
    <w:rsid w:val="005D5A30"/>
    <w:rsid w:val="005F37D9"/>
    <w:rsid w:val="00620DFC"/>
    <w:rsid w:val="00624694"/>
    <w:rsid w:val="00641A11"/>
    <w:rsid w:val="006A3D25"/>
    <w:rsid w:val="006A5749"/>
    <w:rsid w:val="006B47D8"/>
    <w:rsid w:val="006B61D6"/>
    <w:rsid w:val="008105B2"/>
    <w:rsid w:val="00840692"/>
    <w:rsid w:val="00841569"/>
    <w:rsid w:val="0084733A"/>
    <w:rsid w:val="0085254B"/>
    <w:rsid w:val="008A5AE5"/>
    <w:rsid w:val="008C31E1"/>
    <w:rsid w:val="008C507A"/>
    <w:rsid w:val="008E6AFA"/>
    <w:rsid w:val="0093582B"/>
    <w:rsid w:val="009B0F24"/>
    <w:rsid w:val="009B4898"/>
    <w:rsid w:val="00A02613"/>
    <w:rsid w:val="00A172A6"/>
    <w:rsid w:val="00A44DE5"/>
    <w:rsid w:val="00A44F11"/>
    <w:rsid w:val="00A50615"/>
    <w:rsid w:val="00A54A7F"/>
    <w:rsid w:val="00A73DCC"/>
    <w:rsid w:val="00AA4856"/>
    <w:rsid w:val="00AA4DCA"/>
    <w:rsid w:val="00AD4E93"/>
    <w:rsid w:val="00AD55F0"/>
    <w:rsid w:val="00AD78BA"/>
    <w:rsid w:val="00B41A77"/>
    <w:rsid w:val="00B63418"/>
    <w:rsid w:val="00BB523C"/>
    <w:rsid w:val="00BF116B"/>
    <w:rsid w:val="00C25754"/>
    <w:rsid w:val="00C959C3"/>
    <w:rsid w:val="00CE1BC5"/>
    <w:rsid w:val="00CE5C7B"/>
    <w:rsid w:val="00D124DD"/>
    <w:rsid w:val="00D6093B"/>
    <w:rsid w:val="00D62DA9"/>
    <w:rsid w:val="00D84FEB"/>
    <w:rsid w:val="00DC1848"/>
    <w:rsid w:val="00DF2810"/>
    <w:rsid w:val="00E1350A"/>
    <w:rsid w:val="00ED0E33"/>
    <w:rsid w:val="00EF488B"/>
    <w:rsid w:val="00F31EDA"/>
    <w:rsid w:val="00F3313C"/>
    <w:rsid w:val="00F7767B"/>
    <w:rsid w:val="00FB7D23"/>
    <w:rsid w:val="00FC2F71"/>
    <w:rsid w:val="00FE680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51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D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620DF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620D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0DFC"/>
    <w:rPr>
      <w:rFonts w:ascii="Lucida Grande" w:hAnsi="Lucida Grande" w:cs="Lucida Grande"/>
      <w:sz w:val="18"/>
      <w:szCs w:val="18"/>
    </w:rPr>
  </w:style>
  <w:style w:type="table" w:styleId="TableGrid">
    <w:name w:val="Table Grid"/>
    <w:basedOn w:val="TableNormal"/>
    <w:uiPriority w:val="59"/>
    <w:rsid w:val="008406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540B9"/>
    <w:rPr>
      <w:color w:val="0000FF" w:themeColor="hyperlink"/>
      <w:u w:val="single"/>
    </w:rPr>
  </w:style>
  <w:style w:type="character" w:styleId="CommentReference">
    <w:name w:val="annotation reference"/>
    <w:basedOn w:val="DefaultParagraphFont"/>
    <w:uiPriority w:val="99"/>
    <w:semiHidden/>
    <w:unhideWhenUsed/>
    <w:rsid w:val="0046523F"/>
    <w:rPr>
      <w:sz w:val="18"/>
      <w:szCs w:val="18"/>
    </w:rPr>
  </w:style>
  <w:style w:type="paragraph" w:styleId="CommentText">
    <w:name w:val="annotation text"/>
    <w:basedOn w:val="Normal"/>
    <w:link w:val="CommentTextChar"/>
    <w:uiPriority w:val="99"/>
    <w:semiHidden/>
    <w:unhideWhenUsed/>
    <w:rsid w:val="0046523F"/>
  </w:style>
  <w:style w:type="character" w:customStyle="1" w:styleId="CommentTextChar">
    <w:name w:val="Comment Text Char"/>
    <w:basedOn w:val="DefaultParagraphFont"/>
    <w:link w:val="CommentText"/>
    <w:uiPriority w:val="99"/>
    <w:semiHidden/>
    <w:rsid w:val="0046523F"/>
  </w:style>
  <w:style w:type="paragraph" w:styleId="Revision">
    <w:name w:val="Revision"/>
    <w:hidden/>
    <w:uiPriority w:val="99"/>
    <w:semiHidden/>
    <w:rsid w:val="00F31EDA"/>
  </w:style>
  <w:style w:type="paragraph" w:styleId="CommentSubject">
    <w:name w:val="annotation subject"/>
    <w:basedOn w:val="CommentText"/>
    <w:next w:val="CommentText"/>
    <w:link w:val="CommentSubjectChar"/>
    <w:uiPriority w:val="99"/>
    <w:semiHidden/>
    <w:unhideWhenUsed/>
    <w:rsid w:val="0004438F"/>
    <w:rPr>
      <w:b/>
      <w:bCs/>
      <w:sz w:val="20"/>
      <w:szCs w:val="20"/>
    </w:rPr>
  </w:style>
  <w:style w:type="character" w:customStyle="1" w:styleId="CommentSubjectChar">
    <w:name w:val="Comment Subject Char"/>
    <w:basedOn w:val="CommentTextChar"/>
    <w:link w:val="CommentSubject"/>
    <w:uiPriority w:val="99"/>
    <w:semiHidden/>
    <w:rsid w:val="0004438F"/>
    <w:rPr>
      <w:b/>
      <w:bCs/>
      <w:sz w:val="20"/>
      <w:szCs w:val="20"/>
    </w:rPr>
  </w:style>
  <w:style w:type="paragraph" w:styleId="Bibliography">
    <w:name w:val="Bibliography"/>
    <w:basedOn w:val="Normal"/>
    <w:next w:val="Normal"/>
    <w:uiPriority w:val="37"/>
    <w:unhideWhenUsed/>
    <w:rsid w:val="00AD78BA"/>
    <w:pPr>
      <w:spacing w:after="240"/>
      <w:ind w:left="720" w:hanging="720"/>
    </w:pPr>
  </w:style>
  <w:style w:type="character" w:customStyle="1" w:styleId="cit-pub-id-scheme">
    <w:name w:val="cit-pub-id-scheme"/>
    <w:basedOn w:val="DefaultParagraphFont"/>
    <w:rsid w:val="00A44F11"/>
  </w:style>
  <w:style w:type="character" w:customStyle="1" w:styleId="cit-pub-id">
    <w:name w:val="cit-pub-id"/>
    <w:basedOn w:val="DefaultParagraphFont"/>
    <w:rsid w:val="00A44F1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D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620DF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620D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0DFC"/>
    <w:rPr>
      <w:rFonts w:ascii="Lucida Grande" w:hAnsi="Lucida Grande" w:cs="Lucida Grande"/>
      <w:sz w:val="18"/>
      <w:szCs w:val="18"/>
    </w:rPr>
  </w:style>
  <w:style w:type="table" w:styleId="TableGrid">
    <w:name w:val="Table Grid"/>
    <w:basedOn w:val="TableNormal"/>
    <w:uiPriority w:val="59"/>
    <w:rsid w:val="008406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540B9"/>
    <w:rPr>
      <w:color w:val="0000FF" w:themeColor="hyperlink"/>
      <w:u w:val="single"/>
    </w:rPr>
  </w:style>
  <w:style w:type="character" w:styleId="CommentReference">
    <w:name w:val="annotation reference"/>
    <w:basedOn w:val="DefaultParagraphFont"/>
    <w:uiPriority w:val="99"/>
    <w:semiHidden/>
    <w:unhideWhenUsed/>
    <w:rsid w:val="0046523F"/>
    <w:rPr>
      <w:sz w:val="18"/>
      <w:szCs w:val="18"/>
    </w:rPr>
  </w:style>
  <w:style w:type="paragraph" w:styleId="CommentText">
    <w:name w:val="annotation text"/>
    <w:basedOn w:val="Normal"/>
    <w:link w:val="CommentTextChar"/>
    <w:uiPriority w:val="99"/>
    <w:semiHidden/>
    <w:unhideWhenUsed/>
    <w:rsid w:val="0046523F"/>
  </w:style>
  <w:style w:type="character" w:customStyle="1" w:styleId="CommentTextChar">
    <w:name w:val="Comment Text Char"/>
    <w:basedOn w:val="DefaultParagraphFont"/>
    <w:link w:val="CommentText"/>
    <w:uiPriority w:val="99"/>
    <w:semiHidden/>
    <w:rsid w:val="0046523F"/>
  </w:style>
  <w:style w:type="paragraph" w:styleId="Revision">
    <w:name w:val="Revision"/>
    <w:hidden/>
    <w:uiPriority w:val="99"/>
    <w:semiHidden/>
    <w:rsid w:val="00F31EDA"/>
  </w:style>
  <w:style w:type="paragraph" w:styleId="CommentSubject">
    <w:name w:val="annotation subject"/>
    <w:basedOn w:val="CommentText"/>
    <w:next w:val="CommentText"/>
    <w:link w:val="CommentSubjectChar"/>
    <w:uiPriority w:val="99"/>
    <w:semiHidden/>
    <w:unhideWhenUsed/>
    <w:rsid w:val="0004438F"/>
    <w:rPr>
      <w:b/>
      <w:bCs/>
      <w:sz w:val="20"/>
      <w:szCs w:val="20"/>
    </w:rPr>
  </w:style>
  <w:style w:type="character" w:customStyle="1" w:styleId="CommentSubjectChar">
    <w:name w:val="Comment Subject Char"/>
    <w:basedOn w:val="CommentTextChar"/>
    <w:link w:val="CommentSubject"/>
    <w:uiPriority w:val="99"/>
    <w:semiHidden/>
    <w:rsid w:val="0004438F"/>
    <w:rPr>
      <w:b/>
      <w:bCs/>
      <w:sz w:val="20"/>
      <w:szCs w:val="20"/>
    </w:rPr>
  </w:style>
  <w:style w:type="paragraph" w:styleId="Bibliography">
    <w:name w:val="Bibliography"/>
    <w:basedOn w:val="Normal"/>
    <w:next w:val="Normal"/>
    <w:uiPriority w:val="37"/>
    <w:unhideWhenUsed/>
    <w:rsid w:val="00AD78BA"/>
    <w:pPr>
      <w:spacing w:after="240"/>
      <w:ind w:left="720" w:hanging="720"/>
    </w:pPr>
  </w:style>
  <w:style w:type="character" w:customStyle="1" w:styleId="cit-pub-id-scheme">
    <w:name w:val="cit-pub-id-scheme"/>
    <w:basedOn w:val="DefaultParagraphFont"/>
    <w:rsid w:val="00A44F11"/>
  </w:style>
  <w:style w:type="character" w:customStyle="1" w:styleId="cit-pub-id">
    <w:name w:val="cit-pub-id"/>
    <w:basedOn w:val="DefaultParagraphFont"/>
    <w:rsid w:val="00A44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402905">
      <w:bodyDiv w:val="1"/>
      <w:marLeft w:val="0"/>
      <w:marRight w:val="0"/>
      <w:marTop w:val="0"/>
      <w:marBottom w:val="0"/>
      <w:divBdr>
        <w:top w:val="none" w:sz="0" w:space="0" w:color="auto"/>
        <w:left w:val="none" w:sz="0" w:space="0" w:color="auto"/>
        <w:bottom w:val="none" w:sz="0" w:space="0" w:color="auto"/>
        <w:right w:val="none" w:sz="0" w:space="0" w:color="auto"/>
      </w:divBdr>
    </w:div>
    <w:div w:id="1775662532">
      <w:bodyDiv w:val="1"/>
      <w:marLeft w:val="0"/>
      <w:marRight w:val="0"/>
      <w:marTop w:val="0"/>
      <w:marBottom w:val="0"/>
      <w:divBdr>
        <w:top w:val="none" w:sz="0" w:space="0" w:color="auto"/>
        <w:left w:val="none" w:sz="0" w:space="0" w:color="auto"/>
        <w:bottom w:val="none" w:sz="0" w:space="0" w:color="auto"/>
        <w:right w:val="none" w:sz="0" w:space="0" w:color="auto"/>
      </w:divBdr>
    </w:div>
    <w:div w:id="17815344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3297</Words>
  <Characters>18795</Characters>
  <Application>Microsoft Macintosh Word</Application>
  <DocSecurity>0</DocSecurity>
  <Lines>156</Lines>
  <Paragraphs>44</Paragraphs>
  <ScaleCrop>false</ScaleCrop>
  <Company>Broad Institute</Company>
  <LinksUpToDate>false</LinksUpToDate>
  <CharactersWithSpaces>22048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Desjardins</dc:creator>
  <cp:keywords/>
  <dc:description/>
  <cp:lastModifiedBy>Chris Desjardins</cp:lastModifiedBy>
  <cp:revision>6</cp:revision>
  <dcterms:created xsi:type="dcterms:W3CDTF">2017-04-20T16:22:00Z</dcterms:created>
  <dcterms:modified xsi:type="dcterms:W3CDTF">2017-04-20T17:04:00Z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id="ZLLQa37P"/&gt;&lt;style id="http://www.zotero.org/styles/genome-research" hasBibliography="1" bibliographyStyleHasBeenSet="1"/&gt;&lt;prefs&gt;&lt;pref name="fieldType" value="Field"/&gt;&lt;pref name="storeReference</vt:lpwstr>
  </property>
  <property fmtid="{D5CDD505-2E9C-101B-9397-08002B2CF9AE}" pid="3" name="ZOTERO_PREF_2">
    <vt:lpwstr>s" value="true"/&gt;&lt;pref name="automaticJournalAbbreviations" value="true"/&gt;&lt;pref name="noteType" value=""/&gt;&lt;/prefs&gt;&lt;/data&gt;</vt:lpwstr>
  </property>
</Properties>
</file>