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F5" w:rsidRPr="002F5419" w:rsidRDefault="00C23FF5" w:rsidP="00C23FF5">
      <w:pPr>
        <w:spacing w:after="120" w:line="36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9B51F8">
        <w:rPr>
          <w:rFonts w:ascii="Calibri" w:eastAsia="Times New Roman" w:hAnsi="Calibri" w:cs="Calibri"/>
          <w:b/>
          <w:lang w:val="en-GB" w:eastAsia="en-GB"/>
        </w:rPr>
        <w:t>Supplementa</w:t>
      </w:r>
      <w:r>
        <w:rPr>
          <w:rFonts w:ascii="Calibri" w:eastAsia="Times New Roman" w:hAnsi="Calibri" w:cs="Calibri"/>
          <w:b/>
          <w:lang w:val="en-GB" w:eastAsia="en-GB"/>
        </w:rPr>
        <w:t>l</w:t>
      </w:r>
      <w:r w:rsidRPr="009B51F8">
        <w:rPr>
          <w:rFonts w:ascii="Calibri" w:eastAsia="Times New Roman" w:hAnsi="Calibri" w:cs="Calibri"/>
          <w:b/>
          <w:lang w:val="en-GB" w:eastAsia="en-GB"/>
        </w:rPr>
        <w:t xml:space="preserve"> Table 5.</w:t>
      </w:r>
      <w:r w:rsidRPr="009B51F8">
        <w:rPr>
          <w:rFonts w:ascii="Calibri" w:eastAsia="Times New Roman" w:hAnsi="Calibri" w:cs="Calibri"/>
          <w:lang w:val="en-GB" w:eastAsia="en-GB"/>
        </w:rPr>
        <w:t xml:space="preserve"> </w:t>
      </w:r>
      <w:r w:rsidRPr="002F5419">
        <w:rPr>
          <w:rFonts w:ascii="Calibri" w:eastAsia="Times New Roman" w:hAnsi="Calibri" w:cs="Calibri"/>
          <w:color w:val="000000"/>
          <w:lang w:val="en-GB" w:eastAsia="en-GB"/>
        </w:rPr>
        <w:t xml:space="preserve">Comparison of sequencing outcome measures by age, disease stage, resection margin and sample source, and the corresponding p-values for ANOVA, Wilcoxon or Fisher tests. </w:t>
      </w:r>
    </w:p>
    <w:tbl>
      <w:tblPr>
        <w:tblW w:w="4926" w:type="pct"/>
        <w:tblInd w:w="10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9"/>
        <w:gridCol w:w="1079"/>
        <w:gridCol w:w="1565"/>
        <w:gridCol w:w="998"/>
        <w:gridCol w:w="450"/>
        <w:gridCol w:w="982"/>
        <w:gridCol w:w="566"/>
        <w:gridCol w:w="900"/>
        <w:gridCol w:w="653"/>
      </w:tblGrid>
      <w:tr w:rsidR="00C23FF5" w:rsidRPr="00E9137F" w:rsidTr="00266D29">
        <w:trPr>
          <w:trHeight w:val="413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Pr="00AB7BC7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487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Pr="00AB7BC7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Age (&lt;60, [60,75), &gt;=75)</w:t>
            </w:r>
          </w:p>
        </w:tc>
        <w:tc>
          <w:tcPr>
            <w:tcW w:w="814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Stage (early/late)</w:t>
            </w:r>
          </w:p>
        </w:tc>
        <w:tc>
          <w:tcPr>
            <w:tcW w:w="870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Resection margin</w:t>
            </w:r>
          </w:p>
        </w:tc>
        <w:tc>
          <w:tcPr>
            <w:tcW w:w="873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Pr="00AB7BC7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Sample source</w:t>
            </w:r>
          </w:p>
        </w:tc>
      </w:tr>
      <w:tr w:rsidR="00C23FF5" w:rsidRPr="009F5BAE" w:rsidTr="00266D29">
        <w:trPr>
          <w:trHeight w:val="413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Pr="00AB7BC7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AB7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Measurement</w:t>
            </w:r>
          </w:p>
        </w:tc>
        <w:tc>
          <w:tcPr>
            <w:tcW w:w="1487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Pr="007E4D5E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 w:rsidRPr="007E4D5E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val="en-US" w:eastAsia="en-GB"/>
              </w:rPr>
              <w:t>ANOVA (p-value/adjusted p-value)</w:t>
            </w:r>
          </w:p>
        </w:tc>
        <w:tc>
          <w:tcPr>
            <w:tcW w:w="2557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C23FF5" w:rsidRPr="007E4D5E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val="en-US" w:eastAsia="en-GB"/>
              </w:rPr>
              <w:t>Wilcoxon</w:t>
            </w:r>
            <w:r w:rsidRPr="007E4D5E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test (p-value/adjusted p-value)</w:t>
            </w:r>
          </w:p>
        </w:tc>
      </w:tr>
      <w:tr w:rsidR="00C23FF5" w:rsidRPr="00E9137F" w:rsidTr="00266D29">
        <w:trPr>
          <w:trHeight w:val="322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AB7BC7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Cellularity estimate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F776F">
              <w:rPr>
                <w:rFonts w:ascii="Calibri" w:hAnsi="Calibri"/>
                <w:sz w:val="16"/>
                <w:szCs w:val="16"/>
              </w:rPr>
              <w:t>0.07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0.67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right="-249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89C">
              <w:rPr>
                <w:rFonts w:ascii="Calibri" w:hAnsi="Calibri"/>
                <w:sz w:val="16"/>
                <w:szCs w:val="16"/>
              </w:rPr>
              <w:t>0.85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939A6">
              <w:rPr>
                <w:rFonts w:ascii="Calibri" w:hAnsi="Calibri"/>
                <w:sz w:val="16"/>
                <w:szCs w:val="16"/>
              </w:rPr>
              <w:t>0.89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92D17">
              <w:rPr>
                <w:rFonts w:ascii="Calibri" w:hAnsi="Calibri"/>
                <w:sz w:val="16"/>
                <w:szCs w:val="16"/>
              </w:rPr>
              <w:t>0.26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0.52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D7DCF">
              <w:rPr>
                <w:rFonts w:ascii="Calibri" w:hAnsi="Calibri"/>
                <w:sz w:val="16"/>
                <w:szCs w:val="16"/>
              </w:rPr>
              <w:t>0.075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0.412</w:t>
            </w:r>
          </w:p>
        </w:tc>
      </w:tr>
      <w:tr w:rsidR="00C23FF5" w:rsidRPr="00E9137F" w:rsidTr="00266D29">
        <w:trPr>
          <w:trHeight w:val="300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AB7BC7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Tumor average ploidy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F776F">
              <w:rPr>
                <w:rFonts w:ascii="Calibri" w:hAnsi="Calibri"/>
                <w:sz w:val="16"/>
                <w:szCs w:val="16"/>
              </w:rPr>
              <w:t>0.873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C36F1">
              <w:rPr>
                <w:rFonts w:ascii="Calibri" w:hAnsi="Calibri"/>
                <w:sz w:val="16"/>
                <w:szCs w:val="16"/>
              </w:rPr>
              <w:t>0.06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939A6">
              <w:rPr>
                <w:rFonts w:ascii="Calibri" w:hAnsi="Calibri"/>
                <w:sz w:val="16"/>
                <w:szCs w:val="16"/>
              </w:rPr>
              <w:t>0.33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92D17">
              <w:rPr>
                <w:rFonts w:ascii="Calibri" w:hAnsi="Calibri"/>
                <w:sz w:val="16"/>
                <w:szCs w:val="16"/>
              </w:rPr>
              <w:t>0.848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0.848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0.980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0.980</w:t>
            </w:r>
          </w:p>
        </w:tc>
      </w:tr>
      <w:tr w:rsidR="00C23FF5" w:rsidRPr="00E9137F" w:rsidTr="00266D29">
        <w:trPr>
          <w:trHeight w:val="448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Total number of SNVs called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06C97">
              <w:rPr>
                <w:rFonts w:ascii="Calibri" w:hAnsi="Calibri"/>
                <w:sz w:val="16"/>
                <w:szCs w:val="16"/>
              </w:rPr>
              <w:t>0.962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B5772">
              <w:rPr>
                <w:rFonts w:ascii="Calibri" w:hAnsi="Calibri"/>
                <w:sz w:val="16"/>
                <w:szCs w:val="16"/>
              </w:rPr>
              <w:t>0.415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0.692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B0EAC">
              <w:rPr>
                <w:rFonts w:ascii="Calibri" w:hAnsi="Calibri"/>
                <w:sz w:val="16"/>
                <w:szCs w:val="16"/>
              </w:rPr>
              <w:t>0.077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0.52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0.192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0.412</w:t>
            </w:r>
          </w:p>
        </w:tc>
      </w:tr>
      <w:tr w:rsidR="00C23FF5" w:rsidRPr="00E9137F" w:rsidTr="00266D29">
        <w:trPr>
          <w:trHeight w:val="470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Total number of </w:t>
            </w:r>
            <w:proofErr w:type="spellStart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indels</w:t>
            </w:r>
            <w:proofErr w:type="spellEnd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called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5329AF">
              <w:rPr>
                <w:rFonts w:ascii="Calibri" w:hAnsi="Calibri"/>
                <w:sz w:val="16"/>
                <w:szCs w:val="16"/>
              </w:rPr>
              <w:t>0.157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0.67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3708F">
              <w:rPr>
                <w:rFonts w:ascii="Calibri" w:hAnsi="Calibri"/>
                <w:sz w:val="16"/>
                <w:szCs w:val="16"/>
              </w:rPr>
              <w:t>0.339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A7B43">
              <w:rPr>
                <w:rFonts w:ascii="Calibri" w:hAnsi="Calibri"/>
                <w:sz w:val="16"/>
                <w:szCs w:val="16"/>
              </w:rPr>
              <w:t>0.678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A1315">
              <w:rPr>
                <w:rFonts w:ascii="Calibri" w:hAnsi="Calibri"/>
                <w:sz w:val="16"/>
                <w:szCs w:val="16"/>
              </w:rPr>
              <w:t>0.244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0.52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0.92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0.980</w:t>
            </w:r>
          </w:p>
        </w:tc>
      </w:tr>
      <w:tr w:rsidR="00C23FF5" w:rsidRPr="00E9137F" w:rsidTr="00266D29">
        <w:trPr>
          <w:trHeight w:val="450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Total number of SNVs/</w:t>
            </w:r>
            <w:proofErr w:type="spellStart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indels</w:t>
            </w:r>
            <w:proofErr w:type="spellEnd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affecting genes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83BD8">
              <w:rPr>
                <w:rFonts w:ascii="Calibri" w:hAnsi="Calibri"/>
                <w:sz w:val="16"/>
                <w:szCs w:val="16"/>
              </w:rPr>
              <w:t>0.353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0.73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C62A20">
              <w:rPr>
                <w:rFonts w:ascii="Calibri" w:hAnsi="Calibri"/>
                <w:sz w:val="16"/>
                <w:szCs w:val="16"/>
              </w:rPr>
              <w:t>0.101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632C4">
              <w:rPr>
                <w:rFonts w:ascii="Calibri" w:hAnsi="Calibri"/>
                <w:sz w:val="16"/>
                <w:szCs w:val="16"/>
              </w:rPr>
              <w:t>0.33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23F9C">
              <w:rPr>
                <w:rFonts w:ascii="Calibri" w:hAnsi="Calibri"/>
                <w:sz w:val="16"/>
                <w:szCs w:val="16"/>
              </w:rPr>
              <w:t>0.226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0.52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0.86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0.980</w:t>
            </w:r>
          </w:p>
        </w:tc>
      </w:tr>
      <w:tr w:rsidR="00C23FF5" w:rsidRPr="00E9137F" w:rsidTr="00266D29">
        <w:trPr>
          <w:trHeight w:val="316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Total number of CNA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events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A33C9">
              <w:rPr>
                <w:rFonts w:ascii="Calibri" w:hAnsi="Calibri"/>
                <w:sz w:val="16"/>
                <w:szCs w:val="16"/>
              </w:rPr>
              <w:t>0.423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0.73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E1FC7">
              <w:rPr>
                <w:rFonts w:ascii="Calibri" w:hAnsi="Calibri"/>
                <w:sz w:val="16"/>
                <w:szCs w:val="16"/>
              </w:rPr>
              <w:t>0.89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632C4">
              <w:rPr>
                <w:rFonts w:ascii="Calibri" w:hAnsi="Calibri"/>
                <w:sz w:val="16"/>
                <w:szCs w:val="16"/>
              </w:rPr>
              <w:t>0.89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B00F0">
              <w:rPr>
                <w:rFonts w:ascii="Calibri" w:hAnsi="Calibri"/>
                <w:sz w:val="16"/>
                <w:szCs w:val="16"/>
              </w:rPr>
              <w:t>0.47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0.64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0.70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0.980</w:t>
            </w:r>
          </w:p>
        </w:tc>
      </w:tr>
      <w:tr w:rsidR="00C23FF5" w:rsidRPr="00E9137F" w:rsidTr="00266D29">
        <w:trPr>
          <w:trHeight w:val="322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Total number of 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LOH events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053F">
              <w:rPr>
                <w:rFonts w:ascii="Calibri" w:hAnsi="Calibri"/>
                <w:sz w:val="16"/>
                <w:szCs w:val="16"/>
              </w:rPr>
              <w:t>0.438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0.73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C0B01">
              <w:rPr>
                <w:rFonts w:ascii="Calibri" w:hAnsi="Calibri"/>
                <w:sz w:val="16"/>
                <w:szCs w:val="16"/>
              </w:rPr>
              <w:t>0.051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632C4">
              <w:rPr>
                <w:rFonts w:ascii="Calibri" w:hAnsi="Calibri"/>
                <w:sz w:val="16"/>
                <w:szCs w:val="16"/>
              </w:rPr>
              <w:t>0.33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26D54">
              <w:rPr>
                <w:rFonts w:ascii="Calibri" w:hAnsi="Calibri"/>
                <w:sz w:val="16"/>
                <w:szCs w:val="16"/>
              </w:rPr>
              <w:t>0.45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0.64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0.159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0.412</w:t>
            </w:r>
          </w:p>
        </w:tc>
      </w:tr>
      <w:tr w:rsidR="00C23FF5" w:rsidRPr="00E9137F" w:rsidTr="00266D29">
        <w:trPr>
          <w:trHeight w:val="456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Proportion of the genome containing amplifications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13269">
              <w:rPr>
                <w:rFonts w:ascii="Calibri" w:hAnsi="Calibri"/>
                <w:sz w:val="16"/>
                <w:szCs w:val="16"/>
              </w:rPr>
              <w:t>0.575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6722">
              <w:rPr>
                <w:rFonts w:ascii="Calibri" w:hAnsi="Calibri"/>
                <w:sz w:val="16"/>
                <w:szCs w:val="16"/>
              </w:rPr>
              <w:t>0.719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13269">
              <w:rPr>
                <w:rFonts w:ascii="Calibri" w:hAnsi="Calibri"/>
                <w:sz w:val="16"/>
                <w:szCs w:val="16"/>
              </w:rPr>
              <w:t>0.578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0.64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13269">
              <w:rPr>
                <w:rFonts w:ascii="Calibri" w:hAnsi="Calibri"/>
                <w:sz w:val="16"/>
                <w:szCs w:val="16"/>
              </w:rPr>
              <w:t>0.809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0.980</w:t>
            </w:r>
          </w:p>
        </w:tc>
      </w:tr>
      <w:tr w:rsidR="00C23FF5" w:rsidRPr="00E9137F" w:rsidTr="00266D29">
        <w:trPr>
          <w:trHeight w:val="450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Proportion of the genome containing deletions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F7F3F">
              <w:rPr>
                <w:rFonts w:ascii="Calibri" w:hAnsi="Calibri"/>
                <w:sz w:val="16"/>
                <w:szCs w:val="16"/>
              </w:rPr>
              <w:t>0.201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0.67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B722A">
              <w:rPr>
                <w:rFonts w:ascii="Calibri" w:hAnsi="Calibri"/>
                <w:sz w:val="16"/>
                <w:szCs w:val="16"/>
              </w:rPr>
              <w:t>0.53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6722">
              <w:rPr>
                <w:rFonts w:ascii="Calibri" w:hAnsi="Calibri"/>
                <w:sz w:val="16"/>
                <w:szCs w:val="16"/>
              </w:rPr>
              <w:t>0.719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B722A">
              <w:rPr>
                <w:rFonts w:ascii="Calibri" w:hAnsi="Calibri"/>
                <w:sz w:val="16"/>
                <w:szCs w:val="16"/>
              </w:rPr>
              <w:t>0.562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0.64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B722A">
              <w:rPr>
                <w:rFonts w:ascii="Calibri" w:hAnsi="Calibri"/>
                <w:sz w:val="16"/>
                <w:szCs w:val="16"/>
              </w:rPr>
              <w:t>0.206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0.412</w:t>
            </w:r>
          </w:p>
        </w:tc>
      </w:tr>
      <w:tr w:rsidR="00C23FF5" w:rsidRPr="00E9137F" w:rsidTr="00266D29">
        <w:trPr>
          <w:trHeight w:val="238"/>
        </w:trPr>
        <w:tc>
          <w:tcPr>
            <w:tcW w:w="95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23FF5" w:rsidRPr="002F5419" w:rsidRDefault="00C23FF5" w:rsidP="00266D29">
            <w:pPr>
              <w:spacing w:after="0" w:line="240" w:lineRule="auto"/>
              <w:ind w:left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Proportion of the genome containing LOH</w:t>
            </w:r>
          </w:p>
        </w:tc>
        <w:tc>
          <w:tcPr>
            <w:tcW w:w="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91AA9">
              <w:rPr>
                <w:rFonts w:ascii="Calibri" w:hAnsi="Calibri"/>
                <w:sz w:val="16"/>
                <w:szCs w:val="16"/>
              </w:rPr>
              <w:t>0.785</w:t>
            </w:r>
          </w:p>
        </w:tc>
        <w:tc>
          <w:tcPr>
            <w:tcW w:w="88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F40A4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hideMark/>
          </w:tcPr>
          <w:p w:rsidR="00C23FF5" w:rsidRPr="003174B6" w:rsidRDefault="00C23FF5" w:rsidP="00266D29">
            <w:pPr>
              <w:spacing w:after="0" w:line="240" w:lineRule="auto"/>
              <w:ind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272ED">
              <w:rPr>
                <w:rFonts w:ascii="Calibri" w:hAnsi="Calibri"/>
                <w:sz w:val="16"/>
                <w:szCs w:val="16"/>
              </w:rPr>
              <w:t>0.181</w:t>
            </w:r>
          </w:p>
        </w:tc>
        <w:tc>
          <w:tcPr>
            <w:tcW w:w="25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3174B6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6722">
              <w:rPr>
                <w:rFonts w:ascii="Calibri" w:hAnsi="Calibri"/>
                <w:sz w:val="16"/>
                <w:szCs w:val="16"/>
              </w:rPr>
              <w:t>0.45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5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272ED">
              <w:rPr>
                <w:rFonts w:ascii="Calibri" w:hAnsi="Calibri"/>
                <w:sz w:val="16"/>
                <w:szCs w:val="16"/>
              </w:rPr>
              <w:t>0.237</w:t>
            </w:r>
          </w:p>
        </w:tc>
        <w:tc>
          <w:tcPr>
            <w:tcW w:w="318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841FA5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B4C32">
              <w:rPr>
                <w:rFonts w:ascii="Calibri" w:hAnsi="Calibri"/>
                <w:sz w:val="16"/>
                <w:szCs w:val="16"/>
              </w:rPr>
              <w:t>0.52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C23FF5" w:rsidRPr="00E4263A" w:rsidRDefault="00C23FF5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272ED">
              <w:rPr>
                <w:rFonts w:ascii="Calibri" w:hAnsi="Calibri"/>
                <w:sz w:val="16"/>
                <w:szCs w:val="16"/>
              </w:rPr>
              <w:t>0.108</w:t>
            </w:r>
          </w:p>
        </w:tc>
        <w:tc>
          <w:tcPr>
            <w:tcW w:w="36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3FF5" w:rsidRPr="00E4263A" w:rsidRDefault="00C23FF5" w:rsidP="00266D29">
            <w:pPr>
              <w:tabs>
                <w:tab w:val="left" w:pos="604"/>
              </w:tabs>
              <w:spacing w:after="0" w:line="240" w:lineRule="auto"/>
              <w:ind w:left="-105" w:right="-102" w:firstLine="105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C5991">
              <w:rPr>
                <w:rFonts w:ascii="Calibri" w:hAnsi="Calibri"/>
                <w:sz w:val="16"/>
                <w:szCs w:val="16"/>
              </w:rPr>
              <w:t>0.412</w:t>
            </w:r>
          </w:p>
        </w:tc>
      </w:tr>
    </w:tbl>
    <w:p w:rsidR="00A90BA4" w:rsidRDefault="00C23FF5">
      <w:bookmarkStart w:id="0" w:name="_GoBack"/>
      <w:bookmarkEnd w:id="0"/>
    </w:p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F5"/>
    <w:rsid w:val="00BC6389"/>
    <w:rsid w:val="00C23FF5"/>
    <w:rsid w:val="00C806B9"/>
    <w:rsid w:val="00D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457DF-00CA-4B01-B6EE-11E9726F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F5"/>
    <w:pPr>
      <w:spacing w:after="200" w:line="276" w:lineRule="auto"/>
    </w:pPr>
    <w:rPr>
      <w:rFonts w:eastAsiaTheme="minorEastAs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C91A7BBC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1</cp:revision>
  <dcterms:created xsi:type="dcterms:W3CDTF">2016-12-09T17:59:00Z</dcterms:created>
  <dcterms:modified xsi:type="dcterms:W3CDTF">2016-12-09T17:59:00Z</dcterms:modified>
</cp:coreProperties>
</file>