
<file path=[Content_Types].xml><?xml version="1.0" encoding="utf-8"?>
<Types xmlns="http://schemas.openxmlformats.org/package/2006/content-types">
  <Default Extension="xml" ContentType="application/xml"/>
  <Default Extension="png" ContentType="image/png"/>
  <Default Extension="tmp" ContentType="image/png"/>
  <Default Extension="emf" ContentType="image/x-em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08CCD" w14:textId="3DD1FDF9" w:rsidR="00753444" w:rsidRDefault="008261C1" w:rsidP="009245C8">
      <w:pPr>
        <w:spacing w:before="120" w:after="120" w:line="360" w:lineRule="auto"/>
        <w:jc w:val="both"/>
        <w:rPr>
          <w:rFonts w:ascii="Baskerville" w:hAnsi="Baskerville"/>
          <w:b/>
        </w:rPr>
      </w:pPr>
      <w:r>
        <w:rPr>
          <w:rFonts w:ascii="Baskerville" w:hAnsi="Baskerville"/>
          <w:b/>
        </w:rPr>
        <w:t>Supplementary Text 1</w:t>
      </w:r>
    </w:p>
    <w:p w14:paraId="4B7658E2" w14:textId="77777777" w:rsidR="00753444" w:rsidRPr="007D3E5B" w:rsidRDefault="00753444" w:rsidP="009245C8">
      <w:pPr>
        <w:spacing w:before="120" w:after="120" w:line="360" w:lineRule="auto"/>
        <w:jc w:val="both"/>
        <w:rPr>
          <w:rFonts w:ascii="Baskerville" w:hAnsi="Baskerville"/>
          <w:b/>
        </w:rPr>
      </w:pPr>
      <w:r w:rsidRPr="007D3E5B">
        <w:rPr>
          <w:rFonts w:ascii="Baskerville" w:hAnsi="Baskerville"/>
          <w:b/>
        </w:rPr>
        <w:t>Simulating RNA-editing percentages</w:t>
      </w:r>
    </w:p>
    <w:p w14:paraId="1CF06661" w14:textId="74E0EDA6" w:rsidR="00E62692" w:rsidRDefault="00753444" w:rsidP="00492A5E">
      <w:pPr>
        <w:spacing w:before="120" w:after="120" w:line="360" w:lineRule="auto"/>
        <w:jc w:val="both"/>
        <w:rPr>
          <w:rFonts w:ascii="Baskerville" w:hAnsi="Baskerville"/>
        </w:rPr>
      </w:pPr>
      <w:r w:rsidRPr="001E2C9B">
        <w:rPr>
          <w:rFonts w:ascii="Baskerville" w:hAnsi="Baskerville"/>
        </w:rPr>
        <w:t xml:space="preserve">To estimate </w:t>
      </w:r>
      <w:r w:rsidR="00E62692">
        <w:rPr>
          <w:rFonts w:ascii="Baskerville" w:hAnsi="Baskerville"/>
        </w:rPr>
        <w:t xml:space="preserve">the </w:t>
      </w:r>
      <w:r w:rsidRPr="001E2C9B">
        <w:rPr>
          <w:rFonts w:ascii="Baskerville" w:hAnsi="Baskerville"/>
        </w:rPr>
        <w:t xml:space="preserve">effect of </w:t>
      </w:r>
      <w:r w:rsidR="00E62692" w:rsidRPr="001E2C9B">
        <w:rPr>
          <w:rFonts w:ascii="Baskerville" w:hAnsi="Baskerville"/>
        </w:rPr>
        <w:t>‘noise’, which might be due to a high</w:t>
      </w:r>
      <w:r w:rsidR="00E62692">
        <w:rPr>
          <w:rFonts w:ascii="Baskerville" w:hAnsi="Baskerville"/>
        </w:rPr>
        <w:t xml:space="preserve"> proportion of non-canonical RE </w:t>
      </w:r>
      <w:r w:rsidR="00E62692" w:rsidRPr="001E2C9B">
        <w:rPr>
          <w:rFonts w:ascii="Baskerville" w:hAnsi="Baskerville"/>
        </w:rPr>
        <w:t>sites</w:t>
      </w:r>
      <w:r w:rsidR="00E62692">
        <w:rPr>
          <w:rFonts w:ascii="Baskerville" w:hAnsi="Baskerville"/>
        </w:rPr>
        <w:t xml:space="preserve"> in the RE screen, we first simulated </w:t>
      </w:r>
      <w:r w:rsidR="00E62692" w:rsidRPr="001E2C9B">
        <w:rPr>
          <w:rFonts w:ascii="Baskerville" w:hAnsi="Baskerville"/>
        </w:rPr>
        <w:t>RE percentages</w:t>
      </w:r>
      <w:r w:rsidR="00E62692" w:rsidRPr="001E2C9B" w:rsidDel="00E62692">
        <w:rPr>
          <w:rFonts w:ascii="Baskerville" w:hAnsi="Baskerville"/>
        </w:rPr>
        <w:t xml:space="preserve"> </w:t>
      </w:r>
      <w:r w:rsidRPr="001E2C9B">
        <w:rPr>
          <w:rFonts w:ascii="Baskerville" w:hAnsi="Baskerville"/>
        </w:rPr>
        <w:t>for 50 cases and controls based on data-based non-parametric method</w:t>
      </w:r>
      <w:r w:rsidR="00E62692">
        <w:rPr>
          <w:rFonts w:ascii="Baskerville" w:hAnsi="Baskerville"/>
        </w:rPr>
        <w:t xml:space="preserve"> </w:t>
      </w:r>
      <w:r w:rsidR="00C539C3">
        <w:rPr>
          <w:rFonts w:ascii="Baskerville" w:hAnsi="Baskerville"/>
        </w:rPr>
        <w:fldChar w:fldCharType="begin"/>
      </w:r>
      <w:r w:rsidR="00C539C3">
        <w:rPr>
          <w:rFonts w:ascii="Baskerville" w:hAnsi="Baskerville"/>
        </w:rPr>
        <w:instrText xml:space="preserve"> ADDIN EN.CITE &lt;EndNote&gt;&lt;Cite&gt;&lt;Author&gt;Benidt&lt;/Author&gt;&lt;Year&gt;2015&lt;/Year&gt;&lt;RecNum&gt;498&lt;/RecNum&gt;&lt;DisplayText&gt;(Benidt and Nettleton 2015)&lt;/DisplayText&gt;&lt;record&gt;&lt;rec-number&gt;498&lt;/rec-number&gt;&lt;foreign-keys&gt;&lt;key app="EN" db-id="wsvrdaattvrw2letfthptsetz5vptd2vs0rd" timestamp="1478616004"&gt;498&lt;/key&gt;&lt;/foreign-keys&gt;&lt;ref-type name="Journal Article"&gt;17&lt;/ref-type&gt;&lt;contributors&gt;&lt;authors&gt;&lt;author&gt;Benidt, S.&lt;/author&gt;&lt;author&gt;Nettleton, D.&lt;/author&gt;&lt;/authors&gt;&lt;/contributors&gt;&lt;auth-address&gt;Department of Statistics, Iowa State University, Ames, IA 50011-1210, USA.&lt;/auth-address&gt;&lt;titles&gt;&lt;title&gt;SimSeq: a nonparametric approach to simulation of RNA-sequence datasets&lt;/title&gt;&lt;secondary-title&gt;Bioinformatics&lt;/secondary-title&gt;&lt;/titles&gt;&lt;periodical&gt;&lt;full-title&gt;Bioinformatics&lt;/full-title&gt;&lt;abbr-1&gt;Bioinformatics&lt;/abbr-1&gt;&lt;/periodical&gt;&lt;pages&gt;2131-40&lt;/pages&gt;&lt;volume&gt;31&lt;/volume&gt;&lt;number&gt;13&lt;/number&gt;&lt;keywords&gt;&lt;keyword&gt;Algorithms&lt;/keyword&gt;&lt;keyword&gt;Binomial Distribution&lt;/keyword&gt;&lt;keyword&gt;Computational Biology/*methods&lt;/keyword&gt;&lt;keyword&gt;Gene Expression Profiling&lt;/keyword&gt;&lt;keyword&gt;High-Throughput Nucleotide Sequencing/*methods&lt;/keyword&gt;&lt;keyword&gt;Humans&lt;/keyword&gt;&lt;keyword&gt;Sequence Alignment&lt;/keyword&gt;&lt;keyword&gt;Sequence Analysis, RNA/*methods&lt;/keyword&gt;&lt;keyword&gt;*Software&lt;/keyword&gt;&lt;keyword&gt;*Statistics, Nonparametric&lt;/keyword&gt;&lt;/keywords&gt;&lt;dates&gt;&lt;year&gt;2015&lt;/year&gt;&lt;pub-dates&gt;&lt;date&gt;Jul 1&lt;/date&gt;&lt;/pub-dates&gt;&lt;/dates&gt;&lt;isbn&gt;1367-4811 (Electronic)&amp;#xD;1367-4803 (Linking)&lt;/isbn&gt;&lt;accession-num&gt;25725090&lt;/accession-num&gt;&lt;urls&gt;&lt;related-urls&gt;&lt;url&gt;https://www.ncbi.nlm.nih.gov/pubmed/25725090&lt;/url&gt;&lt;/related-urls&gt;&lt;/urls&gt;&lt;custom2&gt;PMC4481850&lt;/custom2&gt;&lt;electronic-resource-num&gt;10.1093/bioinformatics/btv124&lt;/electronic-resource-num&gt;&lt;/record&gt;&lt;/Cite&gt;&lt;/EndNote&gt;</w:instrText>
      </w:r>
      <w:r w:rsidR="00C539C3">
        <w:rPr>
          <w:rFonts w:ascii="Baskerville" w:hAnsi="Baskerville"/>
        </w:rPr>
        <w:fldChar w:fldCharType="separate"/>
      </w:r>
      <w:r w:rsidR="00C539C3">
        <w:rPr>
          <w:rFonts w:ascii="Baskerville" w:hAnsi="Baskerville"/>
          <w:noProof/>
        </w:rPr>
        <w:t>(Benidt and Nettleton 2015)</w:t>
      </w:r>
      <w:r w:rsidR="00C539C3">
        <w:rPr>
          <w:rFonts w:ascii="Baskerville" w:hAnsi="Baskerville"/>
        </w:rPr>
        <w:fldChar w:fldCharType="end"/>
      </w:r>
      <w:r w:rsidRPr="001E2C9B">
        <w:rPr>
          <w:rFonts w:ascii="Baskerville" w:hAnsi="Baskerville"/>
        </w:rPr>
        <w:t xml:space="preserve">. </w:t>
      </w:r>
      <w:r w:rsidR="00E62692">
        <w:rPr>
          <w:rFonts w:ascii="Baskerville" w:hAnsi="Baskerville"/>
        </w:rPr>
        <w:t>This d</w:t>
      </w:r>
      <w:r w:rsidR="00E62692" w:rsidRPr="001E2C9B">
        <w:rPr>
          <w:rFonts w:ascii="Baskerville" w:hAnsi="Baskerville"/>
        </w:rPr>
        <w:t>ata</w:t>
      </w:r>
      <w:r w:rsidRPr="001E2C9B">
        <w:rPr>
          <w:rFonts w:ascii="Baskerville" w:hAnsi="Baskerville"/>
        </w:rPr>
        <w:t xml:space="preserve">-based simulation involved subsampling from </w:t>
      </w:r>
      <w:r w:rsidR="00E62692">
        <w:rPr>
          <w:rFonts w:ascii="Baskerville" w:hAnsi="Baskerville"/>
        </w:rPr>
        <w:t>a</w:t>
      </w:r>
      <w:r w:rsidR="00E62692" w:rsidRPr="001E2C9B">
        <w:rPr>
          <w:rFonts w:ascii="Baskerville" w:hAnsi="Baskerville"/>
        </w:rPr>
        <w:t xml:space="preserve"> </w:t>
      </w:r>
      <w:r w:rsidRPr="001E2C9B">
        <w:rPr>
          <w:rFonts w:ascii="Baskerville" w:hAnsi="Baskerville"/>
        </w:rPr>
        <w:t xml:space="preserve">large </w:t>
      </w:r>
      <w:r w:rsidR="00E62692">
        <w:rPr>
          <w:rFonts w:ascii="Baskerville" w:hAnsi="Baskerville"/>
        </w:rPr>
        <w:t xml:space="preserve">population (case/control) </w:t>
      </w:r>
      <w:r w:rsidRPr="001E2C9B">
        <w:rPr>
          <w:rFonts w:ascii="Baskerville" w:hAnsi="Baskerville"/>
        </w:rPr>
        <w:t xml:space="preserve">in such a way that the </w:t>
      </w:r>
      <w:r w:rsidR="00E62692">
        <w:rPr>
          <w:rFonts w:ascii="Baskerville" w:hAnsi="Baskerville"/>
        </w:rPr>
        <w:t>RE</w:t>
      </w:r>
      <w:r w:rsidR="00E62692" w:rsidRPr="001E2C9B">
        <w:rPr>
          <w:rFonts w:ascii="Baskerville" w:hAnsi="Baskerville"/>
        </w:rPr>
        <w:t xml:space="preserve"> </w:t>
      </w:r>
      <w:r w:rsidRPr="001E2C9B">
        <w:rPr>
          <w:rFonts w:ascii="Baskerville" w:hAnsi="Baskerville"/>
        </w:rPr>
        <w:t xml:space="preserve">distribution and the null hypothesis of no difference in mean RNA-editing percentage </w:t>
      </w:r>
      <w:r w:rsidR="00E62692">
        <w:rPr>
          <w:rFonts w:ascii="Baskerville" w:hAnsi="Baskerville"/>
        </w:rPr>
        <w:t xml:space="preserve">between the two groups </w:t>
      </w:r>
      <w:r w:rsidRPr="001E2C9B">
        <w:rPr>
          <w:rFonts w:ascii="Baskerville" w:hAnsi="Baskerville"/>
        </w:rPr>
        <w:t xml:space="preserve">is satisfied, except for </w:t>
      </w:r>
      <w:r w:rsidR="00E62692">
        <w:rPr>
          <w:rFonts w:ascii="Baskerville" w:hAnsi="Baskerville"/>
        </w:rPr>
        <w:t>a</w:t>
      </w:r>
      <w:r w:rsidR="00E62692" w:rsidRPr="001E2C9B">
        <w:rPr>
          <w:rFonts w:ascii="Baskerville" w:hAnsi="Baskerville"/>
        </w:rPr>
        <w:t xml:space="preserve"> </w:t>
      </w:r>
      <w:r w:rsidRPr="001E2C9B">
        <w:rPr>
          <w:rFonts w:ascii="Baskerville" w:hAnsi="Baskerville"/>
        </w:rPr>
        <w:t>set of differential RE sites</w:t>
      </w:r>
      <w:r w:rsidR="00E62692">
        <w:rPr>
          <w:rFonts w:ascii="Baskerville" w:hAnsi="Baskerville"/>
        </w:rPr>
        <w:t>. T</w:t>
      </w:r>
      <w:r w:rsidRPr="001E2C9B">
        <w:rPr>
          <w:rFonts w:ascii="Baskerville" w:hAnsi="Baskerville"/>
        </w:rPr>
        <w:t xml:space="preserve">he subsampling </w:t>
      </w:r>
      <w:r w:rsidR="00E62692">
        <w:rPr>
          <w:rFonts w:ascii="Baskerville" w:hAnsi="Baskerville"/>
        </w:rPr>
        <w:t xml:space="preserve">procedure in </w:t>
      </w:r>
      <w:r w:rsidR="00E62692" w:rsidRPr="001E2C9B">
        <w:rPr>
          <w:rFonts w:ascii="Baskerville" w:hAnsi="Baskerville"/>
        </w:rPr>
        <w:t xml:space="preserve">100 cases and </w:t>
      </w:r>
      <w:r w:rsidR="00E62692">
        <w:rPr>
          <w:rFonts w:ascii="Baskerville" w:hAnsi="Baskerville"/>
        </w:rPr>
        <w:t xml:space="preserve">100 </w:t>
      </w:r>
      <w:r w:rsidR="00E62692" w:rsidRPr="001E2C9B">
        <w:rPr>
          <w:rFonts w:ascii="Baskerville" w:hAnsi="Baskerville"/>
        </w:rPr>
        <w:t xml:space="preserve">controls </w:t>
      </w:r>
      <w:r w:rsidRPr="001E2C9B">
        <w:rPr>
          <w:rFonts w:ascii="Baskerville" w:hAnsi="Baskerville"/>
        </w:rPr>
        <w:t xml:space="preserve">was performed using an R package SimSeq </w:t>
      </w:r>
      <w:r w:rsidR="00C539C3">
        <w:rPr>
          <w:rFonts w:ascii="Baskerville" w:hAnsi="Baskerville"/>
        </w:rPr>
        <w:fldChar w:fldCharType="begin"/>
      </w:r>
      <w:r w:rsidR="00C539C3">
        <w:rPr>
          <w:rFonts w:ascii="Baskerville" w:hAnsi="Baskerville"/>
        </w:rPr>
        <w:instrText xml:space="preserve"> ADDIN EN.CITE &lt;EndNote&gt;&lt;Cite&gt;&lt;Author&gt;Benidt&lt;/Author&gt;&lt;Year&gt;2015&lt;/Year&gt;&lt;RecNum&gt;498&lt;/RecNum&gt;&lt;DisplayText&gt;(Benidt and Nettleton 2015)&lt;/DisplayText&gt;&lt;record&gt;&lt;rec-number&gt;498&lt;/rec-number&gt;&lt;foreign-keys&gt;&lt;key app="EN" db-id="wsvrdaattvrw2letfthptsetz5vptd2vs0rd" timestamp="1478616004"&gt;498&lt;/key&gt;&lt;/foreign-keys&gt;&lt;ref-type name="Journal Article"&gt;17&lt;/ref-type&gt;&lt;contributors&gt;&lt;authors&gt;&lt;author&gt;Benidt, S.&lt;/author&gt;&lt;author&gt;Nettleton, D.&lt;/author&gt;&lt;/authors&gt;&lt;/contributors&gt;&lt;auth-address&gt;Department of Statistics, Iowa State University, Ames, IA 50011-1210, USA.&lt;/auth-address&gt;&lt;titles&gt;&lt;title&gt;SimSeq: a nonparametric approach to simulation of RNA-sequence datasets&lt;/title&gt;&lt;secondary-title&gt;Bioinformatics&lt;/secondary-title&gt;&lt;/titles&gt;&lt;periodical&gt;&lt;full-title&gt;Bioinformatics&lt;/full-title&gt;&lt;abbr-1&gt;Bioinformatics&lt;/abbr-1&gt;&lt;/periodical&gt;&lt;pages&gt;2131-40&lt;/pages&gt;&lt;volume&gt;31&lt;/volume&gt;&lt;number&gt;13&lt;/number&gt;&lt;keywords&gt;&lt;keyword&gt;Algorithms&lt;/keyword&gt;&lt;keyword&gt;Binomial Distribution&lt;/keyword&gt;&lt;keyword&gt;Computational Biology/*methods&lt;/keyword&gt;&lt;keyword&gt;Gene Expression Profiling&lt;/keyword&gt;&lt;keyword&gt;High-Throughput Nucleotide Sequencing/*methods&lt;/keyword&gt;&lt;keyword&gt;Humans&lt;/keyword&gt;&lt;keyword&gt;Sequence Alignment&lt;/keyword&gt;&lt;keyword&gt;Sequence Analysis, RNA/*methods&lt;/keyword&gt;&lt;keyword&gt;*Software&lt;/keyword&gt;&lt;keyword&gt;*Statistics, Nonparametric&lt;/keyword&gt;&lt;/keywords&gt;&lt;dates&gt;&lt;year&gt;2015&lt;/year&gt;&lt;pub-dates&gt;&lt;date&gt;Jul 1&lt;/date&gt;&lt;/pub-dates&gt;&lt;/dates&gt;&lt;isbn&gt;1367-4811 (Electronic)&amp;#xD;1367-4803 (Linking)&lt;/isbn&gt;&lt;accession-num&gt;25725090&lt;/accession-num&gt;&lt;urls&gt;&lt;related-urls&gt;&lt;url&gt;https://www.ncbi.nlm.nih.gov/pubmed/25725090&lt;/url&gt;&lt;/related-urls&gt;&lt;/urls&gt;&lt;custom2&gt;PMC4481850&lt;/custom2&gt;&lt;electronic-resource-num&gt;10.1093/bioinformatics/btv124&lt;/electronic-resource-num&gt;&lt;/record&gt;&lt;/Cite&gt;&lt;/EndNote&gt;</w:instrText>
      </w:r>
      <w:r w:rsidR="00C539C3">
        <w:rPr>
          <w:rFonts w:ascii="Baskerville" w:hAnsi="Baskerville"/>
        </w:rPr>
        <w:fldChar w:fldCharType="separate"/>
      </w:r>
      <w:r w:rsidR="00C539C3">
        <w:rPr>
          <w:rFonts w:ascii="Baskerville" w:hAnsi="Baskerville"/>
          <w:noProof/>
        </w:rPr>
        <w:t>(Benidt and Nettleton 2015)</w:t>
      </w:r>
      <w:r w:rsidR="00C539C3">
        <w:rPr>
          <w:rFonts w:ascii="Baskerville" w:hAnsi="Baskerville"/>
        </w:rPr>
        <w:fldChar w:fldCharType="end"/>
      </w:r>
      <w:r w:rsidR="00E62692">
        <w:rPr>
          <w:rFonts w:ascii="Baskerville" w:hAnsi="Baskerville"/>
        </w:rPr>
        <w:t xml:space="preserve">, and generated 10 </w:t>
      </w:r>
      <w:r w:rsidR="00E62692" w:rsidRPr="001E2C9B">
        <w:rPr>
          <w:rFonts w:ascii="Baskerville" w:hAnsi="Baskerville"/>
        </w:rPr>
        <w:t>bootstrap</w:t>
      </w:r>
      <w:r w:rsidR="00E62692">
        <w:rPr>
          <w:rFonts w:ascii="Baskerville" w:hAnsi="Baskerville"/>
        </w:rPr>
        <w:t xml:space="preserve"> samples</w:t>
      </w:r>
      <w:r w:rsidRPr="001E2C9B">
        <w:rPr>
          <w:rFonts w:ascii="Baskerville" w:hAnsi="Baskerville"/>
        </w:rPr>
        <w:t xml:space="preserve">. Next, we added </w:t>
      </w:r>
      <w:r w:rsidR="00E62692">
        <w:rPr>
          <w:rFonts w:ascii="Baskerville" w:hAnsi="Baskerville"/>
        </w:rPr>
        <w:t>different noise levels</w:t>
      </w:r>
      <w:r w:rsidR="00E62692" w:rsidRPr="001E2C9B">
        <w:rPr>
          <w:rFonts w:ascii="Baskerville" w:hAnsi="Baskerville"/>
        </w:rPr>
        <w:t xml:space="preserve"> </w:t>
      </w:r>
      <w:r w:rsidRPr="001E2C9B">
        <w:rPr>
          <w:rFonts w:ascii="Baskerville" w:hAnsi="Baskerville"/>
        </w:rPr>
        <w:t xml:space="preserve">to </w:t>
      </w:r>
      <w:r w:rsidR="00E62692">
        <w:rPr>
          <w:rFonts w:ascii="Baskerville" w:hAnsi="Baskerville"/>
        </w:rPr>
        <w:t>each of the</w:t>
      </w:r>
      <w:r w:rsidR="00E62692" w:rsidRPr="001E2C9B">
        <w:rPr>
          <w:rFonts w:ascii="Baskerville" w:hAnsi="Baskerville"/>
        </w:rPr>
        <w:t xml:space="preserve"> </w:t>
      </w:r>
      <w:r w:rsidRPr="001E2C9B">
        <w:rPr>
          <w:rFonts w:ascii="Baskerville" w:hAnsi="Baskerville"/>
        </w:rPr>
        <w:t>simulated bootstrap</w:t>
      </w:r>
      <w:r w:rsidR="00E62692">
        <w:rPr>
          <w:rFonts w:ascii="Baskerville" w:hAnsi="Baskerville"/>
        </w:rPr>
        <w:t xml:space="preserve"> samples</w:t>
      </w:r>
      <w:r w:rsidRPr="001E2C9B">
        <w:rPr>
          <w:rFonts w:ascii="Baskerville" w:hAnsi="Baskerville"/>
        </w:rPr>
        <w:t>, using two models</w:t>
      </w:r>
      <w:r w:rsidR="00E62692">
        <w:rPr>
          <w:rFonts w:ascii="Baskerville" w:hAnsi="Baskerville"/>
        </w:rPr>
        <w:t>, as follows</w:t>
      </w:r>
      <w:r w:rsidRPr="001E2C9B">
        <w:rPr>
          <w:rFonts w:ascii="Baskerville" w:hAnsi="Baskerville"/>
        </w:rPr>
        <w:t xml:space="preserve">: </w:t>
      </w:r>
      <w:r w:rsidRPr="001E2C9B">
        <w:rPr>
          <w:rFonts w:ascii="Baskerville" w:hAnsi="Baskerville"/>
        </w:rPr>
        <w:br/>
      </w:r>
    </w:p>
    <w:p w14:paraId="163CA9B9" w14:textId="43E0AB92" w:rsidR="00753444" w:rsidRPr="001E2C9B" w:rsidRDefault="00753444" w:rsidP="00492A5E">
      <w:pPr>
        <w:spacing w:before="120" w:after="120" w:line="360" w:lineRule="auto"/>
        <w:jc w:val="both"/>
        <w:rPr>
          <w:rFonts w:ascii="Baskerville" w:hAnsi="Baskerville"/>
        </w:rPr>
      </w:pPr>
      <w:r w:rsidRPr="00492A5E">
        <w:rPr>
          <w:rFonts w:ascii="Baskerville" w:hAnsi="Baskerville"/>
          <w:i/>
        </w:rPr>
        <w:t>Model-1</w:t>
      </w:r>
      <w:r w:rsidRPr="001E2C9B">
        <w:rPr>
          <w:rFonts w:ascii="Baskerville" w:hAnsi="Baskerville"/>
        </w:rPr>
        <w:t xml:space="preserve">: </w:t>
      </w:r>
      <w:r w:rsidR="00F30D5E">
        <w:rPr>
          <w:rFonts w:ascii="Baskerville" w:hAnsi="Baskerville"/>
        </w:rPr>
        <w:t>For each edited site, the s</w:t>
      </w:r>
      <w:r w:rsidR="00F30D5E" w:rsidRPr="001E2C9B">
        <w:rPr>
          <w:rFonts w:ascii="Baskerville" w:hAnsi="Baskerville"/>
        </w:rPr>
        <w:t xml:space="preserve">imulated </w:t>
      </w:r>
      <w:r w:rsidRPr="001E2C9B">
        <w:rPr>
          <w:rFonts w:ascii="Baskerville" w:hAnsi="Baskerville"/>
        </w:rPr>
        <w:t xml:space="preserve">RE percentages </w:t>
      </w:r>
      <w:r w:rsidR="00E62692">
        <w:rPr>
          <w:rFonts w:ascii="Baskerville" w:hAnsi="Baskerville"/>
        </w:rPr>
        <w:t xml:space="preserve">(X) </w:t>
      </w:r>
      <w:r w:rsidRPr="001E2C9B">
        <w:rPr>
          <w:rFonts w:ascii="Baskerville" w:hAnsi="Baskerville"/>
        </w:rPr>
        <w:t xml:space="preserve">were </w:t>
      </w:r>
      <w:r w:rsidR="00E62692">
        <w:rPr>
          <w:rFonts w:ascii="Baskerville" w:hAnsi="Baskerville"/>
        </w:rPr>
        <w:t>obtained</w:t>
      </w:r>
      <w:r w:rsidR="00E62692" w:rsidRPr="001E2C9B">
        <w:rPr>
          <w:rFonts w:ascii="Baskerville" w:hAnsi="Baskerville"/>
        </w:rPr>
        <w:t xml:space="preserve"> </w:t>
      </w:r>
      <w:r w:rsidRPr="001E2C9B">
        <w:rPr>
          <w:rFonts w:ascii="Baskerville" w:hAnsi="Baskerville"/>
        </w:rPr>
        <w:t xml:space="preserve">by adding or subtracting </w:t>
      </w:r>
      <w:r w:rsidR="00F30D5E">
        <w:rPr>
          <w:rFonts w:ascii="Baskerville" w:hAnsi="Baskerville"/>
        </w:rPr>
        <w:t xml:space="preserve">at random </w:t>
      </w:r>
      <w:r w:rsidRPr="001E2C9B">
        <w:rPr>
          <w:rFonts w:ascii="Baskerville" w:hAnsi="Baskerville"/>
        </w:rPr>
        <w:t xml:space="preserve">a </w:t>
      </w:r>
      <w:r w:rsidR="00F30D5E">
        <w:rPr>
          <w:rFonts w:ascii="Baskerville" w:hAnsi="Baskerville"/>
        </w:rPr>
        <w:t xml:space="preserve">fixed </w:t>
      </w:r>
      <w:r w:rsidRPr="001E2C9B">
        <w:rPr>
          <w:rFonts w:ascii="Baskerville" w:hAnsi="Baskerville"/>
        </w:rPr>
        <w:t xml:space="preserve">percentage </w:t>
      </w:r>
      <w:r w:rsidR="00F30D5E">
        <w:rPr>
          <w:rFonts w:ascii="Baskerville" w:hAnsi="Baskerville"/>
        </w:rPr>
        <w:t xml:space="preserve">(Y) </w:t>
      </w:r>
      <w:r w:rsidRPr="001E2C9B">
        <w:rPr>
          <w:rFonts w:ascii="Baskerville" w:hAnsi="Baskerville"/>
        </w:rPr>
        <w:t xml:space="preserve">of </w:t>
      </w:r>
      <w:r w:rsidR="00F30D5E">
        <w:rPr>
          <w:rFonts w:ascii="Baskerville" w:hAnsi="Baskerville"/>
        </w:rPr>
        <w:t>initial</w:t>
      </w:r>
      <w:r w:rsidR="00F30D5E" w:rsidRPr="001E2C9B">
        <w:rPr>
          <w:rFonts w:ascii="Baskerville" w:hAnsi="Baskerville"/>
        </w:rPr>
        <w:t xml:space="preserve"> </w:t>
      </w:r>
      <w:r w:rsidRPr="001E2C9B">
        <w:rPr>
          <w:rFonts w:ascii="Baskerville" w:hAnsi="Baskerville"/>
        </w:rPr>
        <w:t xml:space="preserve">RE </w:t>
      </w:r>
      <w:r w:rsidR="00F30D5E">
        <w:rPr>
          <w:rFonts w:ascii="Baskerville" w:hAnsi="Baskerville"/>
        </w:rPr>
        <w:t>level</w:t>
      </w:r>
      <w:r w:rsidRPr="001E2C9B">
        <w:rPr>
          <w:rFonts w:ascii="Baskerville" w:hAnsi="Baskerville"/>
        </w:rPr>
        <w:t>:</w:t>
      </w:r>
    </w:p>
    <w:p w14:paraId="3047ECF5" w14:textId="77777777" w:rsidR="00753444" w:rsidRPr="001E2C9B" w:rsidRDefault="00753444" w:rsidP="00492A5E">
      <w:pPr>
        <w:spacing w:before="120" w:after="120" w:line="360" w:lineRule="auto"/>
        <w:ind w:left="2160" w:firstLine="720"/>
        <w:jc w:val="both"/>
        <w:rPr>
          <w:rFonts w:ascii="Baskerville" w:hAnsi="Baskerville"/>
        </w:rPr>
      </w:pPr>
      <w:r w:rsidRPr="001E2C9B">
        <w:rPr>
          <w:rFonts w:ascii="Baskerville" w:hAnsi="Baskerville"/>
        </w:rPr>
        <w:t>X=RE level ± Y                        (1)</w:t>
      </w:r>
    </w:p>
    <w:p w14:paraId="525A492C" w14:textId="68345A4E" w:rsidR="00753444" w:rsidRPr="001E2C9B" w:rsidRDefault="00753444" w:rsidP="00492A5E">
      <w:pPr>
        <w:spacing w:before="120" w:after="120" w:line="360" w:lineRule="auto"/>
        <w:jc w:val="both"/>
        <w:rPr>
          <w:rFonts w:ascii="Baskerville" w:hAnsi="Baskerville"/>
        </w:rPr>
      </w:pPr>
      <w:r w:rsidRPr="001E2C9B">
        <w:rPr>
          <w:rFonts w:ascii="Baskerville" w:hAnsi="Baskerville"/>
        </w:rPr>
        <w:t xml:space="preserve">Y is </w:t>
      </w:r>
      <w:r w:rsidR="00F30D5E">
        <w:rPr>
          <w:rFonts w:ascii="Baskerville" w:hAnsi="Baskerville"/>
        </w:rPr>
        <w:t xml:space="preserve">the </w:t>
      </w:r>
      <w:r w:rsidRPr="001E2C9B">
        <w:rPr>
          <w:rFonts w:ascii="Baskerville" w:hAnsi="Baskerville"/>
        </w:rPr>
        <w:t xml:space="preserve">percentage of RE level </w:t>
      </w:r>
      <w:r w:rsidRPr="001E2C9B">
        <w:rPr>
          <w:rFonts w:ascii="Cambria Math" w:hAnsi="Cambria Math" w:cs="Cambria Math"/>
        </w:rPr>
        <w:t>∈</w:t>
      </w:r>
      <w:r w:rsidRPr="001E2C9B">
        <w:rPr>
          <w:rFonts w:ascii="Baskerville" w:hAnsi="Baskerville"/>
        </w:rPr>
        <w:t xml:space="preserve"> {50%, 75%, 100%, 200% and 300%} and X is the </w:t>
      </w:r>
      <w:r w:rsidR="00F30D5E">
        <w:rPr>
          <w:rFonts w:ascii="Baskerville" w:hAnsi="Baskerville"/>
        </w:rPr>
        <w:t>simulated</w:t>
      </w:r>
      <w:r w:rsidR="00F30D5E" w:rsidRPr="001E2C9B">
        <w:rPr>
          <w:rFonts w:ascii="Baskerville" w:hAnsi="Baskerville"/>
        </w:rPr>
        <w:t xml:space="preserve"> </w:t>
      </w:r>
      <w:r w:rsidRPr="001E2C9B">
        <w:rPr>
          <w:rFonts w:ascii="Baskerville" w:hAnsi="Baskerville"/>
        </w:rPr>
        <w:t>RE percentage with noise</w:t>
      </w:r>
      <w:r w:rsidR="00F30D5E">
        <w:rPr>
          <w:rFonts w:ascii="Baskerville" w:hAnsi="Baskerville"/>
        </w:rPr>
        <w:t>.</w:t>
      </w:r>
    </w:p>
    <w:p w14:paraId="6CB5F27A" w14:textId="62907865" w:rsidR="00753444" w:rsidRPr="001E2C9B" w:rsidRDefault="00753444" w:rsidP="00492A5E">
      <w:pPr>
        <w:spacing w:before="120" w:after="120" w:line="360" w:lineRule="auto"/>
        <w:jc w:val="both"/>
        <w:rPr>
          <w:rFonts w:ascii="Baskerville" w:hAnsi="Baskerville"/>
        </w:rPr>
      </w:pPr>
      <w:r w:rsidRPr="00492A5E">
        <w:rPr>
          <w:rFonts w:ascii="Baskerville" w:hAnsi="Baskerville"/>
          <w:i/>
        </w:rPr>
        <w:t>Model-2</w:t>
      </w:r>
      <w:r w:rsidRPr="001E2C9B">
        <w:rPr>
          <w:rFonts w:ascii="Baskerville" w:hAnsi="Baskerville"/>
        </w:rPr>
        <w:t xml:space="preserve">: </w:t>
      </w:r>
      <w:r w:rsidR="00F30D5E">
        <w:rPr>
          <w:rFonts w:ascii="Baskerville" w:hAnsi="Baskerville"/>
        </w:rPr>
        <w:t>For each edited site, the s</w:t>
      </w:r>
      <w:r w:rsidR="00F30D5E" w:rsidRPr="001E2C9B">
        <w:rPr>
          <w:rFonts w:ascii="Baskerville" w:hAnsi="Baskerville"/>
        </w:rPr>
        <w:t xml:space="preserve">imulated </w:t>
      </w:r>
      <w:r w:rsidRPr="001E2C9B">
        <w:rPr>
          <w:rFonts w:ascii="Baskerville" w:hAnsi="Baskerville"/>
        </w:rPr>
        <w:t xml:space="preserve">RE percentages </w:t>
      </w:r>
      <w:r w:rsidR="00F30D5E">
        <w:rPr>
          <w:rFonts w:ascii="Baskerville" w:hAnsi="Baskerville"/>
        </w:rPr>
        <w:t xml:space="preserve">(X’) </w:t>
      </w:r>
      <w:r w:rsidRPr="001E2C9B">
        <w:rPr>
          <w:rFonts w:ascii="Baskerville" w:hAnsi="Baskerville"/>
        </w:rPr>
        <w:t xml:space="preserve">were </w:t>
      </w:r>
      <w:r w:rsidR="00F30D5E">
        <w:rPr>
          <w:rFonts w:ascii="Baskerville" w:hAnsi="Baskerville"/>
        </w:rPr>
        <w:t>obtained</w:t>
      </w:r>
      <w:r w:rsidR="00F30D5E" w:rsidRPr="001E2C9B">
        <w:rPr>
          <w:rFonts w:ascii="Baskerville" w:hAnsi="Baskerville"/>
        </w:rPr>
        <w:t xml:space="preserve"> by adding or subtracting </w:t>
      </w:r>
      <w:r w:rsidR="00F30D5E">
        <w:rPr>
          <w:rFonts w:ascii="Baskerville" w:hAnsi="Baskerville"/>
        </w:rPr>
        <w:t>at random</w:t>
      </w:r>
      <w:r w:rsidRPr="001E2C9B">
        <w:rPr>
          <w:rFonts w:ascii="Baskerville" w:hAnsi="Baskerville"/>
        </w:rPr>
        <w:t xml:space="preserve"> a percentage </w:t>
      </w:r>
      <w:r w:rsidR="00F30D5E">
        <w:rPr>
          <w:rFonts w:ascii="Baskerville" w:hAnsi="Baskerville"/>
        </w:rPr>
        <w:t xml:space="preserve">(Y’) </w:t>
      </w:r>
      <w:r w:rsidRPr="001E2C9B">
        <w:rPr>
          <w:rFonts w:ascii="Baskerville" w:hAnsi="Baskerville"/>
        </w:rPr>
        <w:t xml:space="preserve">of </w:t>
      </w:r>
      <w:r w:rsidR="00F30D5E">
        <w:rPr>
          <w:rFonts w:ascii="Baskerville" w:hAnsi="Baskerville"/>
        </w:rPr>
        <w:t>initial</w:t>
      </w:r>
      <w:r w:rsidR="00F30D5E" w:rsidRPr="001E2C9B">
        <w:rPr>
          <w:rFonts w:ascii="Baskerville" w:hAnsi="Baskerville"/>
        </w:rPr>
        <w:t xml:space="preserve"> </w:t>
      </w:r>
      <w:r w:rsidRPr="001E2C9B">
        <w:rPr>
          <w:rFonts w:ascii="Baskerville" w:hAnsi="Baskerville"/>
        </w:rPr>
        <w:t xml:space="preserve">RE </w:t>
      </w:r>
      <w:r w:rsidR="00F30D5E">
        <w:rPr>
          <w:rFonts w:ascii="Baskerville" w:hAnsi="Baskerville"/>
        </w:rPr>
        <w:t>level,</w:t>
      </w:r>
      <w:r w:rsidR="00F30D5E" w:rsidRPr="001E2C9B">
        <w:rPr>
          <w:rFonts w:ascii="Baskerville" w:hAnsi="Baskerville"/>
        </w:rPr>
        <w:t xml:space="preserve"> </w:t>
      </w:r>
      <w:r w:rsidR="00F30D5E">
        <w:rPr>
          <w:rFonts w:ascii="Baskerville" w:hAnsi="Baskerville"/>
        </w:rPr>
        <w:t>where Y’ is drawn</w:t>
      </w:r>
      <w:r w:rsidRPr="001E2C9B">
        <w:rPr>
          <w:rFonts w:ascii="Baskerville" w:hAnsi="Baskerville"/>
        </w:rPr>
        <w:t xml:space="preserve"> </w:t>
      </w:r>
      <w:r w:rsidR="00F30D5E">
        <w:rPr>
          <w:rFonts w:ascii="Baskerville" w:hAnsi="Baskerville"/>
        </w:rPr>
        <w:t>from</w:t>
      </w:r>
      <w:r w:rsidR="00F30D5E" w:rsidRPr="001E2C9B">
        <w:rPr>
          <w:rFonts w:ascii="Baskerville" w:hAnsi="Baskerville"/>
        </w:rPr>
        <w:t xml:space="preserve"> </w:t>
      </w:r>
      <w:r w:rsidRPr="001E2C9B">
        <w:rPr>
          <w:rFonts w:ascii="Baskerville" w:hAnsi="Baskerville"/>
        </w:rPr>
        <w:t xml:space="preserve">a normal distribution with mean X </w:t>
      </w:r>
      <w:r w:rsidR="00F30D5E">
        <w:rPr>
          <w:rFonts w:ascii="Baskerville" w:hAnsi="Baskerville"/>
        </w:rPr>
        <w:t xml:space="preserve">(as in </w:t>
      </w:r>
      <w:r w:rsidRPr="001E2C9B">
        <w:rPr>
          <w:rFonts w:ascii="Baskerville" w:hAnsi="Baskerville"/>
        </w:rPr>
        <w:t>(1)</w:t>
      </w:r>
      <w:r w:rsidR="00F30D5E">
        <w:rPr>
          <w:rFonts w:ascii="Baskerville" w:hAnsi="Baskerville"/>
        </w:rPr>
        <w:t>)</w:t>
      </w:r>
      <w:r w:rsidRPr="001E2C9B">
        <w:rPr>
          <w:rFonts w:ascii="Baskerville" w:hAnsi="Baskerville"/>
        </w:rPr>
        <w:t xml:space="preserve"> and standard deviation </w:t>
      </w:r>
      <w:r w:rsidR="00F30D5E">
        <w:rPr>
          <w:rFonts w:ascii="Baskerville" w:hAnsi="Baskerville"/>
        </w:rPr>
        <w:t xml:space="preserve">(SD) </w:t>
      </w:r>
      <w:r w:rsidRPr="001E2C9B">
        <w:rPr>
          <w:rFonts w:ascii="Baskerville" w:hAnsi="Baskerville"/>
        </w:rPr>
        <w:t>as a function of mean</w:t>
      </w:r>
      <w:r w:rsidR="00F30D5E">
        <w:rPr>
          <w:rFonts w:ascii="Baskerville" w:hAnsi="Baskerville"/>
        </w:rPr>
        <w:t>, as described</w:t>
      </w:r>
      <w:r w:rsidRPr="001E2C9B">
        <w:rPr>
          <w:rFonts w:ascii="Baskerville" w:hAnsi="Baskerville"/>
        </w:rPr>
        <w:t xml:space="preserve"> below</w:t>
      </w:r>
    </w:p>
    <w:p w14:paraId="1B2415D4" w14:textId="77777777" w:rsidR="00753444" w:rsidRPr="001E2C9B" w:rsidRDefault="00753444" w:rsidP="00492A5E">
      <w:pPr>
        <w:spacing w:before="120" w:after="120" w:line="360" w:lineRule="auto"/>
        <w:ind w:left="2160" w:firstLine="720"/>
        <w:jc w:val="both"/>
        <w:rPr>
          <w:rFonts w:ascii="Baskerville" w:hAnsi="Baskerville"/>
        </w:rPr>
      </w:pPr>
      <w:r w:rsidRPr="001E2C9B">
        <w:rPr>
          <w:rFonts w:ascii="Baskerville" w:hAnsi="Baskerville"/>
        </w:rPr>
        <w:t xml:space="preserve">X’=RE level ± Y’ </w:t>
      </w:r>
    </w:p>
    <w:p w14:paraId="526621E2" w14:textId="2940D6C5" w:rsidR="00753444" w:rsidRPr="001E2C9B" w:rsidRDefault="00753444" w:rsidP="00492A5E">
      <w:pPr>
        <w:spacing w:before="120" w:after="120" w:line="360" w:lineRule="auto"/>
        <w:jc w:val="both"/>
        <w:rPr>
          <w:rFonts w:ascii="Baskerville" w:hAnsi="Baskerville"/>
        </w:rPr>
      </w:pPr>
      <w:r w:rsidRPr="001E2C9B">
        <w:rPr>
          <w:rFonts w:ascii="Baskerville" w:hAnsi="Baskerville"/>
        </w:rPr>
        <w:t xml:space="preserve">Y’ is percentage of RE level ~ N (mean=X &amp; SD </w:t>
      </w:r>
      <w:r w:rsidRPr="001E2C9B">
        <w:rPr>
          <w:rFonts w:ascii="Cambria Math" w:hAnsi="Cambria Math" w:cs="Cambria Math"/>
        </w:rPr>
        <w:t>∈</w:t>
      </w:r>
      <w:r w:rsidRPr="001E2C9B">
        <w:rPr>
          <w:rFonts w:ascii="Baskerville" w:hAnsi="Baskerville"/>
        </w:rPr>
        <w:t xml:space="preserve"> {0.5X, 0.75X, X, 2X, 3X, 4X, 5X and 10X}) and X=RE level </w:t>
      </w:r>
      <w:r w:rsidRPr="001E2C9B">
        <w:rPr>
          <w:rFonts w:ascii="Times New Roman" w:hAnsi="Times New Roman"/>
        </w:rPr>
        <w:t>±</w:t>
      </w:r>
      <w:r w:rsidRPr="001E2C9B">
        <w:rPr>
          <w:rFonts w:ascii="Baskerville" w:hAnsi="Baskerville"/>
        </w:rPr>
        <w:t xml:space="preserve"> Y from (1)</w:t>
      </w:r>
      <w:r w:rsidR="00F30D5E">
        <w:rPr>
          <w:rFonts w:ascii="Baskerville" w:hAnsi="Baskerville"/>
        </w:rPr>
        <w:t>.</w:t>
      </w:r>
      <w:r w:rsidRPr="001E2C9B">
        <w:rPr>
          <w:rFonts w:ascii="Baskerville" w:hAnsi="Baskerville"/>
        </w:rPr>
        <w:t xml:space="preserve"> </w:t>
      </w:r>
    </w:p>
    <w:p w14:paraId="38D95C54" w14:textId="3E623A37" w:rsidR="00F30D5E" w:rsidRDefault="00F30D5E" w:rsidP="00492A5E">
      <w:pPr>
        <w:spacing w:before="120" w:after="120" w:line="360" w:lineRule="auto"/>
        <w:jc w:val="both"/>
        <w:rPr>
          <w:rFonts w:ascii="Baskerville" w:hAnsi="Baskerville"/>
        </w:rPr>
      </w:pPr>
      <w:r>
        <w:rPr>
          <w:rFonts w:ascii="Baskerville" w:hAnsi="Baskerville"/>
        </w:rPr>
        <w:t xml:space="preserve">This generates a total of </w:t>
      </w:r>
      <w:r w:rsidR="00D86B07">
        <w:rPr>
          <w:rFonts w:ascii="Baskerville" w:hAnsi="Baskerville"/>
        </w:rPr>
        <w:t xml:space="preserve">(5 x 8 noise levels) x (10 bootstrap samples) x </w:t>
      </w:r>
      <w:r w:rsidR="00CC184D">
        <w:rPr>
          <w:rFonts w:ascii="Baskerville" w:hAnsi="Baskerville"/>
        </w:rPr>
        <w:t>(</w:t>
      </w:r>
      <w:r w:rsidR="00D86B07">
        <w:rPr>
          <w:rFonts w:ascii="Baskerville" w:hAnsi="Baskerville"/>
        </w:rPr>
        <w:t xml:space="preserve">(50 cases) </w:t>
      </w:r>
      <w:r w:rsidR="00CC184D">
        <w:rPr>
          <w:rFonts w:ascii="Baskerville" w:hAnsi="Baskerville"/>
        </w:rPr>
        <w:t>+</w:t>
      </w:r>
      <w:r w:rsidR="00D86B07">
        <w:rPr>
          <w:rFonts w:ascii="Baskerville" w:hAnsi="Baskerville"/>
        </w:rPr>
        <w:t xml:space="preserve"> (50 controls)</w:t>
      </w:r>
      <w:r w:rsidR="00CC184D">
        <w:rPr>
          <w:rFonts w:ascii="Baskerville" w:hAnsi="Baskerville"/>
        </w:rPr>
        <w:t>)</w:t>
      </w:r>
      <w:r w:rsidR="00D86B07">
        <w:rPr>
          <w:rFonts w:ascii="Baskerville" w:hAnsi="Baskerville"/>
        </w:rPr>
        <w:t xml:space="preserve">  = </w:t>
      </w:r>
      <w:r w:rsidR="001C51DB">
        <w:rPr>
          <w:rFonts w:ascii="Baskerville" w:hAnsi="Baskerville"/>
        </w:rPr>
        <w:t>400,000</w:t>
      </w:r>
      <w:r w:rsidR="00D86B07">
        <w:rPr>
          <w:rFonts w:ascii="Baskerville" w:hAnsi="Baskerville"/>
        </w:rPr>
        <w:t xml:space="preserve"> data points that constitute</w:t>
      </w:r>
      <w:r>
        <w:rPr>
          <w:rFonts w:ascii="Baskerville" w:hAnsi="Baskerville"/>
        </w:rPr>
        <w:t xml:space="preserve"> </w:t>
      </w:r>
      <w:r w:rsidR="00D86B07">
        <w:rPr>
          <w:rFonts w:ascii="Baskerville" w:hAnsi="Baskerville"/>
        </w:rPr>
        <w:t xml:space="preserve">the </w:t>
      </w:r>
      <w:r>
        <w:rPr>
          <w:rFonts w:ascii="Baskerville" w:hAnsi="Baskerville"/>
        </w:rPr>
        <w:t xml:space="preserve">datasets of RE levels </w:t>
      </w:r>
      <w:r w:rsidR="00D07217">
        <w:rPr>
          <w:rFonts w:ascii="Baskerville" w:hAnsi="Baskerville"/>
        </w:rPr>
        <w:t xml:space="preserve">(with varying noise) simulated </w:t>
      </w:r>
      <w:r>
        <w:rPr>
          <w:rFonts w:ascii="Baskerville" w:hAnsi="Baskerville"/>
        </w:rPr>
        <w:t>in 50 cases and 50 control</w:t>
      </w:r>
      <w:r w:rsidR="00D07217">
        <w:rPr>
          <w:rFonts w:ascii="Baskerville" w:hAnsi="Baskerville"/>
        </w:rPr>
        <w:t>s.</w:t>
      </w:r>
      <w:r w:rsidR="00D86B07">
        <w:rPr>
          <w:rFonts w:ascii="Baskerville" w:hAnsi="Baskerville"/>
        </w:rPr>
        <w:t xml:space="preserve"> </w:t>
      </w:r>
    </w:p>
    <w:p w14:paraId="22A0EA8F" w14:textId="646FD930" w:rsidR="00EB1A3E" w:rsidRPr="0097033F" w:rsidRDefault="00EB1A3E" w:rsidP="009245C8">
      <w:pPr>
        <w:spacing w:before="120" w:after="120" w:line="360" w:lineRule="auto"/>
        <w:jc w:val="both"/>
        <w:rPr>
          <w:rStyle w:val="Emphasis"/>
          <w:rFonts w:ascii="Baskerville" w:hAnsi="Baskerville"/>
          <w:b/>
          <w:i w:val="0"/>
        </w:rPr>
      </w:pPr>
      <w:r w:rsidRPr="0097033F">
        <w:rPr>
          <w:rStyle w:val="Emphasis"/>
          <w:rFonts w:ascii="Baskerville" w:hAnsi="Baskerville"/>
          <w:b/>
          <w:i w:val="0"/>
        </w:rPr>
        <w:t>Estimating true</w:t>
      </w:r>
      <w:r w:rsidR="00140860">
        <w:rPr>
          <w:rStyle w:val="Emphasis"/>
          <w:rFonts w:ascii="Baskerville" w:hAnsi="Baskerville"/>
          <w:b/>
          <w:i w:val="0"/>
        </w:rPr>
        <w:t>/false</w:t>
      </w:r>
      <w:r w:rsidRPr="0097033F">
        <w:rPr>
          <w:rStyle w:val="Emphasis"/>
          <w:rFonts w:ascii="Baskerville" w:hAnsi="Baskerville"/>
          <w:b/>
          <w:i w:val="0"/>
        </w:rPr>
        <w:t xml:space="preserve"> positive rate </w:t>
      </w:r>
      <w:r w:rsidR="00140860">
        <w:rPr>
          <w:rStyle w:val="Emphasis"/>
          <w:rFonts w:ascii="Baskerville" w:hAnsi="Baskerville"/>
          <w:b/>
          <w:i w:val="0"/>
        </w:rPr>
        <w:t>in the DRE screen</w:t>
      </w:r>
    </w:p>
    <w:p w14:paraId="2160CD5E" w14:textId="28C127D9" w:rsidR="00140860" w:rsidRDefault="00EB1A3E">
      <w:pPr>
        <w:spacing w:before="120" w:after="120" w:line="360" w:lineRule="auto"/>
        <w:jc w:val="both"/>
        <w:rPr>
          <w:rStyle w:val="Emphasis"/>
          <w:rFonts w:ascii="Baskerville" w:hAnsi="Baskerville"/>
          <w:i w:val="0"/>
        </w:rPr>
      </w:pPr>
      <w:r w:rsidRPr="0097033F">
        <w:rPr>
          <w:rStyle w:val="Emphasis"/>
          <w:rFonts w:ascii="Baskerville" w:hAnsi="Baskerville"/>
          <w:i w:val="0"/>
        </w:rPr>
        <w:t>To estimate true</w:t>
      </w:r>
      <w:r w:rsidR="00140860">
        <w:rPr>
          <w:rStyle w:val="Emphasis"/>
          <w:rFonts w:ascii="Baskerville" w:hAnsi="Baskerville"/>
          <w:i w:val="0"/>
        </w:rPr>
        <w:t>/false</w:t>
      </w:r>
      <w:r w:rsidRPr="0097033F">
        <w:rPr>
          <w:rStyle w:val="Emphasis"/>
          <w:rFonts w:ascii="Baskerville" w:hAnsi="Baskerville"/>
          <w:i w:val="0"/>
        </w:rPr>
        <w:t xml:space="preserve"> positive rate</w:t>
      </w:r>
      <w:r w:rsidR="00BE3A07">
        <w:rPr>
          <w:rStyle w:val="Emphasis"/>
          <w:rFonts w:ascii="Baskerville" w:hAnsi="Baskerville"/>
          <w:i w:val="0"/>
        </w:rPr>
        <w:t xml:space="preserve"> in the differential RNA editing analysis</w:t>
      </w:r>
      <w:r w:rsidRPr="0097033F">
        <w:rPr>
          <w:rStyle w:val="Emphasis"/>
          <w:rFonts w:ascii="Baskerville" w:hAnsi="Baskerville"/>
          <w:i w:val="0"/>
        </w:rPr>
        <w:t xml:space="preserve">, fifty cases and </w:t>
      </w:r>
      <w:r w:rsidR="00094848">
        <w:rPr>
          <w:rStyle w:val="Emphasis"/>
          <w:rFonts w:ascii="Baskerville" w:hAnsi="Baskerville"/>
          <w:i w:val="0"/>
        </w:rPr>
        <w:t xml:space="preserve">fifty </w:t>
      </w:r>
      <w:r w:rsidRPr="0097033F">
        <w:rPr>
          <w:rStyle w:val="Emphasis"/>
          <w:rFonts w:ascii="Baskerville" w:hAnsi="Baskerville"/>
          <w:i w:val="0"/>
        </w:rPr>
        <w:t xml:space="preserve">controls were simulated using data-based non-parametric (see </w:t>
      </w:r>
      <w:r w:rsidR="004B3F0E">
        <w:rPr>
          <w:rStyle w:val="Emphasis"/>
          <w:rFonts w:ascii="Baskerville" w:hAnsi="Baskerville"/>
          <w:i w:val="0"/>
        </w:rPr>
        <w:t>above</w:t>
      </w:r>
      <w:r w:rsidRPr="0097033F">
        <w:rPr>
          <w:rStyle w:val="Emphasis"/>
          <w:rFonts w:ascii="Baskerville" w:hAnsi="Baskerville"/>
          <w:i w:val="0"/>
        </w:rPr>
        <w:t xml:space="preserve"> for detail). </w:t>
      </w:r>
      <w:r w:rsidR="00140860">
        <w:rPr>
          <w:rStyle w:val="Emphasis"/>
          <w:rFonts w:ascii="Baskerville" w:hAnsi="Baskerville"/>
          <w:i w:val="0"/>
        </w:rPr>
        <w:t xml:space="preserve">These simulated datasets retain key features of the real data </w:t>
      </w:r>
      <w:r w:rsidR="00D86B07">
        <w:rPr>
          <w:rStyle w:val="Emphasis"/>
          <w:rFonts w:ascii="Baskerville" w:hAnsi="Baskerville"/>
          <w:i w:val="0"/>
        </w:rPr>
        <w:t xml:space="preserve">that were </w:t>
      </w:r>
      <w:r w:rsidR="00140860">
        <w:rPr>
          <w:rStyle w:val="Emphasis"/>
          <w:rFonts w:ascii="Baskerville" w:hAnsi="Baskerville"/>
          <w:i w:val="0"/>
        </w:rPr>
        <w:t>used in our study, and t</w:t>
      </w:r>
      <w:r w:rsidR="00140860" w:rsidRPr="0097033F">
        <w:rPr>
          <w:rStyle w:val="Emphasis"/>
          <w:rFonts w:ascii="Baskerville" w:hAnsi="Baskerville"/>
          <w:i w:val="0"/>
        </w:rPr>
        <w:t xml:space="preserve">he </w:t>
      </w:r>
      <w:r w:rsidRPr="0097033F">
        <w:rPr>
          <w:rStyle w:val="Emphasis"/>
          <w:rFonts w:ascii="Baskerville" w:hAnsi="Baskerville"/>
          <w:i w:val="0"/>
        </w:rPr>
        <w:t xml:space="preserve">mean and variance for respective RE sites were </w:t>
      </w:r>
      <w:r>
        <w:rPr>
          <w:rStyle w:val="Emphasis"/>
          <w:rFonts w:ascii="Baskerville" w:hAnsi="Baskerville"/>
          <w:i w:val="0"/>
        </w:rPr>
        <w:t>comparable</w:t>
      </w:r>
      <w:r w:rsidRPr="0097033F">
        <w:rPr>
          <w:rStyle w:val="Emphasis"/>
          <w:rFonts w:ascii="Baskerville" w:hAnsi="Baskerville"/>
          <w:i w:val="0"/>
        </w:rPr>
        <w:t xml:space="preserve"> to </w:t>
      </w:r>
      <w:r>
        <w:rPr>
          <w:rStyle w:val="Emphasis"/>
          <w:rFonts w:ascii="Baskerville" w:hAnsi="Baskerville"/>
          <w:i w:val="0"/>
        </w:rPr>
        <w:t xml:space="preserve">the </w:t>
      </w:r>
      <w:r w:rsidRPr="0097033F">
        <w:rPr>
          <w:rStyle w:val="Emphasis"/>
          <w:rFonts w:ascii="Baskerville" w:hAnsi="Baskerville"/>
          <w:i w:val="0"/>
        </w:rPr>
        <w:t>original non-simulated cases and controls</w:t>
      </w:r>
      <w:r>
        <w:rPr>
          <w:rStyle w:val="Emphasis"/>
          <w:rFonts w:ascii="Baskerville" w:hAnsi="Baskerville"/>
          <w:i w:val="0"/>
        </w:rPr>
        <w:t xml:space="preserve"> datasets</w:t>
      </w:r>
      <w:r w:rsidRPr="0097033F">
        <w:rPr>
          <w:rStyle w:val="Emphasis"/>
          <w:rFonts w:ascii="Baskerville" w:hAnsi="Baskerville"/>
          <w:i w:val="0"/>
        </w:rPr>
        <w:t xml:space="preserve"> (Suppl. Fig. </w:t>
      </w:r>
      <w:r w:rsidR="00FA177F">
        <w:rPr>
          <w:rStyle w:val="Emphasis"/>
          <w:rFonts w:ascii="Baskerville" w:hAnsi="Baskerville"/>
          <w:i w:val="0"/>
        </w:rPr>
        <w:t>I</w:t>
      </w:r>
      <w:r w:rsidRPr="0097033F">
        <w:rPr>
          <w:rStyle w:val="Emphasis"/>
          <w:rFonts w:ascii="Baskerville" w:hAnsi="Baskerville"/>
          <w:i w:val="0"/>
        </w:rPr>
        <w:t xml:space="preserve">). </w:t>
      </w:r>
    </w:p>
    <w:p w14:paraId="22735B02" w14:textId="2C529195" w:rsidR="004E1CEE" w:rsidRDefault="00D01915">
      <w:pPr>
        <w:spacing w:before="120" w:after="120" w:line="360" w:lineRule="auto"/>
        <w:jc w:val="both"/>
        <w:rPr>
          <w:rStyle w:val="Emphasis"/>
          <w:rFonts w:ascii="Baskerville" w:hAnsi="Baskerville"/>
          <w:i w:val="0"/>
          <w:iCs w:val="0"/>
        </w:rPr>
      </w:pPr>
      <w:r>
        <w:rPr>
          <w:rStyle w:val="Emphasis"/>
          <w:rFonts w:ascii="Baskerville" w:hAnsi="Baskerville"/>
          <w:i w:val="0"/>
        </w:rPr>
        <w:lastRenderedPageBreak/>
        <w:t>Within e</w:t>
      </w:r>
      <w:r w:rsidRPr="00205D7D">
        <w:rPr>
          <w:rStyle w:val="Emphasis"/>
          <w:rFonts w:ascii="Baskerville" w:hAnsi="Baskerville"/>
          <w:i w:val="0"/>
        </w:rPr>
        <w:t xml:space="preserve">ach </w:t>
      </w:r>
      <w:r w:rsidR="00140860">
        <w:rPr>
          <w:rStyle w:val="Emphasis"/>
          <w:rFonts w:ascii="Baskerville" w:hAnsi="Baskerville"/>
          <w:i w:val="0"/>
        </w:rPr>
        <w:t xml:space="preserve">simulated dataset </w:t>
      </w:r>
      <w:r>
        <w:rPr>
          <w:rStyle w:val="Emphasis"/>
          <w:rFonts w:ascii="Baskerville" w:hAnsi="Baskerville"/>
          <w:i w:val="0"/>
        </w:rPr>
        <w:t>(case</w:t>
      </w:r>
      <w:r w:rsidR="00140860">
        <w:rPr>
          <w:rStyle w:val="Emphasis"/>
          <w:rFonts w:ascii="Baskerville" w:hAnsi="Baskerville"/>
          <w:i w:val="0"/>
        </w:rPr>
        <w:t>s</w:t>
      </w:r>
      <w:r>
        <w:rPr>
          <w:rStyle w:val="Emphasis"/>
          <w:rFonts w:ascii="Baskerville" w:hAnsi="Baskerville"/>
          <w:i w:val="0"/>
        </w:rPr>
        <w:t xml:space="preserve"> or controls)</w:t>
      </w:r>
      <w:r w:rsidR="00140860">
        <w:rPr>
          <w:rStyle w:val="Emphasis"/>
          <w:rFonts w:ascii="Baskerville" w:hAnsi="Baskerville"/>
          <w:i w:val="0"/>
        </w:rPr>
        <w:t>,</w:t>
      </w:r>
      <w:r>
        <w:rPr>
          <w:rStyle w:val="Emphasis"/>
          <w:rFonts w:ascii="Baskerville" w:hAnsi="Baskerville"/>
          <w:i w:val="0"/>
        </w:rPr>
        <w:t xml:space="preserve"> </w:t>
      </w:r>
      <w:r w:rsidR="00140860">
        <w:rPr>
          <w:rStyle w:val="Emphasis"/>
          <w:rFonts w:ascii="Baskerville" w:hAnsi="Baskerville"/>
          <w:i w:val="0"/>
        </w:rPr>
        <w:t>varying</w:t>
      </w:r>
      <w:r>
        <w:rPr>
          <w:rStyle w:val="Emphasis"/>
          <w:rFonts w:ascii="Baskerville" w:hAnsi="Baskerville"/>
          <w:i w:val="0"/>
        </w:rPr>
        <w:t xml:space="preserve"> noise </w:t>
      </w:r>
      <w:r w:rsidR="00140860">
        <w:rPr>
          <w:rStyle w:val="Emphasis"/>
          <w:rFonts w:ascii="Baskerville" w:hAnsi="Baskerville"/>
          <w:i w:val="0"/>
        </w:rPr>
        <w:t>levels were</w:t>
      </w:r>
      <w:r>
        <w:rPr>
          <w:rStyle w:val="Emphasis"/>
          <w:rFonts w:ascii="Baskerville" w:hAnsi="Baskerville"/>
          <w:i w:val="0"/>
        </w:rPr>
        <w:t xml:space="preserve"> added to a random proportion of </w:t>
      </w:r>
      <w:r w:rsidR="00140860">
        <w:rPr>
          <w:rStyle w:val="Emphasis"/>
          <w:rFonts w:ascii="Baskerville" w:hAnsi="Baskerville"/>
          <w:i w:val="0"/>
        </w:rPr>
        <w:t xml:space="preserve">RE </w:t>
      </w:r>
      <w:r>
        <w:rPr>
          <w:rStyle w:val="Emphasis"/>
          <w:rFonts w:ascii="Baskerville" w:hAnsi="Baskerville"/>
          <w:i w:val="0"/>
        </w:rPr>
        <w:t xml:space="preserve">sites: </w:t>
      </w:r>
      <w:r w:rsidR="00EB1A3E" w:rsidRPr="00205D7D">
        <w:rPr>
          <w:rStyle w:val="Emphasis"/>
          <w:rFonts w:ascii="Baskerville" w:hAnsi="Baskerville"/>
          <w:i w:val="0"/>
        </w:rPr>
        <w:t xml:space="preserve">10, 15, 20, 25, 30, 35, 40 and 45% </w:t>
      </w:r>
      <w:r>
        <w:rPr>
          <w:rStyle w:val="Emphasis"/>
          <w:rFonts w:ascii="Baskerville" w:hAnsi="Baskerville"/>
          <w:i w:val="0"/>
        </w:rPr>
        <w:t>all RNA sites</w:t>
      </w:r>
      <w:r w:rsidR="00D320C5">
        <w:rPr>
          <w:rStyle w:val="Emphasis"/>
          <w:rFonts w:ascii="Baskerville" w:hAnsi="Baskerville"/>
          <w:i w:val="0"/>
        </w:rPr>
        <w:t>. This yields</w:t>
      </w:r>
      <w:r w:rsidR="00E774EB">
        <w:rPr>
          <w:rStyle w:val="Emphasis"/>
          <w:rFonts w:ascii="Baskerville" w:hAnsi="Baskerville"/>
          <w:i w:val="0"/>
        </w:rPr>
        <w:t xml:space="preserve"> several datasets </w:t>
      </w:r>
      <w:r w:rsidR="00D320C5">
        <w:rPr>
          <w:rStyle w:val="Emphasis"/>
          <w:rFonts w:ascii="Baskerville" w:hAnsi="Baskerville"/>
          <w:i w:val="0"/>
        </w:rPr>
        <w:t>for which</w:t>
      </w:r>
      <w:r w:rsidR="00E774EB">
        <w:rPr>
          <w:rStyle w:val="Emphasis"/>
          <w:rFonts w:ascii="Baskerville" w:hAnsi="Baskerville"/>
          <w:i w:val="0"/>
        </w:rPr>
        <w:t xml:space="preserve"> </w:t>
      </w:r>
      <w:r w:rsidR="009245C8">
        <w:rPr>
          <w:rStyle w:val="Emphasis"/>
          <w:rFonts w:ascii="Baskerville" w:hAnsi="Baskerville"/>
          <w:i w:val="0"/>
        </w:rPr>
        <w:t xml:space="preserve">the </w:t>
      </w:r>
      <w:r w:rsidR="00E774EB">
        <w:rPr>
          <w:rStyle w:val="Emphasis"/>
          <w:rFonts w:ascii="Baskerville" w:hAnsi="Baskerville"/>
          <w:i w:val="0"/>
        </w:rPr>
        <w:t>noise affects different fraction</w:t>
      </w:r>
      <w:r w:rsidR="00D320C5">
        <w:rPr>
          <w:rStyle w:val="Emphasis"/>
          <w:rFonts w:ascii="Baskerville" w:hAnsi="Baskerville"/>
          <w:i w:val="0"/>
        </w:rPr>
        <w:t>s</w:t>
      </w:r>
      <w:r w:rsidR="00E774EB">
        <w:rPr>
          <w:rStyle w:val="Emphasis"/>
          <w:rFonts w:ascii="Baskerville" w:hAnsi="Baskerville"/>
          <w:i w:val="0"/>
        </w:rPr>
        <w:t xml:space="preserve"> of the data, ranging from a small proportion of RE sites (10%) to almost half of the RE sites (45%). We then carried out the differential RE analysis </w:t>
      </w:r>
      <w:r w:rsidR="00D86B07">
        <w:rPr>
          <w:rStyle w:val="Emphasis"/>
          <w:rFonts w:ascii="Baskerville" w:hAnsi="Baskerville"/>
          <w:i w:val="0"/>
        </w:rPr>
        <w:t>(</w:t>
      </w:r>
      <w:r w:rsidR="009245C8">
        <w:rPr>
          <w:rStyle w:val="Emphasis"/>
          <w:rFonts w:ascii="Baskerville" w:hAnsi="Baskerville"/>
          <w:i w:val="0"/>
        </w:rPr>
        <w:t xml:space="preserve">using </w:t>
      </w:r>
      <w:r w:rsidR="00D86B07" w:rsidRPr="001E2C9B">
        <w:rPr>
          <w:rFonts w:ascii="Baskerville" w:hAnsi="Baskerville"/>
        </w:rPr>
        <w:t>Wilcox rank test</w:t>
      </w:r>
      <w:r w:rsidR="009245C8" w:rsidRPr="00492A5E">
        <w:rPr>
          <w:rFonts w:ascii="Baskerville" w:hAnsi="Baskerville"/>
        </w:rPr>
        <w:t>, in keep</w:t>
      </w:r>
      <w:r w:rsidR="009245C8" w:rsidRPr="009245C8">
        <w:rPr>
          <w:rFonts w:ascii="Baskerville" w:hAnsi="Baskerville"/>
        </w:rPr>
        <w:t>ing</w:t>
      </w:r>
      <w:r w:rsidR="00D86B07">
        <w:rPr>
          <w:rFonts w:ascii="Baskerville" w:hAnsi="Baskerville"/>
        </w:rPr>
        <w:t xml:space="preserve"> </w:t>
      </w:r>
      <w:r w:rsidR="009245C8">
        <w:rPr>
          <w:rFonts w:ascii="Baskerville" w:hAnsi="Baskerville"/>
        </w:rPr>
        <w:t xml:space="preserve">with </w:t>
      </w:r>
      <w:r w:rsidR="00D86B07">
        <w:rPr>
          <w:rFonts w:ascii="Baskerville" w:hAnsi="Baskerville"/>
        </w:rPr>
        <w:t>the real data analysis presented in the manuscript</w:t>
      </w:r>
      <w:r w:rsidR="00D86B07">
        <w:rPr>
          <w:rStyle w:val="Emphasis"/>
          <w:rFonts w:ascii="Baskerville" w:hAnsi="Baskerville"/>
          <w:i w:val="0"/>
        </w:rPr>
        <w:t xml:space="preserve">) </w:t>
      </w:r>
      <w:r w:rsidR="00E774EB">
        <w:rPr>
          <w:rStyle w:val="Emphasis"/>
          <w:rFonts w:ascii="Baskerville" w:hAnsi="Baskerville"/>
          <w:i w:val="0"/>
        </w:rPr>
        <w:t xml:space="preserve">and calculated the number of </w:t>
      </w:r>
      <w:r w:rsidR="009245C8">
        <w:rPr>
          <w:rStyle w:val="Emphasis"/>
          <w:rFonts w:ascii="Baskerville" w:hAnsi="Baskerville"/>
          <w:i w:val="0"/>
        </w:rPr>
        <w:t xml:space="preserve">correctly </w:t>
      </w:r>
      <w:r w:rsidR="00D86B07">
        <w:rPr>
          <w:rStyle w:val="Emphasis"/>
          <w:rFonts w:ascii="Baskerville" w:hAnsi="Baskerville"/>
          <w:i w:val="0"/>
        </w:rPr>
        <w:t>recalled DE sites</w:t>
      </w:r>
      <w:r w:rsidR="00C82912">
        <w:rPr>
          <w:rStyle w:val="Emphasis"/>
          <w:rFonts w:ascii="Baskerville" w:hAnsi="Baskerville"/>
          <w:i w:val="0"/>
        </w:rPr>
        <w:t xml:space="preserve"> (true positive, TP)</w:t>
      </w:r>
      <w:r w:rsidR="00D86B07">
        <w:rPr>
          <w:rStyle w:val="Emphasis"/>
          <w:rFonts w:ascii="Baskerville" w:hAnsi="Baskerville"/>
          <w:i w:val="0"/>
        </w:rPr>
        <w:t xml:space="preserve">. As expected, </w:t>
      </w:r>
      <w:r w:rsidR="009245C8">
        <w:rPr>
          <w:rStyle w:val="Emphasis"/>
          <w:rFonts w:ascii="Baskerville" w:hAnsi="Baskerville"/>
          <w:i w:val="0"/>
        </w:rPr>
        <w:t xml:space="preserve">for all the simulated scenarios </w:t>
      </w:r>
      <w:r w:rsidR="00D86B07">
        <w:rPr>
          <w:rStyle w:val="Emphasis"/>
          <w:rFonts w:ascii="Baskerville" w:hAnsi="Baskerville"/>
          <w:i w:val="0"/>
        </w:rPr>
        <w:t xml:space="preserve">the </w:t>
      </w:r>
      <w:r w:rsidR="00C82912">
        <w:rPr>
          <w:rStyle w:val="Emphasis"/>
          <w:rFonts w:ascii="Baskerville" w:hAnsi="Baskerville"/>
          <w:i w:val="0"/>
        </w:rPr>
        <w:t>TP</w:t>
      </w:r>
      <w:r w:rsidR="009245C8">
        <w:rPr>
          <w:rStyle w:val="Emphasis"/>
          <w:rFonts w:ascii="Baskerville" w:hAnsi="Baskerville"/>
          <w:i w:val="0"/>
        </w:rPr>
        <w:t xml:space="preserve"> </w:t>
      </w:r>
      <w:r w:rsidR="00EB1A3E" w:rsidRPr="00205D7D">
        <w:rPr>
          <w:rStyle w:val="Emphasis"/>
          <w:rFonts w:ascii="Baskerville" w:hAnsi="Baskerville"/>
          <w:i w:val="0"/>
        </w:rPr>
        <w:t>rate decrease</w:t>
      </w:r>
      <w:r>
        <w:rPr>
          <w:rStyle w:val="Emphasis"/>
          <w:rFonts w:ascii="Baskerville" w:hAnsi="Baskerville"/>
          <w:i w:val="0"/>
        </w:rPr>
        <w:t>s</w:t>
      </w:r>
      <w:r w:rsidR="00EB1A3E" w:rsidRPr="00205D7D">
        <w:rPr>
          <w:rStyle w:val="Emphasis"/>
          <w:rFonts w:ascii="Baskerville" w:hAnsi="Baskerville"/>
          <w:i w:val="0"/>
        </w:rPr>
        <w:t xml:space="preserve"> </w:t>
      </w:r>
      <w:r>
        <w:rPr>
          <w:rStyle w:val="Emphasis"/>
          <w:rFonts w:ascii="Baskerville" w:hAnsi="Baskerville"/>
          <w:i w:val="0"/>
        </w:rPr>
        <w:t>linearly as a function of the</w:t>
      </w:r>
      <w:r w:rsidR="00EB1A3E">
        <w:rPr>
          <w:rStyle w:val="Emphasis"/>
          <w:rFonts w:ascii="Baskerville" w:hAnsi="Baskerville"/>
          <w:i w:val="0"/>
          <w:iCs w:val="0"/>
        </w:rPr>
        <w:t xml:space="preserve"> percentage of noise </w:t>
      </w:r>
      <w:r>
        <w:rPr>
          <w:rStyle w:val="Emphasis"/>
          <w:rFonts w:ascii="Baskerville" w:hAnsi="Baskerville"/>
          <w:i w:val="0"/>
          <w:iCs w:val="0"/>
        </w:rPr>
        <w:t xml:space="preserve">added and </w:t>
      </w:r>
      <w:r w:rsidR="00EB1A3E">
        <w:rPr>
          <w:rStyle w:val="Emphasis"/>
          <w:rFonts w:ascii="Baskerville" w:hAnsi="Baskerville"/>
          <w:i w:val="0"/>
          <w:iCs w:val="0"/>
        </w:rPr>
        <w:t xml:space="preserve">the </w:t>
      </w:r>
      <w:r>
        <w:rPr>
          <w:rStyle w:val="Emphasis"/>
          <w:rFonts w:ascii="Baskerville" w:hAnsi="Baskerville"/>
          <w:i w:val="0"/>
          <w:iCs w:val="0"/>
        </w:rPr>
        <w:t xml:space="preserve">proportion </w:t>
      </w:r>
      <w:r w:rsidR="00EB1A3E">
        <w:rPr>
          <w:rStyle w:val="Emphasis"/>
          <w:rFonts w:ascii="Baskerville" w:hAnsi="Baskerville"/>
          <w:i w:val="0"/>
          <w:iCs w:val="0"/>
        </w:rPr>
        <w:t xml:space="preserve">of sites </w:t>
      </w:r>
      <w:r>
        <w:rPr>
          <w:rStyle w:val="Emphasis"/>
          <w:rFonts w:ascii="Baskerville" w:hAnsi="Baskerville"/>
          <w:i w:val="0"/>
          <w:iCs w:val="0"/>
        </w:rPr>
        <w:t xml:space="preserve">to which </w:t>
      </w:r>
      <w:r w:rsidR="00EB1A3E">
        <w:rPr>
          <w:rStyle w:val="Emphasis"/>
          <w:rFonts w:ascii="Baskerville" w:hAnsi="Baskerville"/>
          <w:i w:val="0"/>
          <w:iCs w:val="0"/>
        </w:rPr>
        <w:t>noise</w:t>
      </w:r>
      <w:r>
        <w:rPr>
          <w:rStyle w:val="Emphasis"/>
          <w:rFonts w:ascii="Baskerville" w:hAnsi="Baskerville"/>
          <w:i w:val="0"/>
          <w:iCs w:val="0"/>
        </w:rPr>
        <w:t xml:space="preserve"> is added</w:t>
      </w:r>
      <w:r w:rsidR="00EB1A3E">
        <w:rPr>
          <w:rStyle w:val="Emphasis"/>
          <w:rFonts w:ascii="Baskerville" w:hAnsi="Baskerville"/>
          <w:i w:val="0"/>
          <w:iCs w:val="0"/>
        </w:rPr>
        <w:t xml:space="preserve"> (</w:t>
      </w:r>
      <w:r w:rsidR="009245C8">
        <w:rPr>
          <w:rStyle w:val="Emphasis"/>
          <w:rFonts w:ascii="Baskerville" w:hAnsi="Baskerville"/>
          <w:i w:val="0"/>
          <w:iCs w:val="0"/>
        </w:rPr>
        <w:t xml:space="preserve">see </w:t>
      </w:r>
      <w:r w:rsidR="00EB1A3E">
        <w:rPr>
          <w:rStyle w:val="Emphasis"/>
          <w:rFonts w:ascii="Baskerville" w:hAnsi="Baskerville"/>
          <w:i w:val="0"/>
          <w:iCs w:val="0"/>
        </w:rPr>
        <w:t xml:space="preserve">Supplemental Fig. </w:t>
      </w:r>
      <w:r w:rsidR="00EE3570">
        <w:rPr>
          <w:rStyle w:val="Emphasis"/>
          <w:rFonts w:ascii="Baskerville" w:hAnsi="Baskerville"/>
          <w:i w:val="0"/>
          <w:iCs w:val="0"/>
        </w:rPr>
        <w:t>II</w:t>
      </w:r>
      <w:r w:rsidR="009245C8">
        <w:rPr>
          <w:rStyle w:val="Emphasis"/>
          <w:rFonts w:ascii="Baskerville" w:hAnsi="Baskerville"/>
          <w:i w:val="0"/>
          <w:iCs w:val="0"/>
        </w:rPr>
        <w:t xml:space="preserve"> for representative examples</w:t>
      </w:r>
      <w:r w:rsidR="00EB1A3E">
        <w:rPr>
          <w:rStyle w:val="Emphasis"/>
          <w:rFonts w:ascii="Baskerville" w:hAnsi="Baskerville"/>
          <w:i w:val="0"/>
          <w:iCs w:val="0"/>
        </w:rPr>
        <w:t>).</w:t>
      </w:r>
      <w:r w:rsidR="009245C8">
        <w:rPr>
          <w:rStyle w:val="Emphasis"/>
          <w:rFonts w:ascii="Baskerville" w:hAnsi="Baskerville"/>
          <w:i w:val="0"/>
          <w:iCs w:val="0"/>
        </w:rPr>
        <w:t xml:space="preserve"> We then analysed all results and extrapolated the expected proportion of false positives (FP) in the DRE screen for the worst-case simulated scenario, showing that </w:t>
      </w:r>
      <w:r w:rsidR="004E1CEE">
        <w:rPr>
          <w:rStyle w:val="Emphasis"/>
          <w:rFonts w:ascii="Baskerville" w:hAnsi="Baskerville"/>
          <w:i w:val="0"/>
          <w:iCs w:val="0"/>
        </w:rPr>
        <w:t xml:space="preserve">maximum </w:t>
      </w:r>
      <w:r w:rsidR="009245C8">
        <w:rPr>
          <w:rStyle w:val="Emphasis"/>
          <w:rFonts w:ascii="Baskerville" w:hAnsi="Baskerville"/>
          <w:i w:val="0"/>
          <w:iCs w:val="0"/>
        </w:rPr>
        <w:t xml:space="preserve">FP rate </w:t>
      </w:r>
      <w:r w:rsidR="004E1CEE">
        <w:rPr>
          <w:rStyle w:val="Emphasis"/>
          <w:rFonts w:ascii="Baskerville" w:hAnsi="Baskerville"/>
          <w:i w:val="0"/>
          <w:iCs w:val="0"/>
        </w:rPr>
        <w:t xml:space="preserve">is </w:t>
      </w:r>
      <w:r w:rsidR="004E1CEE">
        <w:rPr>
          <w:rStyle w:val="Emphasis"/>
          <w:rFonts w:ascii="Baskerville" w:hAnsi="Baskerville"/>
          <w:i w:val="0"/>
        </w:rPr>
        <w:t>around</w:t>
      </w:r>
      <w:r w:rsidR="004E1CEE" w:rsidRPr="00AD284E">
        <w:rPr>
          <w:rStyle w:val="Emphasis"/>
          <w:rFonts w:ascii="Baskerville" w:hAnsi="Baskerville"/>
          <w:i w:val="0"/>
        </w:rPr>
        <w:t xml:space="preserve"> 10%</w:t>
      </w:r>
      <w:r w:rsidR="004E1CEE">
        <w:rPr>
          <w:rStyle w:val="Emphasis"/>
          <w:rFonts w:ascii="Baskerville" w:hAnsi="Baskerville"/>
          <w:i w:val="0"/>
        </w:rPr>
        <w:t xml:space="preserve"> (depending on the specific choice of noise model). </w:t>
      </w:r>
    </w:p>
    <w:p w14:paraId="1F0F09E5" w14:textId="0585056E" w:rsidR="00EB1A3E" w:rsidRPr="0001642F" w:rsidRDefault="004E1CEE">
      <w:pPr>
        <w:spacing w:before="120" w:after="120" w:line="360" w:lineRule="auto"/>
        <w:jc w:val="both"/>
        <w:rPr>
          <w:rStyle w:val="Emphasis"/>
          <w:rFonts w:ascii="Baskerville" w:hAnsi="Baskerville"/>
          <w:i w:val="0"/>
        </w:rPr>
      </w:pPr>
      <w:r>
        <w:rPr>
          <w:rStyle w:val="Emphasis"/>
          <w:rFonts w:ascii="Baskerville" w:hAnsi="Baskerville"/>
          <w:i w:val="0"/>
        </w:rPr>
        <w:t>Since the p</w:t>
      </w:r>
      <w:r w:rsidRPr="0001642F">
        <w:rPr>
          <w:rStyle w:val="Emphasis"/>
          <w:rFonts w:ascii="Baskerville" w:hAnsi="Baskerville"/>
          <w:i w:val="0"/>
        </w:rPr>
        <w:t xml:space="preserve">ercentage </w:t>
      </w:r>
      <w:r w:rsidR="00EB1A3E" w:rsidRPr="0001642F">
        <w:rPr>
          <w:rStyle w:val="Emphasis"/>
          <w:rFonts w:ascii="Baskerville" w:hAnsi="Baskerville"/>
          <w:i w:val="0"/>
        </w:rPr>
        <w:t xml:space="preserve">of non-canonical sites in </w:t>
      </w:r>
      <w:r>
        <w:rPr>
          <w:rStyle w:val="Emphasis"/>
          <w:rFonts w:ascii="Baskerville" w:hAnsi="Baskerville"/>
          <w:i w:val="0"/>
        </w:rPr>
        <w:t xml:space="preserve">our study for </w:t>
      </w:r>
      <w:r w:rsidR="00EB1A3E" w:rsidRPr="0001642F">
        <w:rPr>
          <w:rStyle w:val="Emphasis"/>
          <w:rFonts w:ascii="Baskerville" w:hAnsi="Baskerville"/>
          <w:i w:val="0"/>
        </w:rPr>
        <w:t xml:space="preserve">‘All’ edited sites (9,277) </w:t>
      </w:r>
      <w:r>
        <w:rPr>
          <w:rStyle w:val="Emphasis"/>
          <w:rFonts w:ascii="Baskerville" w:hAnsi="Baskerville"/>
          <w:i w:val="0"/>
        </w:rPr>
        <w:t>was</w:t>
      </w:r>
      <w:r w:rsidRPr="0001642F">
        <w:rPr>
          <w:rStyle w:val="Emphasis"/>
          <w:rFonts w:ascii="Baskerville" w:hAnsi="Baskerville"/>
          <w:i w:val="0"/>
        </w:rPr>
        <w:t xml:space="preserve"> </w:t>
      </w:r>
      <w:r w:rsidR="00EB1A3E" w:rsidRPr="0001642F">
        <w:rPr>
          <w:rStyle w:val="Emphasis"/>
          <w:rFonts w:ascii="Baskerville" w:hAnsi="Baskerville"/>
          <w:i w:val="0"/>
        </w:rPr>
        <w:t xml:space="preserve">77.9% (A/G + C/T site fractions), </w:t>
      </w:r>
      <w:r w:rsidR="00EB1A3E" w:rsidRPr="005352E4">
        <w:rPr>
          <w:rStyle w:val="Emphasis"/>
          <w:rFonts w:ascii="Baskerville" w:hAnsi="Baskerville"/>
          <w:i w:val="0"/>
        </w:rPr>
        <w:t xml:space="preserve">the non-canonical sites observed are ‘noise’ then the estimated true positive rate according to non-canonical percentages in DRE would be ~90% for ‘All’ datasets respectively. This is very close to the percentages observed in ‘All’ DRE </w:t>
      </w:r>
      <w:r w:rsidR="005352E4" w:rsidRPr="005352E4">
        <w:rPr>
          <w:rStyle w:val="Emphasis"/>
          <w:rFonts w:ascii="Baskerville" w:hAnsi="Baskerville"/>
          <w:i w:val="0"/>
        </w:rPr>
        <w:t>sets, which</w:t>
      </w:r>
      <w:r w:rsidR="00EB1A3E" w:rsidRPr="005352E4">
        <w:rPr>
          <w:rStyle w:val="Emphasis"/>
          <w:rFonts w:ascii="Baskerville" w:hAnsi="Baskerville"/>
          <w:i w:val="0"/>
        </w:rPr>
        <w:t xml:space="preserve"> is 92.8 %. Thus suggesting that potential false positive rate would be around 10% depending on the respective choice of noise model and percentages of sites with noise </w:t>
      </w:r>
      <w:r w:rsidR="00EB1A3E" w:rsidRPr="005352E4">
        <w:rPr>
          <w:rStyle w:val="Emphasis"/>
          <w:rFonts w:ascii="Baskerville" w:hAnsi="Baskerville"/>
          <w:i w:val="0"/>
          <w:iCs w:val="0"/>
        </w:rPr>
        <w:t xml:space="preserve">(Supplemental Fig. </w:t>
      </w:r>
      <w:r w:rsidR="00896474">
        <w:rPr>
          <w:rStyle w:val="Emphasis"/>
          <w:rFonts w:ascii="Baskerville" w:hAnsi="Baskerville"/>
          <w:i w:val="0"/>
          <w:iCs w:val="0"/>
        </w:rPr>
        <w:t>II</w:t>
      </w:r>
      <w:r w:rsidR="00EB1A3E" w:rsidRPr="005352E4">
        <w:rPr>
          <w:rStyle w:val="Emphasis"/>
          <w:rFonts w:ascii="Baskerville" w:hAnsi="Baskerville"/>
          <w:i w:val="0"/>
          <w:iCs w:val="0"/>
        </w:rPr>
        <w:t>)</w:t>
      </w:r>
      <w:r w:rsidR="00EB1A3E" w:rsidRPr="005352E4">
        <w:rPr>
          <w:rStyle w:val="Emphasis"/>
          <w:rFonts w:ascii="Baskerville" w:hAnsi="Baskerville"/>
          <w:i w:val="0"/>
        </w:rPr>
        <w:t>.</w:t>
      </w:r>
    </w:p>
    <w:tbl>
      <w:tblPr>
        <w:tblStyle w:val="TableGrid"/>
        <w:tblW w:w="0" w:type="auto"/>
        <w:tblLook w:val="04A0" w:firstRow="1" w:lastRow="0" w:firstColumn="1" w:lastColumn="0" w:noHBand="0" w:noVBand="1"/>
      </w:tblPr>
      <w:tblGrid>
        <w:gridCol w:w="5739"/>
        <w:gridCol w:w="3503"/>
      </w:tblGrid>
      <w:tr w:rsidR="006E2D46" w14:paraId="2D35A606" w14:textId="77777777" w:rsidTr="00917CD9">
        <w:tc>
          <w:tcPr>
            <w:tcW w:w="5739" w:type="dxa"/>
          </w:tcPr>
          <w:p w14:paraId="1EFB5C2D" w14:textId="77777777" w:rsidR="006E2D46" w:rsidRDefault="006E2D46" w:rsidP="00492A5E">
            <w:pPr>
              <w:spacing w:before="120" w:after="120" w:line="360" w:lineRule="auto"/>
              <w:jc w:val="both"/>
              <w:rPr>
                <w:b/>
                <w:bCs/>
                <w:i/>
                <w:iCs/>
                <w:color w:val="4F81BD" w:themeColor="accent1"/>
              </w:rPr>
            </w:pPr>
            <w:r>
              <w:rPr>
                <w:noProof/>
                <w:lang w:val="en-US"/>
              </w:rPr>
              <w:drawing>
                <wp:inline distT="0" distB="0" distL="0" distR="0" wp14:anchorId="192A8045" wp14:editId="0E879868">
                  <wp:extent cx="3507475" cy="22550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4447BC.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07484" cy="2255033"/>
                          </a:xfrm>
                          <a:prstGeom prst="rect">
                            <a:avLst/>
                          </a:prstGeom>
                        </pic:spPr>
                      </pic:pic>
                    </a:graphicData>
                  </a:graphic>
                </wp:inline>
              </w:drawing>
            </w:r>
          </w:p>
        </w:tc>
        <w:tc>
          <w:tcPr>
            <w:tcW w:w="3503" w:type="dxa"/>
          </w:tcPr>
          <w:p w14:paraId="2C0BF6DA" w14:textId="77777777" w:rsidR="006E2D46" w:rsidRDefault="006E2D46" w:rsidP="00492A5E">
            <w:pPr>
              <w:spacing w:before="120" w:after="120" w:line="360" w:lineRule="auto"/>
              <w:jc w:val="both"/>
              <w:rPr>
                <w:b/>
                <w:bCs/>
                <w:i/>
                <w:iCs/>
                <w:color w:val="4F81BD" w:themeColor="accent1"/>
              </w:rPr>
            </w:pPr>
            <w:r>
              <w:rPr>
                <w:noProof/>
                <w:lang w:val="en-US"/>
              </w:rPr>
              <w:drawing>
                <wp:inline distT="0" distB="0" distL="0" distR="0" wp14:anchorId="02EE903F" wp14:editId="152078C9">
                  <wp:extent cx="1800000" cy="121266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449CEE.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000" cy="1212668"/>
                          </a:xfrm>
                          <a:prstGeom prst="rect">
                            <a:avLst/>
                          </a:prstGeom>
                        </pic:spPr>
                      </pic:pic>
                    </a:graphicData>
                  </a:graphic>
                </wp:inline>
              </w:drawing>
            </w:r>
          </w:p>
          <w:p w14:paraId="6209CE21" w14:textId="77777777" w:rsidR="006E2D46" w:rsidRDefault="006E2D46" w:rsidP="00492A5E">
            <w:pPr>
              <w:spacing w:before="120" w:after="120" w:line="360" w:lineRule="auto"/>
              <w:jc w:val="both"/>
              <w:rPr>
                <w:b/>
                <w:bCs/>
                <w:i/>
                <w:iCs/>
                <w:color w:val="4F81BD" w:themeColor="accent1"/>
              </w:rPr>
            </w:pPr>
            <w:r>
              <w:rPr>
                <w:noProof/>
                <w:lang w:val="en-US"/>
              </w:rPr>
              <w:drawing>
                <wp:inline distT="0" distB="0" distL="0" distR="0" wp14:anchorId="19C67DD5" wp14:editId="6ED61171">
                  <wp:extent cx="1800000" cy="12846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44176C.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1284692"/>
                          </a:xfrm>
                          <a:prstGeom prst="rect">
                            <a:avLst/>
                          </a:prstGeom>
                        </pic:spPr>
                      </pic:pic>
                    </a:graphicData>
                  </a:graphic>
                </wp:inline>
              </w:drawing>
            </w:r>
          </w:p>
        </w:tc>
      </w:tr>
      <w:tr w:rsidR="004B3F0E" w14:paraId="6DFD4A34" w14:textId="77777777" w:rsidTr="00E62692">
        <w:tc>
          <w:tcPr>
            <w:tcW w:w="9242" w:type="dxa"/>
            <w:gridSpan w:val="2"/>
          </w:tcPr>
          <w:p w14:paraId="7E2F0C71" w14:textId="1DD9A80D" w:rsidR="004B3F0E" w:rsidRDefault="004B3F0E" w:rsidP="00A24F18">
            <w:pPr>
              <w:spacing w:before="120" w:after="120" w:line="360" w:lineRule="auto"/>
              <w:jc w:val="both"/>
              <w:rPr>
                <w:b/>
                <w:bCs/>
                <w:i/>
                <w:iCs/>
                <w:noProof/>
                <w:color w:val="4F81BD" w:themeColor="accent1"/>
                <w:lang w:eastAsia="en-GB"/>
              </w:rPr>
            </w:pPr>
            <w:r w:rsidRPr="00DF5555">
              <w:rPr>
                <w:rStyle w:val="Emphasis"/>
                <w:rFonts w:ascii="Baskerville" w:hAnsi="Baskerville"/>
                <w:b/>
                <w:i w:val="0"/>
              </w:rPr>
              <w:t xml:space="preserve">Suppl. Fig. </w:t>
            </w:r>
            <w:r w:rsidR="0060653F">
              <w:rPr>
                <w:rStyle w:val="Emphasis"/>
                <w:rFonts w:ascii="Baskerville" w:hAnsi="Baskerville"/>
                <w:b/>
                <w:i w:val="0"/>
              </w:rPr>
              <w:t>I</w:t>
            </w:r>
            <w:r w:rsidR="00EA41C0" w:rsidRPr="00DF5555">
              <w:rPr>
                <w:rStyle w:val="Emphasis"/>
                <w:rFonts w:ascii="Baskerville" w:hAnsi="Baskerville"/>
                <w:b/>
                <w:i w:val="0"/>
              </w:rPr>
              <w:t>:</w:t>
            </w:r>
            <w:r w:rsidR="00EA41C0">
              <w:rPr>
                <w:rStyle w:val="Emphasis"/>
                <w:rFonts w:ascii="Baskerville" w:hAnsi="Baskerville"/>
                <w:i w:val="0"/>
              </w:rPr>
              <w:t xml:space="preserve"> Mean and variance are plotted against each other to compare simulated dataset with real dataset in epileptic and control hippocampus (left panel). We also compared mean editing levels for simulated data with real dataset for both epileptic and control hippocampus (right panel)</w:t>
            </w:r>
            <w:r w:rsidR="00A24F18">
              <w:rPr>
                <w:rStyle w:val="Emphasis"/>
                <w:rFonts w:ascii="Baskerville" w:hAnsi="Baskerville"/>
                <w:i w:val="0"/>
              </w:rPr>
              <w:t xml:space="preserve">. These plots highlight that the simulated and real datasets are consistent in their mean RE levels and their variances.  </w:t>
            </w:r>
          </w:p>
        </w:tc>
      </w:tr>
    </w:tbl>
    <w:p w14:paraId="2914902C" w14:textId="77777777" w:rsidR="00E62692" w:rsidRDefault="00E62692" w:rsidP="00492A5E">
      <w:pPr>
        <w:spacing w:before="120" w:after="120" w:line="360" w:lineRule="auto"/>
        <w:jc w:val="both"/>
      </w:pPr>
    </w:p>
    <w:tbl>
      <w:tblPr>
        <w:tblStyle w:val="TableGrid"/>
        <w:tblW w:w="0" w:type="auto"/>
        <w:tblInd w:w="5" w:type="dxa"/>
        <w:tblLook w:val="04A0" w:firstRow="1" w:lastRow="0" w:firstColumn="1" w:lastColumn="0" w:noHBand="0" w:noVBand="1"/>
      </w:tblPr>
      <w:tblGrid>
        <w:gridCol w:w="9237"/>
      </w:tblGrid>
      <w:tr w:rsidR="005F433F" w14:paraId="6F70F63B" w14:textId="77777777" w:rsidTr="007B5861">
        <w:tc>
          <w:tcPr>
            <w:tcW w:w="9237" w:type="dxa"/>
          </w:tcPr>
          <w:p w14:paraId="24A1D4E4" w14:textId="0E6986EA" w:rsidR="005F433F" w:rsidRDefault="00232AC0" w:rsidP="00492A5E">
            <w:pPr>
              <w:spacing w:before="120" w:after="120" w:line="360" w:lineRule="auto"/>
              <w:jc w:val="both"/>
            </w:pPr>
            <w:r>
              <w:rPr>
                <w:noProof/>
                <w:lang w:val="en-US"/>
              </w:rPr>
              <w:lastRenderedPageBreak/>
              <w:drawing>
                <wp:inline distT="0" distB="0" distL="0" distR="0" wp14:anchorId="016975EF" wp14:editId="5F8EFA71">
                  <wp:extent cx="5731510" cy="7435191"/>
                  <wp:effectExtent l="0" t="0" r="889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pdf"/>
                          <pic:cNvPicPr/>
                        </pic:nvPicPr>
                        <pic:blipFill rotWithShape="1">
                          <a:blip r:embed="rId8">
                            <a:extLst>
                              <a:ext uri="{28A0092B-C50C-407E-A947-70E740481C1C}">
                                <a14:useLocalDpi xmlns:a14="http://schemas.microsoft.com/office/drawing/2010/main" val="0"/>
                              </a:ext>
                            </a:extLst>
                          </a:blip>
                          <a:srcRect t="2709"/>
                          <a:stretch/>
                        </pic:blipFill>
                        <pic:spPr bwMode="auto">
                          <a:xfrm>
                            <a:off x="0" y="0"/>
                            <a:ext cx="5731510" cy="7435191"/>
                          </a:xfrm>
                          <a:prstGeom prst="rect">
                            <a:avLst/>
                          </a:prstGeom>
                          <a:ln>
                            <a:noFill/>
                          </a:ln>
                          <a:extLst>
                            <a:ext uri="{53640926-AAD7-44d8-BBD7-CCE9431645EC}">
                              <a14:shadowObscured xmlns:a14="http://schemas.microsoft.com/office/drawing/2010/main"/>
                            </a:ext>
                          </a:extLst>
                        </pic:spPr>
                      </pic:pic>
                    </a:graphicData>
                  </a:graphic>
                </wp:inline>
              </w:drawing>
            </w:r>
          </w:p>
        </w:tc>
      </w:tr>
      <w:tr w:rsidR="005F433F" w14:paraId="1FE5D909" w14:textId="77777777" w:rsidTr="007B5861">
        <w:tc>
          <w:tcPr>
            <w:tcW w:w="9237" w:type="dxa"/>
          </w:tcPr>
          <w:p w14:paraId="5BA3399B" w14:textId="446454B3" w:rsidR="005F433F" w:rsidRDefault="005F433F" w:rsidP="009578A4">
            <w:pPr>
              <w:spacing w:before="120" w:after="120" w:line="276" w:lineRule="auto"/>
              <w:jc w:val="both"/>
            </w:pPr>
            <w:r w:rsidRPr="00DF5555">
              <w:rPr>
                <w:rStyle w:val="Emphasis"/>
                <w:rFonts w:ascii="Baskerville" w:hAnsi="Baskerville"/>
                <w:b/>
                <w:i w:val="0"/>
              </w:rPr>
              <w:t xml:space="preserve">Suppl. Fig. </w:t>
            </w:r>
            <w:r w:rsidR="00D412B8">
              <w:rPr>
                <w:rStyle w:val="Emphasis"/>
                <w:rFonts w:ascii="Baskerville" w:hAnsi="Baskerville"/>
                <w:b/>
                <w:i w:val="0"/>
              </w:rPr>
              <w:t>II</w:t>
            </w:r>
            <w:r w:rsidRPr="00DF5555">
              <w:rPr>
                <w:rStyle w:val="Emphasis"/>
                <w:rFonts w:ascii="Baskerville" w:hAnsi="Baskerville"/>
                <w:b/>
                <w:i w:val="0"/>
              </w:rPr>
              <w:t>:</w:t>
            </w:r>
            <w:r>
              <w:rPr>
                <w:rStyle w:val="Emphasis"/>
                <w:rFonts w:ascii="Baskerville" w:hAnsi="Baskerville"/>
                <w:i w:val="0"/>
              </w:rPr>
              <w:t xml:space="preserve"> Th</w:t>
            </w:r>
            <w:r w:rsidR="00D739CA">
              <w:rPr>
                <w:rStyle w:val="Emphasis"/>
                <w:rFonts w:ascii="Baskerville" w:hAnsi="Baskerville"/>
                <w:i w:val="0"/>
              </w:rPr>
              <w:t>e</w:t>
            </w:r>
            <w:r>
              <w:rPr>
                <w:rStyle w:val="Emphasis"/>
                <w:rFonts w:ascii="Baskerville" w:hAnsi="Baskerville"/>
                <w:i w:val="0"/>
              </w:rPr>
              <w:t xml:space="preserve"> figure summarises the results obtained </w:t>
            </w:r>
            <w:r w:rsidR="006127E4">
              <w:rPr>
                <w:rStyle w:val="Emphasis"/>
                <w:rFonts w:ascii="Baskerville" w:hAnsi="Baskerville"/>
                <w:i w:val="0"/>
              </w:rPr>
              <w:t>after simulating RE percentages, the noise was added to simulated datasets systematically</w:t>
            </w:r>
            <w:r>
              <w:rPr>
                <w:rStyle w:val="Emphasis"/>
                <w:rFonts w:ascii="Baskerville" w:hAnsi="Baskerville"/>
                <w:i w:val="0"/>
              </w:rPr>
              <w:t xml:space="preserve"> by considering different models of noise. </w:t>
            </w:r>
            <w:r w:rsidR="007827A6">
              <w:rPr>
                <w:rStyle w:val="Emphasis"/>
                <w:rFonts w:ascii="Baskerville" w:hAnsi="Baskerville"/>
                <w:i w:val="0"/>
              </w:rPr>
              <w:t xml:space="preserve">In the panels, above results from different noise models are presented: </w:t>
            </w:r>
            <w:r>
              <w:rPr>
                <w:rStyle w:val="Emphasis"/>
                <w:rFonts w:ascii="Baskerville" w:hAnsi="Baskerville"/>
                <w:i w:val="0"/>
              </w:rPr>
              <w:t xml:space="preserve">Panel (A) summarizes results based on Model-1 noise model. Panels (B)-(I): summarizes results based on Model-2 where SD was = 0.5 times mean (B), = 0.75 times mean (C), = mean (D), = twice value of mean (E), = three times value of mean (F), = four times value of mean (G), = five times value of mean (H) or = Ten times </w:t>
            </w:r>
            <w:r w:rsidR="00FF79D2">
              <w:rPr>
                <w:rStyle w:val="Emphasis"/>
                <w:rFonts w:ascii="Baskerville" w:hAnsi="Baskerville"/>
                <w:i w:val="0"/>
              </w:rPr>
              <w:t xml:space="preserve">the </w:t>
            </w:r>
            <w:r>
              <w:rPr>
                <w:rStyle w:val="Emphasis"/>
                <w:rFonts w:ascii="Baskerville" w:hAnsi="Baskerville"/>
                <w:i w:val="0"/>
              </w:rPr>
              <w:t>value of mean (I)</w:t>
            </w:r>
            <w:r w:rsidR="00C32101">
              <w:rPr>
                <w:rStyle w:val="Emphasis"/>
                <w:rFonts w:ascii="Baskerville" w:hAnsi="Baskerville"/>
                <w:i w:val="0"/>
              </w:rPr>
              <w:t xml:space="preserve">. </w:t>
            </w:r>
            <w:r w:rsidR="009578A4">
              <w:rPr>
                <w:rStyle w:val="Emphasis"/>
                <w:rFonts w:ascii="Baskerville" w:hAnsi="Baskerville"/>
                <w:i w:val="0"/>
              </w:rPr>
              <w:t>The percentages of</w:t>
            </w:r>
            <w:bookmarkStart w:id="0" w:name="_GoBack"/>
            <w:bookmarkEnd w:id="0"/>
            <w:r w:rsidR="005E351C">
              <w:rPr>
                <w:rStyle w:val="Emphasis"/>
                <w:rFonts w:ascii="Baskerville" w:hAnsi="Baskerville"/>
                <w:i w:val="0"/>
              </w:rPr>
              <w:t xml:space="preserve"> non-canonical sites before performing differential RE analysis was 22% and 15% for the list of ‘All’ and ‘clustered’ sites respectively. T</w:t>
            </w:r>
            <w:r w:rsidR="005E351C" w:rsidRPr="00F04EC0">
              <w:rPr>
                <w:rStyle w:val="Emphasis"/>
                <w:rFonts w:ascii="Baskerville" w:hAnsi="Baskerville"/>
                <w:i w:val="0"/>
              </w:rPr>
              <w:t xml:space="preserve">o assess the potential confounding effect of non-canonical RE sites on the differential analysis, we </w:t>
            </w:r>
            <w:r w:rsidR="005E351C">
              <w:rPr>
                <w:rStyle w:val="Emphasis"/>
                <w:rFonts w:ascii="Baskerville" w:hAnsi="Baskerville"/>
                <w:i w:val="0"/>
              </w:rPr>
              <w:t>carried out a</w:t>
            </w:r>
            <w:r w:rsidR="005E351C" w:rsidRPr="00F04EC0">
              <w:rPr>
                <w:rStyle w:val="Emphasis"/>
                <w:rFonts w:ascii="Baskerville" w:hAnsi="Baskerville"/>
                <w:i w:val="0"/>
              </w:rPr>
              <w:t xml:space="preserve"> simulation</w:t>
            </w:r>
            <w:r w:rsidR="005E351C">
              <w:rPr>
                <w:rStyle w:val="Emphasis"/>
                <w:rFonts w:ascii="Baskerville" w:hAnsi="Baskerville"/>
                <w:i w:val="0"/>
              </w:rPr>
              <w:t xml:space="preserve"> study</w:t>
            </w:r>
            <w:r w:rsidR="005E351C" w:rsidRPr="00F04EC0">
              <w:rPr>
                <w:rStyle w:val="Emphasis"/>
                <w:rFonts w:ascii="Baskerville" w:hAnsi="Baskerville"/>
                <w:i w:val="0"/>
              </w:rPr>
              <w:t xml:space="preserve"> where the noise is affecting ~20-25%</w:t>
            </w:r>
            <w:r w:rsidR="007F577B">
              <w:rPr>
                <w:rStyle w:val="Emphasis"/>
                <w:rFonts w:ascii="Baskerville" w:hAnsi="Baskerville"/>
                <w:i w:val="0"/>
              </w:rPr>
              <w:t xml:space="preserve"> (highlighted in grey</w:t>
            </w:r>
            <w:r w:rsidR="00963686">
              <w:rPr>
                <w:rStyle w:val="Emphasis"/>
                <w:rFonts w:ascii="Baskerville" w:hAnsi="Baskerville"/>
                <w:i w:val="0"/>
              </w:rPr>
              <w:t xml:space="preserve"> in the plots above</w:t>
            </w:r>
            <w:r w:rsidR="007F577B">
              <w:rPr>
                <w:rStyle w:val="Emphasis"/>
                <w:rFonts w:ascii="Baskerville" w:hAnsi="Baskerville"/>
                <w:i w:val="0"/>
              </w:rPr>
              <w:t>)</w:t>
            </w:r>
            <w:r w:rsidR="005E351C" w:rsidRPr="00F04EC0">
              <w:rPr>
                <w:rStyle w:val="Emphasis"/>
                <w:rFonts w:ascii="Baskerville" w:hAnsi="Baskerville"/>
                <w:i w:val="0"/>
              </w:rPr>
              <w:t xml:space="preserve"> of the sites. We </w:t>
            </w:r>
            <w:r w:rsidR="005E351C">
              <w:rPr>
                <w:rStyle w:val="Emphasis"/>
                <w:rFonts w:ascii="Baskerville" w:hAnsi="Baskerville"/>
                <w:i w:val="0"/>
              </w:rPr>
              <w:t>estimated</w:t>
            </w:r>
            <w:r w:rsidR="005E351C" w:rsidRPr="00F04EC0">
              <w:rPr>
                <w:rStyle w:val="Emphasis"/>
                <w:rFonts w:ascii="Baskerville" w:hAnsi="Baskerville"/>
                <w:i w:val="0"/>
              </w:rPr>
              <w:t xml:space="preserve"> that the false positive rate </w:t>
            </w:r>
            <w:r w:rsidR="005E351C">
              <w:rPr>
                <w:rStyle w:val="Emphasis"/>
                <w:rFonts w:ascii="Baskerville" w:hAnsi="Baskerville"/>
                <w:i w:val="0"/>
              </w:rPr>
              <w:t>associated with</w:t>
            </w:r>
            <w:r w:rsidR="005E351C" w:rsidRPr="00F04EC0">
              <w:rPr>
                <w:rStyle w:val="Emphasis"/>
                <w:rFonts w:ascii="Baskerville" w:hAnsi="Baskerville"/>
                <w:i w:val="0"/>
              </w:rPr>
              <w:t xml:space="preserve"> </w:t>
            </w:r>
            <w:r w:rsidR="005E351C">
              <w:rPr>
                <w:rStyle w:val="Emphasis"/>
                <w:rFonts w:ascii="Baskerville" w:hAnsi="Baskerville"/>
                <w:i w:val="0"/>
              </w:rPr>
              <w:t xml:space="preserve">the </w:t>
            </w:r>
            <w:r w:rsidR="005E351C" w:rsidRPr="00F04EC0">
              <w:rPr>
                <w:rStyle w:val="Emphasis"/>
                <w:rFonts w:ascii="Baskerville" w:hAnsi="Baskerville"/>
                <w:i w:val="0"/>
              </w:rPr>
              <w:t>‘differential’ RNA-edited sites is ~</w:t>
            </w:r>
            <w:r w:rsidR="005E351C">
              <w:rPr>
                <w:rStyle w:val="Emphasis"/>
                <w:rFonts w:ascii="Baskerville" w:hAnsi="Baskerville"/>
                <w:i w:val="0"/>
              </w:rPr>
              <w:t>10</w:t>
            </w:r>
            <w:r w:rsidR="005E351C" w:rsidRPr="00F04EC0">
              <w:rPr>
                <w:rStyle w:val="Emphasis"/>
                <w:rFonts w:ascii="Baskerville" w:hAnsi="Baskerville"/>
                <w:i w:val="0"/>
              </w:rPr>
              <w:t>% for uncl</w:t>
            </w:r>
            <w:r w:rsidR="005E351C">
              <w:rPr>
                <w:rStyle w:val="Emphasis"/>
                <w:rFonts w:ascii="Baskerville" w:hAnsi="Baskerville"/>
                <w:i w:val="0"/>
              </w:rPr>
              <w:t>ustered ‘All’ RE sites and ~5</w:t>
            </w:r>
            <w:r w:rsidR="005E351C" w:rsidRPr="00F04EC0">
              <w:rPr>
                <w:rStyle w:val="Emphasis"/>
                <w:rFonts w:ascii="Baskerville" w:hAnsi="Baskerville"/>
                <w:i w:val="0"/>
              </w:rPr>
              <w:t xml:space="preserve">% for </w:t>
            </w:r>
            <w:r w:rsidR="005E351C">
              <w:rPr>
                <w:rStyle w:val="Emphasis"/>
                <w:rFonts w:ascii="Baskerville" w:hAnsi="Baskerville"/>
                <w:i w:val="0"/>
              </w:rPr>
              <w:t>‘</w:t>
            </w:r>
            <w:r w:rsidR="005E351C" w:rsidRPr="00F04EC0">
              <w:rPr>
                <w:rStyle w:val="Emphasis"/>
                <w:rFonts w:ascii="Baskerville" w:hAnsi="Baskerville"/>
                <w:i w:val="0"/>
              </w:rPr>
              <w:t>clustered</w:t>
            </w:r>
            <w:r w:rsidR="005E351C">
              <w:rPr>
                <w:rStyle w:val="Emphasis"/>
                <w:rFonts w:ascii="Baskerville" w:hAnsi="Baskerville"/>
                <w:i w:val="0"/>
              </w:rPr>
              <w:t>’</w:t>
            </w:r>
            <w:r w:rsidR="005E351C" w:rsidRPr="00F04EC0">
              <w:rPr>
                <w:rStyle w:val="Emphasis"/>
                <w:rFonts w:ascii="Baskerville" w:hAnsi="Baskerville"/>
                <w:i w:val="0"/>
              </w:rPr>
              <w:t xml:space="preserve"> RE sites, respectively</w:t>
            </w:r>
            <w:r w:rsidR="005E351C">
              <w:rPr>
                <w:rStyle w:val="Emphasis"/>
                <w:rFonts w:ascii="Baskerville" w:hAnsi="Baskerville"/>
                <w:i w:val="0"/>
              </w:rPr>
              <w:t>.</w:t>
            </w:r>
          </w:p>
        </w:tc>
      </w:tr>
    </w:tbl>
    <w:p w14:paraId="064AD0E4" w14:textId="77777777" w:rsidR="00C539C3" w:rsidRDefault="00C539C3" w:rsidP="00492A5E">
      <w:pPr>
        <w:spacing w:before="120" w:after="120" w:line="360" w:lineRule="auto"/>
        <w:jc w:val="both"/>
      </w:pPr>
    </w:p>
    <w:p w14:paraId="4DB3A8BF" w14:textId="79FC358E" w:rsidR="00C539C3" w:rsidRPr="00650847" w:rsidRDefault="00852CE8" w:rsidP="00492A5E">
      <w:pPr>
        <w:spacing w:before="120" w:after="120" w:line="360" w:lineRule="auto"/>
        <w:jc w:val="both"/>
        <w:rPr>
          <w:b/>
        </w:rPr>
      </w:pPr>
      <w:r w:rsidRPr="00650847">
        <w:rPr>
          <w:b/>
        </w:rPr>
        <w:t>References:</w:t>
      </w:r>
    </w:p>
    <w:p w14:paraId="1262A1BA" w14:textId="77777777" w:rsidR="00C539C3" w:rsidRPr="00C539C3" w:rsidRDefault="00C539C3" w:rsidP="00C539C3">
      <w:pPr>
        <w:pStyle w:val="EndNoteBibliography"/>
        <w:ind w:left="720" w:hanging="720"/>
        <w:rPr>
          <w:noProof/>
        </w:rPr>
      </w:pPr>
      <w:r>
        <w:fldChar w:fldCharType="begin"/>
      </w:r>
      <w:r>
        <w:instrText xml:space="preserve"> ADDIN EN.REFLIST </w:instrText>
      </w:r>
      <w:r>
        <w:fldChar w:fldCharType="separate"/>
      </w:r>
      <w:r w:rsidRPr="00C539C3">
        <w:rPr>
          <w:noProof/>
        </w:rPr>
        <w:t xml:space="preserve">Benidt S, Nettleton D. 2015. SimSeq: a nonparametric approach to simulation of RNA-sequence datasets. </w:t>
      </w:r>
      <w:r w:rsidRPr="00C539C3">
        <w:rPr>
          <w:i/>
          <w:noProof/>
        </w:rPr>
        <w:t>Bioinformatics</w:t>
      </w:r>
      <w:r w:rsidRPr="00C539C3">
        <w:rPr>
          <w:noProof/>
        </w:rPr>
        <w:t xml:space="preserve"> </w:t>
      </w:r>
      <w:r w:rsidRPr="00C539C3">
        <w:rPr>
          <w:b/>
          <w:noProof/>
        </w:rPr>
        <w:t>31</w:t>
      </w:r>
      <w:r w:rsidRPr="00C539C3">
        <w:rPr>
          <w:noProof/>
        </w:rPr>
        <w:t>: 2131-2140.</w:t>
      </w:r>
    </w:p>
    <w:p w14:paraId="4A0411C5" w14:textId="4F232581" w:rsidR="00917CD9" w:rsidRDefault="00C539C3" w:rsidP="00492A5E">
      <w:pPr>
        <w:spacing w:before="120" w:after="120" w:line="360" w:lineRule="auto"/>
        <w:jc w:val="both"/>
      </w:pPr>
      <w:r>
        <w:fldChar w:fldCharType="end"/>
      </w:r>
    </w:p>
    <w:sectPr w:rsidR="00917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Baskerville">
    <w:panose1 w:val="02020502070401020303"/>
    <w:charset w:val="00"/>
    <w:family w:val="auto"/>
    <w:pitch w:val="variable"/>
    <w:sig w:usb0="80000067" w:usb1="00000000" w:usb2="00000000" w:usb3="00000000" w:csb0="0000019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svrdaattvrw2letfthptsetz5vptd2vs0rd&quot;&gt;references-Saved&lt;record-ids&gt;&lt;item&gt;498&lt;/item&gt;&lt;/record-ids&gt;&lt;/item&gt;&lt;/Libraries&gt;"/>
  </w:docVars>
  <w:rsids>
    <w:rsidRoot w:val="008A2A9E"/>
    <w:rsid w:val="0002226D"/>
    <w:rsid w:val="00094848"/>
    <w:rsid w:val="00097CD8"/>
    <w:rsid w:val="00140860"/>
    <w:rsid w:val="00183B6B"/>
    <w:rsid w:val="001C51DB"/>
    <w:rsid w:val="001D1D56"/>
    <w:rsid w:val="00232AC0"/>
    <w:rsid w:val="00253246"/>
    <w:rsid w:val="002A311F"/>
    <w:rsid w:val="002C79DC"/>
    <w:rsid w:val="002D4935"/>
    <w:rsid w:val="00302CD9"/>
    <w:rsid w:val="003114C1"/>
    <w:rsid w:val="0031719E"/>
    <w:rsid w:val="003674C1"/>
    <w:rsid w:val="003D7266"/>
    <w:rsid w:val="00447166"/>
    <w:rsid w:val="004706B9"/>
    <w:rsid w:val="00492A5E"/>
    <w:rsid w:val="004B3F0E"/>
    <w:rsid w:val="004E1CEE"/>
    <w:rsid w:val="004F59C4"/>
    <w:rsid w:val="005352E4"/>
    <w:rsid w:val="00586181"/>
    <w:rsid w:val="00593DC5"/>
    <w:rsid w:val="00593E5A"/>
    <w:rsid w:val="005C4489"/>
    <w:rsid w:val="005D4EFE"/>
    <w:rsid w:val="005E351C"/>
    <w:rsid w:val="005F433F"/>
    <w:rsid w:val="0060653F"/>
    <w:rsid w:val="00611CA5"/>
    <w:rsid w:val="006127E4"/>
    <w:rsid w:val="00650847"/>
    <w:rsid w:val="0066058D"/>
    <w:rsid w:val="006E2D46"/>
    <w:rsid w:val="00702A79"/>
    <w:rsid w:val="007237E7"/>
    <w:rsid w:val="00744EA8"/>
    <w:rsid w:val="00753444"/>
    <w:rsid w:val="00764D4E"/>
    <w:rsid w:val="007827A6"/>
    <w:rsid w:val="00783E22"/>
    <w:rsid w:val="00784AF5"/>
    <w:rsid w:val="007B5861"/>
    <w:rsid w:val="007F577B"/>
    <w:rsid w:val="00813CFA"/>
    <w:rsid w:val="00816D25"/>
    <w:rsid w:val="008261C1"/>
    <w:rsid w:val="00852CE8"/>
    <w:rsid w:val="00896474"/>
    <w:rsid w:val="008A2A9E"/>
    <w:rsid w:val="008C5907"/>
    <w:rsid w:val="00917CD9"/>
    <w:rsid w:val="009245C8"/>
    <w:rsid w:val="00942A71"/>
    <w:rsid w:val="009578A4"/>
    <w:rsid w:val="00963686"/>
    <w:rsid w:val="00967916"/>
    <w:rsid w:val="009706A4"/>
    <w:rsid w:val="009E1AB8"/>
    <w:rsid w:val="00A24F18"/>
    <w:rsid w:val="00A25C20"/>
    <w:rsid w:val="00A461EE"/>
    <w:rsid w:val="00A47A90"/>
    <w:rsid w:val="00AD279B"/>
    <w:rsid w:val="00B313C7"/>
    <w:rsid w:val="00B541AD"/>
    <w:rsid w:val="00B96FD4"/>
    <w:rsid w:val="00BA319E"/>
    <w:rsid w:val="00BE3A07"/>
    <w:rsid w:val="00C32101"/>
    <w:rsid w:val="00C32563"/>
    <w:rsid w:val="00C539C3"/>
    <w:rsid w:val="00C7699E"/>
    <w:rsid w:val="00C82912"/>
    <w:rsid w:val="00CC184D"/>
    <w:rsid w:val="00CE1DCA"/>
    <w:rsid w:val="00D01915"/>
    <w:rsid w:val="00D07217"/>
    <w:rsid w:val="00D320C5"/>
    <w:rsid w:val="00D33B83"/>
    <w:rsid w:val="00D412B8"/>
    <w:rsid w:val="00D739CA"/>
    <w:rsid w:val="00D73FDB"/>
    <w:rsid w:val="00D86B07"/>
    <w:rsid w:val="00D87DCC"/>
    <w:rsid w:val="00DF5555"/>
    <w:rsid w:val="00E51863"/>
    <w:rsid w:val="00E51C63"/>
    <w:rsid w:val="00E52AB3"/>
    <w:rsid w:val="00E6114B"/>
    <w:rsid w:val="00E62692"/>
    <w:rsid w:val="00E774EB"/>
    <w:rsid w:val="00EA41C0"/>
    <w:rsid w:val="00EB1A3E"/>
    <w:rsid w:val="00EE3570"/>
    <w:rsid w:val="00F30D5E"/>
    <w:rsid w:val="00F61831"/>
    <w:rsid w:val="00FA177F"/>
    <w:rsid w:val="00FF79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FB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4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E1AB8"/>
    <w:rPr>
      <w:i/>
      <w:iCs/>
    </w:rPr>
  </w:style>
  <w:style w:type="table" w:styleId="TableGrid">
    <w:name w:val="Table Grid"/>
    <w:basedOn w:val="TableNormal"/>
    <w:uiPriority w:val="59"/>
    <w:rsid w:val="006E2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2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D46"/>
    <w:rPr>
      <w:rFonts w:ascii="Tahoma" w:eastAsia="Calibri" w:hAnsi="Tahoma" w:cs="Tahoma"/>
      <w:sz w:val="16"/>
      <w:szCs w:val="16"/>
    </w:rPr>
  </w:style>
  <w:style w:type="character" w:styleId="CommentReference">
    <w:name w:val="annotation reference"/>
    <w:basedOn w:val="DefaultParagraphFont"/>
    <w:uiPriority w:val="99"/>
    <w:semiHidden/>
    <w:unhideWhenUsed/>
    <w:rsid w:val="00A47A90"/>
    <w:rPr>
      <w:sz w:val="18"/>
      <w:szCs w:val="18"/>
    </w:rPr>
  </w:style>
  <w:style w:type="paragraph" w:styleId="CommentText">
    <w:name w:val="annotation text"/>
    <w:basedOn w:val="Normal"/>
    <w:link w:val="CommentTextChar"/>
    <w:uiPriority w:val="99"/>
    <w:semiHidden/>
    <w:unhideWhenUsed/>
    <w:rsid w:val="00A47A90"/>
    <w:pPr>
      <w:spacing w:line="240" w:lineRule="auto"/>
    </w:pPr>
    <w:rPr>
      <w:sz w:val="24"/>
      <w:szCs w:val="24"/>
    </w:rPr>
  </w:style>
  <w:style w:type="character" w:customStyle="1" w:styleId="CommentTextChar">
    <w:name w:val="Comment Text Char"/>
    <w:basedOn w:val="DefaultParagraphFont"/>
    <w:link w:val="CommentText"/>
    <w:uiPriority w:val="99"/>
    <w:semiHidden/>
    <w:rsid w:val="00A47A90"/>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A47A90"/>
    <w:rPr>
      <w:b/>
      <w:bCs/>
      <w:sz w:val="20"/>
      <w:szCs w:val="20"/>
    </w:rPr>
  </w:style>
  <w:style w:type="character" w:customStyle="1" w:styleId="CommentSubjectChar">
    <w:name w:val="Comment Subject Char"/>
    <w:basedOn w:val="CommentTextChar"/>
    <w:link w:val="CommentSubject"/>
    <w:uiPriority w:val="99"/>
    <w:semiHidden/>
    <w:rsid w:val="00A47A90"/>
    <w:rPr>
      <w:rFonts w:ascii="Calibri" w:eastAsia="Calibri" w:hAnsi="Calibri" w:cs="Times New Roman"/>
      <w:b/>
      <w:bCs/>
      <w:sz w:val="20"/>
      <w:szCs w:val="20"/>
    </w:rPr>
  </w:style>
  <w:style w:type="paragraph" w:styleId="Revision">
    <w:name w:val="Revision"/>
    <w:hidden/>
    <w:uiPriority w:val="99"/>
    <w:semiHidden/>
    <w:rsid w:val="00492A5E"/>
    <w:pPr>
      <w:spacing w:after="0" w:line="240" w:lineRule="auto"/>
    </w:pPr>
    <w:rPr>
      <w:rFonts w:ascii="Calibri" w:eastAsia="Calibri" w:hAnsi="Calibri" w:cs="Times New Roman"/>
    </w:rPr>
  </w:style>
  <w:style w:type="paragraph" w:customStyle="1" w:styleId="EndNoteBibliographyTitle">
    <w:name w:val="EndNote Bibliography Title"/>
    <w:basedOn w:val="Normal"/>
    <w:rsid w:val="00C539C3"/>
    <w:pPr>
      <w:spacing w:after="0"/>
      <w:jc w:val="center"/>
    </w:pPr>
    <w:rPr>
      <w:lang w:val="en-US"/>
    </w:rPr>
  </w:style>
  <w:style w:type="paragraph" w:customStyle="1" w:styleId="EndNoteBibliography">
    <w:name w:val="EndNote Bibliography"/>
    <w:basedOn w:val="Normal"/>
    <w:rsid w:val="00C539C3"/>
    <w:pPr>
      <w:spacing w:line="240" w:lineRule="auto"/>
      <w:jc w:val="both"/>
    </w:pPr>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4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E1AB8"/>
    <w:rPr>
      <w:i/>
      <w:iCs/>
    </w:rPr>
  </w:style>
  <w:style w:type="table" w:styleId="TableGrid">
    <w:name w:val="Table Grid"/>
    <w:basedOn w:val="TableNormal"/>
    <w:uiPriority w:val="59"/>
    <w:rsid w:val="006E2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2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D46"/>
    <w:rPr>
      <w:rFonts w:ascii="Tahoma" w:eastAsia="Calibri" w:hAnsi="Tahoma" w:cs="Tahoma"/>
      <w:sz w:val="16"/>
      <w:szCs w:val="16"/>
    </w:rPr>
  </w:style>
  <w:style w:type="character" w:styleId="CommentReference">
    <w:name w:val="annotation reference"/>
    <w:basedOn w:val="DefaultParagraphFont"/>
    <w:uiPriority w:val="99"/>
    <w:semiHidden/>
    <w:unhideWhenUsed/>
    <w:rsid w:val="00A47A90"/>
    <w:rPr>
      <w:sz w:val="18"/>
      <w:szCs w:val="18"/>
    </w:rPr>
  </w:style>
  <w:style w:type="paragraph" w:styleId="CommentText">
    <w:name w:val="annotation text"/>
    <w:basedOn w:val="Normal"/>
    <w:link w:val="CommentTextChar"/>
    <w:uiPriority w:val="99"/>
    <w:semiHidden/>
    <w:unhideWhenUsed/>
    <w:rsid w:val="00A47A90"/>
    <w:pPr>
      <w:spacing w:line="240" w:lineRule="auto"/>
    </w:pPr>
    <w:rPr>
      <w:sz w:val="24"/>
      <w:szCs w:val="24"/>
    </w:rPr>
  </w:style>
  <w:style w:type="character" w:customStyle="1" w:styleId="CommentTextChar">
    <w:name w:val="Comment Text Char"/>
    <w:basedOn w:val="DefaultParagraphFont"/>
    <w:link w:val="CommentText"/>
    <w:uiPriority w:val="99"/>
    <w:semiHidden/>
    <w:rsid w:val="00A47A90"/>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A47A90"/>
    <w:rPr>
      <w:b/>
      <w:bCs/>
      <w:sz w:val="20"/>
      <w:szCs w:val="20"/>
    </w:rPr>
  </w:style>
  <w:style w:type="character" w:customStyle="1" w:styleId="CommentSubjectChar">
    <w:name w:val="Comment Subject Char"/>
    <w:basedOn w:val="CommentTextChar"/>
    <w:link w:val="CommentSubject"/>
    <w:uiPriority w:val="99"/>
    <w:semiHidden/>
    <w:rsid w:val="00A47A90"/>
    <w:rPr>
      <w:rFonts w:ascii="Calibri" w:eastAsia="Calibri" w:hAnsi="Calibri" w:cs="Times New Roman"/>
      <w:b/>
      <w:bCs/>
      <w:sz w:val="20"/>
      <w:szCs w:val="20"/>
    </w:rPr>
  </w:style>
  <w:style w:type="paragraph" w:styleId="Revision">
    <w:name w:val="Revision"/>
    <w:hidden/>
    <w:uiPriority w:val="99"/>
    <w:semiHidden/>
    <w:rsid w:val="00492A5E"/>
    <w:pPr>
      <w:spacing w:after="0" w:line="240" w:lineRule="auto"/>
    </w:pPr>
    <w:rPr>
      <w:rFonts w:ascii="Calibri" w:eastAsia="Calibri" w:hAnsi="Calibri" w:cs="Times New Roman"/>
    </w:rPr>
  </w:style>
  <w:style w:type="paragraph" w:customStyle="1" w:styleId="EndNoteBibliographyTitle">
    <w:name w:val="EndNote Bibliography Title"/>
    <w:basedOn w:val="Normal"/>
    <w:rsid w:val="00C539C3"/>
    <w:pPr>
      <w:spacing w:after="0"/>
      <w:jc w:val="center"/>
    </w:pPr>
    <w:rPr>
      <w:lang w:val="en-US"/>
    </w:rPr>
  </w:style>
  <w:style w:type="paragraph" w:customStyle="1" w:styleId="EndNoteBibliography">
    <w:name w:val="EndNote Bibliography"/>
    <w:basedOn w:val="Normal"/>
    <w:rsid w:val="00C539C3"/>
    <w:pPr>
      <w:spacing w:line="240" w:lineRule="auto"/>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tmp"/><Relationship Id="rId7" Type="http://schemas.openxmlformats.org/officeDocument/2006/relationships/image" Target="media/image3.tmp"/><Relationship Id="rId8" Type="http://schemas.openxmlformats.org/officeDocument/2006/relationships/image" Target="media/image4.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1354</Words>
  <Characters>7718</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Prashant K. Srivastava</dc:creator>
  <cp:lastModifiedBy>Prashant Srivastava</cp:lastModifiedBy>
  <cp:revision>47</cp:revision>
  <dcterms:created xsi:type="dcterms:W3CDTF">2016-11-08T14:45:00Z</dcterms:created>
  <dcterms:modified xsi:type="dcterms:W3CDTF">2016-11-09T11:53:00Z</dcterms:modified>
</cp:coreProperties>
</file>