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7A" w:rsidRDefault="00B9627A" w:rsidP="00B9627A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5A10B3">
        <w:rPr>
          <w:b/>
          <w:sz w:val="22"/>
          <w:szCs w:val="22"/>
        </w:rPr>
        <w:t xml:space="preserve">Supplemental Table S2. </w:t>
      </w:r>
      <w:r w:rsidRPr="005A10B3">
        <w:rPr>
          <w:sz w:val="22"/>
          <w:szCs w:val="22"/>
        </w:rPr>
        <w:t>Performance of pooled sequence models measured as Spearman R</w:t>
      </w:r>
      <w:r w:rsidRPr="005A10B3">
        <w:rPr>
          <w:sz w:val="22"/>
          <w:szCs w:val="22"/>
          <w:vertAlign w:val="superscript"/>
        </w:rPr>
        <w:t>2</w:t>
      </w:r>
      <w:r w:rsidRPr="005A10B3">
        <w:rPr>
          <w:sz w:val="22"/>
          <w:szCs w:val="22"/>
        </w:rPr>
        <w:t xml:space="preserve"> with RNA/DNA ratios of MT and WT experiments</w:t>
      </w:r>
      <w:r>
        <w:rPr>
          <w:sz w:val="22"/>
          <w:szCs w:val="22"/>
        </w:rPr>
        <w:t xml:space="preserve"> (excluding controls)</w:t>
      </w:r>
      <w:r w:rsidRPr="005A10B3">
        <w:rPr>
          <w:sz w:val="22"/>
          <w:szCs w:val="22"/>
        </w:rPr>
        <w:t xml:space="preserve">. The column "gkmSVM" refers to the sequence-based model trained from combining individual ChIP-seq binding factors described by M Ghandi &amp; D Lee et al. </w:t>
      </w:r>
      <w:r w:rsidRPr="005A10B3">
        <w:rPr>
          <w:sz w:val="22"/>
          <w:szCs w:val="22"/>
        </w:rPr>
        <w:fldChar w:fldCharType="begin"/>
      </w:r>
      <w:r w:rsidRPr="005A10B3">
        <w:rPr>
          <w:sz w:val="22"/>
          <w:szCs w:val="22"/>
        </w:rPr>
        <w:instrText xml:space="preserve"> ADDIN EN.CITE &lt;EndNote&gt;&lt;Cite&gt;&lt;Author&gt;Ghandi&lt;/Author&gt;&lt;Year&gt;2014&lt;/Year&gt;&lt;RecNum&gt;1459&lt;/RecNum&gt;&lt;DisplayText&gt;(Ghandi et al. 2014)&lt;/DisplayText&gt;&lt;record&gt;&lt;rec-number&gt;1459&lt;/rec-number&gt;&lt;foreign-keys&gt;&lt;key app="EN" db-id="9frw2rew8zeswaefaesxz0w4x0ztf5efetp0"&gt;1459&lt;/key&gt;&lt;/foreign-keys&gt;&lt;ref-type name="Journal Article"&gt;17&lt;/ref-type&gt;&lt;contributors&gt;&lt;authors&gt;&lt;author&gt;Ghandi, M.&lt;/author&gt;&lt;author&gt;Lee, D.&lt;/author&gt;&lt;author&gt;Mohammad-Noori, M.&lt;/author&gt;&lt;author&gt;Beer, M. A.&lt;/author&gt;&lt;/authors&gt;&lt;/contributors&gt;&lt;titles&gt;&lt;title&gt;Enhanced regulatory sequence prediction using gapped k-mer features&lt;/title&gt;&lt;secondary-title&gt;PLoS Comput Biol.&lt;/secondary-title&gt;&lt;/titles&gt;&lt;periodical&gt;&lt;full-title&gt;PLoS Comput Biol.&lt;/full-title&gt;&lt;/periodical&gt;&lt;pages&gt;e1003711. doi: 10.1371/journal.pcbi.1003711. eCollection 2014 Jul.&lt;/pages&gt;&lt;volume&gt;10&lt;/volume&gt;&lt;number&gt;7&lt;/number&gt;&lt;keywords&gt;&lt;keyword&gt;Base Sequence&lt;/keyword&gt;&lt;keyword&gt;Bayes Theorem&lt;/keyword&gt;&lt;keyword&gt;Chromatin Immunoprecipitation&lt;/keyword&gt;&lt;keyword&gt;Computational Biology/*methods&lt;/keyword&gt;&lt;keyword&gt;*Models, Genetic&lt;/keyword&gt;&lt;keyword&gt;Oligonucleotides/genetics&lt;/keyword&gt;&lt;keyword&gt;Organ Specificity/genetics&lt;/keyword&gt;&lt;keyword&gt;Regulatory Sequences, Nucleic Acid/*genetics&lt;/keyword&gt;&lt;keyword&gt;Sequence Analysis, DNA/*methods&lt;/keyword&gt;&lt;keyword&gt;Support Vector Machine&lt;/keyword&gt;&lt;/keywords&gt;&lt;dates&gt;&lt;year&gt;2014&lt;/year&gt;&lt;/dates&gt;&lt;urls&gt;&lt;/urls&gt;&lt;/record&gt;&lt;/Cite&gt;&lt;/EndNote&gt;</w:instrText>
      </w:r>
      <w:r w:rsidRPr="005A10B3">
        <w:rPr>
          <w:sz w:val="22"/>
          <w:szCs w:val="22"/>
        </w:rPr>
        <w:fldChar w:fldCharType="separate"/>
      </w:r>
      <w:r w:rsidRPr="005A10B3">
        <w:rPr>
          <w:sz w:val="22"/>
          <w:szCs w:val="22"/>
        </w:rPr>
        <w:t>(</w:t>
      </w:r>
      <w:hyperlink w:anchor="_ENREF_16" w:tooltip="Ghandi, 2014 #1459" w:history="1">
        <w:r w:rsidRPr="005A10B3">
          <w:rPr>
            <w:sz w:val="22"/>
            <w:szCs w:val="22"/>
          </w:rPr>
          <w:t>Ghandi et al. 2014</w:t>
        </w:r>
      </w:hyperlink>
      <w:r w:rsidRPr="005A10B3">
        <w:rPr>
          <w:sz w:val="22"/>
          <w:szCs w:val="22"/>
        </w:rPr>
        <w:t>)</w:t>
      </w:r>
      <w:r w:rsidRPr="005A10B3">
        <w:rPr>
          <w:sz w:val="22"/>
          <w:szCs w:val="22"/>
        </w:rPr>
        <w:fldChar w:fldCharType="end"/>
      </w:r>
      <w:r w:rsidRPr="005A10B3">
        <w:rPr>
          <w:sz w:val="22"/>
          <w:szCs w:val="22"/>
        </w:rPr>
        <w:t xml:space="preserve">. JUND is the LS-GKM model trained only on JUND ChIP-seq peaks. This is the model showing the highest correlation with MT and WT RNA/DNA ratios. "Top </w:t>
      </w:r>
      <w:r>
        <w:rPr>
          <w:sz w:val="22"/>
          <w:szCs w:val="22"/>
        </w:rPr>
        <w:t>2</w:t>
      </w:r>
      <w:r w:rsidRPr="005A10B3">
        <w:rPr>
          <w:sz w:val="22"/>
          <w:szCs w:val="22"/>
        </w:rPr>
        <w:t>"</w:t>
      </w:r>
      <w:r>
        <w:rPr>
          <w:sz w:val="22"/>
          <w:szCs w:val="22"/>
        </w:rPr>
        <w:t xml:space="preserve">, </w:t>
      </w:r>
      <w:r w:rsidRPr="005A10B3">
        <w:rPr>
          <w:sz w:val="22"/>
          <w:szCs w:val="22"/>
        </w:rPr>
        <w:t xml:space="preserve">"Top </w:t>
      </w:r>
      <w:r>
        <w:rPr>
          <w:sz w:val="22"/>
          <w:szCs w:val="22"/>
        </w:rPr>
        <w:t>3</w:t>
      </w:r>
      <w:r w:rsidRPr="005A10B3">
        <w:rPr>
          <w:sz w:val="22"/>
          <w:szCs w:val="22"/>
        </w:rPr>
        <w:t>"</w:t>
      </w:r>
      <w:r>
        <w:rPr>
          <w:sz w:val="22"/>
          <w:szCs w:val="22"/>
        </w:rPr>
        <w:t xml:space="preserve">, </w:t>
      </w:r>
      <w:r w:rsidRPr="005A10B3">
        <w:rPr>
          <w:sz w:val="22"/>
          <w:szCs w:val="22"/>
        </w:rPr>
        <w:t>"Top 5", "Top 10"</w:t>
      </w:r>
      <w:r>
        <w:rPr>
          <w:sz w:val="22"/>
          <w:szCs w:val="22"/>
        </w:rPr>
        <w:t>, "Top 15"</w:t>
      </w:r>
      <w:r w:rsidRPr="005A10B3">
        <w:rPr>
          <w:sz w:val="22"/>
          <w:szCs w:val="22"/>
        </w:rPr>
        <w:t xml:space="preserve"> and "All Lasso" LS-GKM models were trained on the pooled ChIP-seq data underlying the individual TF LS-GKM models selected by linear Lasso regression.</w:t>
      </w:r>
      <w:r>
        <w:rPr>
          <w:sz w:val="22"/>
          <w:szCs w:val="22"/>
        </w:rPr>
        <w:t xml:space="preserve"> The 37 LS-GKM scores for MT (in the order of absolute coefficients) are </w:t>
      </w:r>
      <w:r w:rsidRPr="003511DD">
        <w:rPr>
          <w:sz w:val="22"/>
          <w:szCs w:val="22"/>
        </w:rPr>
        <w:t>JUND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FOSL2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GABPA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EZH2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MYBL2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SMC3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CEBPB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FOXA2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JUN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ATF3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ZBTB33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ELF1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ZNF274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SIN3B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ZBTB7A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FOXA1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SP2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RAD21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HNF4G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POLR2AphosphoS5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TFAP4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NR2C2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SRF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RCOR1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IRF3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POLR2AphosphoS2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HCFC1</w:t>
      </w:r>
      <w:r>
        <w:rPr>
          <w:sz w:val="22"/>
          <w:szCs w:val="22"/>
        </w:rPr>
        <w:t>, TCF12,</w:t>
      </w:r>
      <w:r w:rsidRPr="003511DD">
        <w:rPr>
          <w:sz w:val="22"/>
          <w:szCs w:val="22"/>
        </w:rPr>
        <w:t xml:space="preserve"> RFX5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MAFF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FOXK2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BRCA1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USF2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NRF1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TEAD4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3511DD">
        <w:rPr>
          <w:sz w:val="22"/>
          <w:szCs w:val="22"/>
        </w:rPr>
        <w:t>TCF7L2</w:t>
      </w:r>
      <w:r>
        <w:rPr>
          <w:sz w:val="22"/>
          <w:szCs w:val="22"/>
        </w:rPr>
        <w:t xml:space="preserve">. The 34 scores for WT are </w:t>
      </w:r>
      <w:r w:rsidRPr="003511DD">
        <w:rPr>
          <w:sz w:val="22"/>
          <w:szCs w:val="22"/>
        </w:rPr>
        <w:t>JUND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FOSL2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EZH2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SMC3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JUN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ATF3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GABPA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ELF1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FOXA2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ZBTB33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MYBL2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CHD2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POLR2AphosphoS5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HNF4G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IRF3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FOXA1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RCOR1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MAZ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SP2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RAD21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RFX5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ARID3A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NR2C2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CEBPB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FOXK2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TFAP4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POLR2AphosphoS2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SIN3A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SRF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POLR2A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TAF1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TEAD4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ZBTB7A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3511DD">
        <w:rPr>
          <w:sz w:val="22"/>
          <w:szCs w:val="22"/>
        </w:rPr>
        <w:t>ZKSCAN1</w:t>
      </w:r>
      <w:r>
        <w:rPr>
          <w:sz w:val="22"/>
          <w:szCs w:val="22"/>
        </w:rPr>
        <w:t>. The positive coefficients are (in this order) for MT are</w:t>
      </w:r>
      <w:r w:rsidRPr="003511DD">
        <w:rPr>
          <w:sz w:val="22"/>
          <w:szCs w:val="22"/>
        </w:rPr>
        <w:t xml:space="preserve"> JUND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FOSL2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GABPA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MYBL2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JUN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ATF3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ELF1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SIN3B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SP2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SRF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IRF3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HCFC1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MAFF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BRCA1</w:t>
      </w:r>
      <w:r>
        <w:rPr>
          <w:sz w:val="22"/>
          <w:szCs w:val="22"/>
        </w:rPr>
        <w:t>, and</w:t>
      </w:r>
      <w:r w:rsidRPr="003511DD">
        <w:rPr>
          <w:sz w:val="22"/>
          <w:szCs w:val="22"/>
        </w:rPr>
        <w:t xml:space="preserve"> TCF7L2</w:t>
      </w:r>
      <w:r>
        <w:rPr>
          <w:sz w:val="22"/>
          <w:szCs w:val="22"/>
        </w:rPr>
        <w:t xml:space="preserve"> and for WT positive coefficients are </w:t>
      </w:r>
      <w:r w:rsidRPr="003511DD">
        <w:rPr>
          <w:sz w:val="22"/>
          <w:szCs w:val="22"/>
        </w:rPr>
        <w:t>JUND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FOSL2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JUN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ATF3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GABPA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ELF1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MYBL2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CHD2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IRF3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MAZ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SP2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ARID3A</w:t>
      </w:r>
      <w:r>
        <w:rPr>
          <w:sz w:val="22"/>
          <w:szCs w:val="22"/>
        </w:rPr>
        <w:t>,</w:t>
      </w:r>
      <w:r w:rsidRPr="003511DD">
        <w:rPr>
          <w:sz w:val="22"/>
          <w:szCs w:val="22"/>
        </w:rPr>
        <w:t xml:space="preserve"> SRF TAF1</w:t>
      </w:r>
      <w:r>
        <w:rPr>
          <w:sz w:val="22"/>
          <w:szCs w:val="22"/>
        </w:rPr>
        <w:t>, and</w:t>
      </w:r>
      <w:r w:rsidRPr="003511DD">
        <w:rPr>
          <w:sz w:val="22"/>
          <w:szCs w:val="22"/>
        </w:rPr>
        <w:t xml:space="preserve"> ZBTB7A</w:t>
      </w:r>
      <w:r>
        <w:rPr>
          <w:sz w:val="22"/>
          <w:szCs w:val="22"/>
        </w:rPr>
        <w:t>.</w:t>
      </w:r>
      <w:r w:rsidRPr="005A10B3">
        <w:rPr>
          <w:sz w:val="22"/>
          <w:szCs w:val="22"/>
        </w:rPr>
        <w:t xml:space="preserve"> </w:t>
      </w:r>
    </w:p>
    <w:p w:rsidR="00B9627A" w:rsidRPr="005A10B3" w:rsidRDefault="00B9627A" w:rsidP="00B9627A">
      <w:pPr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924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1121"/>
        <w:gridCol w:w="895"/>
        <w:gridCol w:w="1005"/>
        <w:gridCol w:w="1005"/>
        <w:gridCol w:w="1005"/>
        <w:gridCol w:w="1005"/>
        <w:gridCol w:w="1005"/>
        <w:gridCol w:w="870"/>
      </w:tblGrid>
      <w:tr w:rsidR="00B9627A" w:rsidRPr="00854606" w:rsidTr="00F15345"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Experiment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gkmSVM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JUND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854606">
              <w:rPr>
                <w:b/>
                <w:sz w:val="22"/>
                <w:szCs w:val="22"/>
              </w:rPr>
              <w:t>ll</w:t>
            </w:r>
          </w:p>
        </w:tc>
      </w:tr>
      <w:tr w:rsidR="00B9627A" w:rsidRPr="00854606" w:rsidTr="00F15345"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WT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7.58%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12.01%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12.09%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11.24%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9.09%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5.91%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6.11%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4.30%</w:t>
            </w:r>
          </w:p>
        </w:tc>
      </w:tr>
      <w:tr w:rsidR="00B9627A" w:rsidRPr="00854606" w:rsidTr="00F15345">
        <w:tc>
          <w:tcPr>
            <w:tcW w:w="1329" w:type="dxa"/>
            <w:vMerge/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  <w:r w:rsidRPr="00854606">
              <w:rPr>
                <w:b/>
                <w:i/>
                <w:sz w:val="22"/>
                <w:szCs w:val="22"/>
              </w:rPr>
              <w:t>Pos. coefficients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9627A" w:rsidRPr="00854606" w:rsidTr="00F15345"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12.09%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12.25%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13.33%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12.93%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10.72%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9627A" w:rsidRPr="00854606" w:rsidTr="00F15345"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Experiment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gkmSVM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JUND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854606">
              <w:rPr>
                <w:b/>
                <w:sz w:val="22"/>
                <w:szCs w:val="22"/>
              </w:rPr>
              <w:t>ll</w:t>
            </w:r>
          </w:p>
        </w:tc>
      </w:tr>
      <w:tr w:rsidR="00B9627A" w:rsidRPr="00854606" w:rsidTr="00F15345"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MT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3.95%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5.04%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5.16%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5.78%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4.86%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1.24%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1.40%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1.17%</w:t>
            </w:r>
          </w:p>
        </w:tc>
      </w:tr>
      <w:tr w:rsidR="00B9627A" w:rsidRPr="00854606" w:rsidTr="00F15345">
        <w:tc>
          <w:tcPr>
            <w:tcW w:w="1329" w:type="dxa"/>
            <w:vMerge/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854606">
              <w:rPr>
                <w:b/>
                <w:i/>
                <w:sz w:val="22"/>
                <w:szCs w:val="22"/>
              </w:rPr>
              <w:t>Pos. coefficients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  <w:r w:rsidRPr="00854606">
              <w:rPr>
                <w:b/>
                <w:sz w:val="22"/>
                <w:szCs w:val="22"/>
              </w:rPr>
              <w:t>Top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460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dxa"/>
          </w:tcPr>
          <w:p w:rsidR="00B9627A" w:rsidRPr="00854606" w:rsidRDefault="00B9627A" w:rsidP="00F1534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9627A" w:rsidRPr="00854606" w:rsidTr="00F15345"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5.16%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5.78%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5.36%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5.63%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854606">
              <w:rPr>
                <w:sz w:val="22"/>
                <w:szCs w:val="22"/>
              </w:rPr>
              <w:t>5.12%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B9627A" w:rsidRPr="00854606" w:rsidRDefault="00B9627A" w:rsidP="00F1534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9627A" w:rsidRPr="005A10B3" w:rsidRDefault="00B9627A" w:rsidP="00B9627A">
      <w:pPr>
        <w:spacing w:line="276" w:lineRule="auto"/>
        <w:rPr>
          <w:sz w:val="22"/>
          <w:szCs w:val="22"/>
        </w:rPr>
      </w:pPr>
    </w:p>
    <w:sectPr w:rsidR="00B9627A" w:rsidRPr="005A10B3" w:rsidSect="008F6E09">
      <w:footerReference w:type="even" r:id="rId4"/>
      <w:headerReference w:type="first" r:id="rId5"/>
      <w:pgSz w:w="12240" w:h="15840" w:code="1"/>
      <w:pgMar w:top="1440" w:right="1440" w:bottom="1440" w:left="1440" w:header="43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E5" w:rsidRDefault="00B9627A" w:rsidP="000E6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F800E5" w:rsidRDefault="00B9627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E5" w:rsidRPr="00204015" w:rsidRDefault="00B9627A" w:rsidP="000E6C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BE8EF2" wp14:editId="587ECF7A">
          <wp:simplePos x="0" y="0"/>
          <wp:positionH relativeFrom="column">
            <wp:posOffset>38100</wp:posOffset>
          </wp:positionH>
          <wp:positionV relativeFrom="paragraph">
            <wp:posOffset>-83185</wp:posOffset>
          </wp:positionV>
          <wp:extent cx="682625" cy="368300"/>
          <wp:effectExtent l="0" t="0" r="3175" b="0"/>
          <wp:wrapSquare wrapText="bothSides"/>
          <wp:docPr id="1" name="Picture 1" descr="scienc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ienc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 Confidential</w:t>
    </w:r>
    <w:r>
      <w:tab/>
    </w:r>
  </w:p>
  <w:p w:rsidR="00F800E5" w:rsidRDefault="00B9627A" w:rsidP="000E6C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7A"/>
    <w:rsid w:val="00B9627A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16CA91-9EEF-421A-8163-672607F4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627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B9627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9627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962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627A"/>
  </w:style>
  <w:style w:type="table" w:styleId="TableGrid">
    <w:name w:val="Table Grid"/>
    <w:basedOn w:val="TableNormal"/>
    <w:uiPriority w:val="59"/>
    <w:rsid w:val="00B9627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2883</Characters>
  <Application>Microsoft Office Word</Application>
  <DocSecurity>0</DocSecurity>
  <Lines>24</Lines>
  <Paragraphs>6</Paragraphs>
  <ScaleCrop>false</ScaleCrop>
  <Company>Microsoft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Kircher</dc:creator>
  <cp:keywords/>
  <dc:description/>
  <cp:lastModifiedBy>Martin Kircher</cp:lastModifiedBy>
  <cp:revision>1</cp:revision>
  <dcterms:created xsi:type="dcterms:W3CDTF">2016-10-26T19:55:00Z</dcterms:created>
  <dcterms:modified xsi:type="dcterms:W3CDTF">2016-10-26T19:56:00Z</dcterms:modified>
</cp:coreProperties>
</file>