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2EBC25" w14:textId="77777777" w:rsidR="002857E4" w:rsidRPr="00410890" w:rsidRDefault="00410890">
      <w:pPr>
        <w:rPr>
          <w:rFonts w:ascii="Times New Roman" w:hAnsi="Times New Roman" w:cs="Times New Roman"/>
          <w:b/>
          <w:sz w:val="28"/>
        </w:rPr>
      </w:pPr>
      <w:r w:rsidRPr="00410890">
        <w:rPr>
          <w:rFonts w:ascii="Times New Roman" w:hAnsi="Times New Roman" w:cs="Times New Roman"/>
          <w:b/>
          <w:sz w:val="28"/>
        </w:rPr>
        <w:t>Supplemental Material – Contents</w:t>
      </w:r>
    </w:p>
    <w:p w14:paraId="7BF4B6D2" w14:textId="77777777" w:rsidR="00410890" w:rsidRPr="00410890" w:rsidRDefault="00410890">
      <w:pPr>
        <w:rPr>
          <w:rFonts w:ascii="Times New Roman" w:hAnsi="Times New Roman" w:cs="Times New Roman"/>
        </w:rPr>
      </w:pPr>
    </w:p>
    <w:p w14:paraId="76169F41" w14:textId="77777777" w:rsidR="00410890" w:rsidRPr="00410890" w:rsidRDefault="00410890">
      <w:pPr>
        <w:rPr>
          <w:rFonts w:ascii="Times New Roman" w:hAnsi="Times New Roman" w:cs="Times New Roman"/>
        </w:rPr>
      </w:pPr>
    </w:p>
    <w:p w14:paraId="5CE88250" w14:textId="77777777" w:rsidR="00410890" w:rsidRPr="00410890" w:rsidRDefault="00410890">
      <w:pPr>
        <w:rPr>
          <w:rFonts w:ascii="Times New Roman" w:hAnsi="Times New Roman" w:cs="Times New Roman"/>
          <w:b/>
        </w:rPr>
      </w:pPr>
      <w:r w:rsidRPr="00410890">
        <w:rPr>
          <w:rFonts w:ascii="Times New Roman" w:hAnsi="Times New Roman" w:cs="Times New Roman"/>
          <w:b/>
        </w:rPr>
        <w:t>Supplemental Methods</w:t>
      </w:r>
    </w:p>
    <w:p w14:paraId="5EDC2116" w14:textId="77777777" w:rsidR="00410890" w:rsidRPr="00410890" w:rsidRDefault="00410890">
      <w:pPr>
        <w:rPr>
          <w:rFonts w:ascii="Times New Roman" w:hAnsi="Times New Roman" w:cs="Times New Roman"/>
          <w:noProof/>
        </w:rPr>
      </w:pPr>
    </w:p>
    <w:p w14:paraId="3DEE23A8" w14:textId="77777777" w:rsidR="00410890" w:rsidRPr="00410890" w:rsidRDefault="00410890">
      <w:pPr>
        <w:rPr>
          <w:rFonts w:ascii="Times New Roman" w:hAnsi="Times New Roman" w:cs="Times New Roman"/>
        </w:rPr>
      </w:pPr>
      <w:r w:rsidRPr="00410890">
        <w:rPr>
          <w:rFonts w:ascii="Times New Roman" w:hAnsi="Times New Roman" w:cs="Times New Roman"/>
          <w:noProof/>
        </w:rPr>
        <w:t>1. Selection of isolates used in this study</w:t>
      </w:r>
    </w:p>
    <w:p w14:paraId="73DAB5A0" w14:textId="77777777" w:rsidR="00410890" w:rsidRPr="00410890" w:rsidRDefault="00410890">
      <w:pPr>
        <w:rPr>
          <w:rFonts w:ascii="Times New Roman" w:hAnsi="Times New Roman" w:cs="Times New Roman"/>
        </w:rPr>
      </w:pPr>
      <w:r w:rsidRPr="00410890">
        <w:rPr>
          <w:rFonts w:ascii="Times New Roman" w:hAnsi="Times New Roman" w:cs="Times New Roman"/>
          <w:noProof/>
        </w:rPr>
        <w:t>2. Culture and DNA extraction</w:t>
      </w:r>
    </w:p>
    <w:p w14:paraId="2876B3E9" w14:textId="77777777" w:rsidR="00410890" w:rsidRPr="00410890" w:rsidRDefault="00410890">
      <w:pPr>
        <w:rPr>
          <w:rFonts w:ascii="Times New Roman" w:hAnsi="Times New Roman" w:cs="Times New Roman"/>
          <w:noProof/>
        </w:rPr>
      </w:pPr>
      <w:r w:rsidRPr="00410890">
        <w:rPr>
          <w:rFonts w:ascii="Times New Roman" w:hAnsi="Times New Roman" w:cs="Times New Roman"/>
          <w:noProof/>
        </w:rPr>
        <w:t>3. Whole genome sequencing</w:t>
      </w:r>
    </w:p>
    <w:p w14:paraId="6CE0C3FD" w14:textId="77777777" w:rsidR="00410890" w:rsidRPr="00410890" w:rsidRDefault="00410890">
      <w:pPr>
        <w:rPr>
          <w:rFonts w:ascii="Times New Roman" w:hAnsi="Times New Roman" w:cs="Times New Roman"/>
        </w:rPr>
      </w:pPr>
      <w:r w:rsidRPr="00410890">
        <w:rPr>
          <w:rFonts w:ascii="Times New Roman" w:hAnsi="Times New Roman" w:cs="Times New Roman"/>
          <w:noProof/>
        </w:rPr>
        <w:t>4. Reference genomes</w:t>
      </w:r>
    </w:p>
    <w:p w14:paraId="05CBB2A8" w14:textId="77777777" w:rsidR="00410890" w:rsidRPr="00410890" w:rsidRDefault="00410890">
      <w:pPr>
        <w:rPr>
          <w:rFonts w:ascii="Times New Roman" w:hAnsi="Times New Roman" w:cs="Times New Roman"/>
          <w:noProof/>
          <w:lang w:val="en-US"/>
        </w:rPr>
      </w:pPr>
      <w:r w:rsidRPr="00410890">
        <w:rPr>
          <w:rFonts w:ascii="Times New Roman" w:hAnsi="Times New Roman" w:cs="Times New Roman"/>
          <w:noProof/>
          <w:lang w:val="en-US"/>
        </w:rPr>
        <w:t>5. Mapping of sequence reads</w:t>
      </w:r>
    </w:p>
    <w:p w14:paraId="72918050" w14:textId="77777777" w:rsidR="00410890" w:rsidRPr="00410890" w:rsidRDefault="00410890">
      <w:pPr>
        <w:rPr>
          <w:rFonts w:ascii="Times New Roman" w:hAnsi="Times New Roman" w:cs="Times New Roman"/>
        </w:rPr>
      </w:pPr>
      <w:r w:rsidRPr="00410890">
        <w:rPr>
          <w:rFonts w:ascii="Times New Roman" w:hAnsi="Times New Roman" w:cs="Times New Roman"/>
          <w:noProof/>
        </w:rPr>
        <w:t>6. BEAST analysis</w:t>
      </w:r>
    </w:p>
    <w:p w14:paraId="52F4807C" w14:textId="77777777" w:rsidR="00410890" w:rsidRPr="00410890" w:rsidRDefault="00410890">
      <w:pPr>
        <w:rPr>
          <w:rFonts w:ascii="Times New Roman" w:hAnsi="Times New Roman" w:cs="Times New Roman"/>
          <w:noProof/>
          <w:lang w:val="en-US"/>
        </w:rPr>
      </w:pPr>
      <w:r w:rsidRPr="00410890">
        <w:rPr>
          <w:rFonts w:ascii="Times New Roman" w:hAnsi="Times New Roman" w:cs="Times New Roman"/>
          <w:noProof/>
          <w:lang w:val="en-US"/>
        </w:rPr>
        <w:t>7. Estimation of the age of the ST1, ST23, ST47 and ST62 lineages</w:t>
      </w:r>
    </w:p>
    <w:p w14:paraId="08F205F8" w14:textId="77777777" w:rsidR="00410890" w:rsidRPr="00410890" w:rsidRDefault="00410890">
      <w:pPr>
        <w:rPr>
          <w:rFonts w:ascii="Times New Roman" w:hAnsi="Times New Roman" w:cs="Times New Roman"/>
          <w:noProof/>
          <w:lang w:val="en-US"/>
        </w:rPr>
      </w:pPr>
      <w:r w:rsidRPr="00410890">
        <w:rPr>
          <w:rFonts w:ascii="Times New Roman" w:hAnsi="Times New Roman" w:cs="Times New Roman"/>
          <w:noProof/>
          <w:lang w:val="en-US"/>
        </w:rPr>
        <w:t>8. Identification of core genes under positive selection in the five STs</w:t>
      </w:r>
    </w:p>
    <w:p w14:paraId="47DBA44E" w14:textId="77777777" w:rsidR="00410890" w:rsidRPr="00410890" w:rsidRDefault="00410890">
      <w:pPr>
        <w:rPr>
          <w:rFonts w:ascii="Times New Roman" w:hAnsi="Times New Roman" w:cs="Times New Roman"/>
          <w:noProof/>
        </w:rPr>
      </w:pPr>
      <w:r w:rsidRPr="00410890">
        <w:rPr>
          <w:rFonts w:ascii="Times New Roman" w:hAnsi="Times New Roman" w:cs="Times New Roman"/>
          <w:noProof/>
        </w:rPr>
        <w:t>9. Identification of core genes with high nucleotide similarity in the five STs</w:t>
      </w:r>
    </w:p>
    <w:p w14:paraId="503B1A6E" w14:textId="77777777" w:rsidR="00410890" w:rsidRPr="00410890" w:rsidRDefault="00410890">
      <w:pPr>
        <w:rPr>
          <w:rFonts w:ascii="Times New Roman" w:hAnsi="Times New Roman" w:cs="Times New Roman"/>
          <w:noProof/>
          <w:lang w:val="en-US"/>
        </w:rPr>
      </w:pPr>
      <w:r w:rsidRPr="00410890">
        <w:rPr>
          <w:rFonts w:ascii="Times New Roman" w:hAnsi="Times New Roman" w:cs="Times New Roman"/>
          <w:noProof/>
          <w:lang w:val="en-US"/>
        </w:rPr>
        <w:t>10. Calculation of pairwise nucleotide similarity between representatives of the five major disease-associated STs</w:t>
      </w:r>
    </w:p>
    <w:p w14:paraId="0671BC7D" w14:textId="77777777" w:rsidR="00410890" w:rsidRPr="00410890" w:rsidRDefault="00410890">
      <w:pPr>
        <w:rPr>
          <w:rFonts w:ascii="Times New Roman" w:hAnsi="Times New Roman" w:cs="Times New Roman"/>
        </w:rPr>
      </w:pPr>
    </w:p>
    <w:p w14:paraId="5458C8AC" w14:textId="77777777" w:rsidR="00410890" w:rsidRPr="00410890" w:rsidRDefault="00410890">
      <w:pPr>
        <w:rPr>
          <w:rFonts w:ascii="Times New Roman" w:hAnsi="Times New Roman" w:cs="Times New Roman"/>
        </w:rPr>
      </w:pPr>
    </w:p>
    <w:p w14:paraId="6D175057" w14:textId="77777777" w:rsidR="00410890" w:rsidRPr="00410890" w:rsidRDefault="00410890">
      <w:pPr>
        <w:rPr>
          <w:rFonts w:ascii="Times New Roman" w:hAnsi="Times New Roman" w:cs="Times New Roman"/>
          <w:b/>
        </w:rPr>
      </w:pPr>
      <w:r w:rsidRPr="00410890">
        <w:rPr>
          <w:rFonts w:ascii="Times New Roman" w:hAnsi="Times New Roman" w:cs="Times New Roman"/>
          <w:b/>
        </w:rPr>
        <w:t>Supplemental Results</w:t>
      </w:r>
    </w:p>
    <w:p w14:paraId="3271FBFD" w14:textId="77777777" w:rsidR="00410890" w:rsidRPr="00410890" w:rsidRDefault="00410890">
      <w:pPr>
        <w:rPr>
          <w:rFonts w:ascii="Times New Roman" w:hAnsi="Times New Roman" w:cs="Times New Roman"/>
        </w:rPr>
      </w:pPr>
    </w:p>
    <w:p w14:paraId="59DCDF6B" w14:textId="77777777" w:rsidR="00410890" w:rsidRPr="00410890" w:rsidRDefault="00410890">
      <w:pPr>
        <w:rPr>
          <w:rFonts w:ascii="Times New Roman" w:hAnsi="Times New Roman" w:cs="Times New Roman"/>
          <w:noProof/>
        </w:rPr>
      </w:pPr>
      <w:r w:rsidRPr="00410890">
        <w:rPr>
          <w:rFonts w:ascii="Times New Roman" w:hAnsi="Times New Roman" w:cs="Times New Roman"/>
          <w:noProof/>
        </w:rPr>
        <w:t>1. Composition and predicted origin of the recombined regions</w:t>
      </w:r>
    </w:p>
    <w:p w14:paraId="0973E2CB" w14:textId="77777777" w:rsidR="00410890" w:rsidRPr="00410890" w:rsidRDefault="00410890">
      <w:pPr>
        <w:rPr>
          <w:rFonts w:ascii="Times New Roman" w:hAnsi="Times New Roman" w:cs="Times New Roman"/>
          <w:noProof/>
        </w:rPr>
      </w:pPr>
      <w:r w:rsidRPr="00410890">
        <w:rPr>
          <w:rFonts w:ascii="Times New Roman" w:hAnsi="Times New Roman" w:cs="Times New Roman"/>
          <w:noProof/>
        </w:rPr>
        <w:t>2. BEAST analysis</w:t>
      </w:r>
    </w:p>
    <w:p w14:paraId="3DD02DD5" w14:textId="77777777" w:rsidR="00410890" w:rsidRPr="00410890" w:rsidRDefault="00410890">
      <w:pPr>
        <w:rPr>
          <w:rFonts w:ascii="Times New Roman" w:hAnsi="Times New Roman" w:cs="Times New Roman"/>
          <w:noProof/>
        </w:rPr>
      </w:pPr>
      <w:r w:rsidRPr="00410890">
        <w:rPr>
          <w:rFonts w:ascii="Times New Roman" w:hAnsi="Times New Roman" w:cs="Times New Roman"/>
          <w:noProof/>
        </w:rPr>
        <w:t>3. Predicting the age of STs 1, 23, 47 and 62</w:t>
      </w:r>
    </w:p>
    <w:p w14:paraId="767B2509" w14:textId="77777777" w:rsidR="00410890" w:rsidRPr="00410890" w:rsidRDefault="00410890">
      <w:pPr>
        <w:rPr>
          <w:rFonts w:ascii="Times New Roman" w:hAnsi="Times New Roman" w:cs="Times New Roman"/>
          <w:noProof/>
        </w:rPr>
      </w:pPr>
      <w:r w:rsidRPr="00410890">
        <w:rPr>
          <w:rFonts w:ascii="Times New Roman" w:hAnsi="Times New Roman" w:cs="Times New Roman"/>
          <w:noProof/>
        </w:rPr>
        <w:t>4. Analysis of the gene content</w:t>
      </w:r>
    </w:p>
    <w:p w14:paraId="6D48B03F" w14:textId="77777777" w:rsidR="00410890" w:rsidRPr="00410890" w:rsidRDefault="00410890">
      <w:pPr>
        <w:rPr>
          <w:rFonts w:ascii="Times New Roman" w:hAnsi="Times New Roman" w:cs="Times New Roman"/>
          <w:noProof/>
        </w:rPr>
      </w:pPr>
      <w:r w:rsidRPr="00410890">
        <w:rPr>
          <w:rFonts w:ascii="Times New Roman" w:hAnsi="Times New Roman" w:cs="Times New Roman"/>
          <w:noProof/>
        </w:rPr>
        <w:t>5. Analysis of core genes under positive selection in the five STs</w:t>
      </w:r>
    </w:p>
    <w:p w14:paraId="189E42F8" w14:textId="77777777" w:rsidR="00410890" w:rsidRPr="00410890" w:rsidRDefault="00410890">
      <w:pPr>
        <w:rPr>
          <w:rFonts w:ascii="Times New Roman" w:hAnsi="Times New Roman" w:cs="Times New Roman"/>
        </w:rPr>
      </w:pPr>
    </w:p>
    <w:p w14:paraId="0A7BF518" w14:textId="77777777" w:rsidR="00410890" w:rsidRPr="00410890" w:rsidRDefault="00410890">
      <w:pPr>
        <w:rPr>
          <w:rFonts w:ascii="Times New Roman" w:hAnsi="Times New Roman" w:cs="Times New Roman"/>
        </w:rPr>
      </w:pPr>
    </w:p>
    <w:p w14:paraId="50765AC1" w14:textId="77777777" w:rsidR="00410890" w:rsidRPr="00410890" w:rsidRDefault="00410890">
      <w:pPr>
        <w:rPr>
          <w:rFonts w:ascii="Times New Roman" w:hAnsi="Times New Roman" w:cs="Times New Roman"/>
          <w:b/>
        </w:rPr>
      </w:pPr>
      <w:r w:rsidRPr="00410890">
        <w:rPr>
          <w:rFonts w:ascii="Times New Roman" w:hAnsi="Times New Roman" w:cs="Times New Roman"/>
          <w:b/>
        </w:rPr>
        <w:t>Supplemental Figures</w:t>
      </w:r>
    </w:p>
    <w:p w14:paraId="6784916D" w14:textId="77777777" w:rsidR="00410890" w:rsidRPr="00410890" w:rsidRDefault="00410890">
      <w:pPr>
        <w:rPr>
          <w:rFonts w:ascii="Times New Roman" w:hAnsi="Times New Roman" w:cs="Times New Roman"/>
        </w:rPr>
      </w:pPr>
    </w:p>
    <w:p w14:paraId="63CBF157" w14:textId="77777777" w:rsidR="00410890" w:rsidRPr="00410890" w:rsidRDefault="00410890" w:rsidP="00410890">
      <w:pPr>
        <w:jc w:val="both"/>
        <w:rPr>
          <w:rFonts w:ascii="Times New Roman" w:hAnsi="Times New Roman" w:cs="Times New Roman"/>
          <w:szCs w:val="20"/>
        </w:rPr>
      </w:pPr>
      <w:r w:rsidRPr="00410890">
        <w:rPr>
          <w:rFonts w:ascii="Times New Roman" w:hAnsi="Times New Roman" w:cs="Times New Roman"/>
          <w:b/>
          <w:noProof/>
          <w:szCs w:val="20"/>
        </w:rPr>
        <w:t>Figure S1.</w:t>
      </w:r>
      <w:r w:rsidRPr="00410890">
        <w:rPr>
          <w:rFonts w:ascii="Times New Roman" w:hAnsi="Times New Roman" w:cs="Times New Roman"/>
          <w:noProof/>
          <w:szCs w:val="20"/>
        </w:rPr>
        <w:t xml:space="preserve"> Distribution of recombination fragment sizes in the four recombining STs (STs 1, 23, 37 and 62). </w:t>
      </w:r>
      <w:r w:rsidRPr="00410890">
        <w:rPr>
          <w:rFonts w:ascii="Times New Roman" w:hAnsi="Times New Roman" w:cs="Times New Roman"/>
          <w:szCs w:val="20"/>
        </w:rPr>
        <w:t>The majority of recombination fragments are small (&lt;10,000bp) although the largest predicted fragment is &gt;129,000bp.</w:t>
      </w:r>
    </w:p>
    <w:p w14:paraId="319838EE" w14:textId="77777777" w:rsidR="00355079" w:rsidRDefault="00355079" w:rsidP="00410890">
      <w:pPr>
        <w:jc w:val="both"/>
        <w:rPr>
          <w:rFonts w:ascii="Times New Roman" w:hAnsi="Times New Roman" w:cs="Times New Roman"/>
          <w:b/>
          <w:noProof/>
          <w:szCs w:val="20"/>
        </w:rPr>
      </w:pPr>
    </w:p>
    <w:p w14:paraId="21F68248" w14:textId="77777777" w:rsidR="00410890" w:rsidRPr="00410890" w:rsidRDefault="00410890" w:rsidP="00410890">
      <w:pPr>
        <w:jc w:val="both"/>
        <w:rPr>
          <w:rFonts w:ascii="Times New Roman" w:hAnsi="Times New Roman" w:cs="Times New Roman"/>
          <w:szCs w:val="20"/>
        </w:rPr>
      </w:pPr>
      <w:r w:rsidRPr="00410890">
        <w:rPr>
          <w:rFonts w:ascii="Times New Roman" w:hAnsi="Times New Roman" w:cs="Times New Roman"/>
          <w:b/>
          <w:noProof/>
          <w:szCs w:val="20"/>
        </w:rPr>
        <w:t>Figure S2.</w:t>
      </w:r>
      <w:r w:rsidRPr="00410890">
        <w:rPr>
          <w:rFonts w:ascii="Times New Roman" w:hAnsi="Times New Roman" w:cs="Times New Roman"/>
          <w:noProof/>
          <w:szCs w:val="20"/>
        </w:rPr>
        <w:t xml:space="preserve"> Correlation of root-to-tip branch lengths with isolation dates for the five disease-associated STs as calculated by Path-O-Gen. </w:t>
      </w:r>
      <w:r w:rsidRPr="00410890">
        <w:rPr>
          <w:rFonts w:ascii="Times New Roman" w:hAnsi="Times New Roman" w:cs="Times New Roman"/>
          <w:szCs w:val="20"/>
        </w:rPr>
        <w:t>The correlation between root-to-tip distances and sampling time is weak in all lineages, with the exception of the ST37 lineage that possesses a slightly stronger correlation.</w:t>
      </w:r>
    </w:p>
    <w:p w14:paraId="37CCD8A1" w14:textId="77777777" w:rsidR="00355079" w:rsidRDefault="00355079" w:rsidP="00410890">
      <w:pPr>
        <w:jc w:val="both"/>
        <w:rPr>
          <w:rFonts w:ascii="Times New Roman" w:hAnsi="Times New Roman" w:cs="Times New Roman"/>
          <w:b/>
          <w:noProof/>
          <w:szCs w:val="20"/>
        </w:rPr>
      </w:pPr>
    </w:p>
    <w:p w14:paraId="08F0B84F" w14:textId="77777777" w:rsidR="00410890" w:rsidRPr="00410890" w:rsidRDefault="00410890" w:rsidP="00410890">
      <w:pPr>
        <w:jc w:val="both"/>
        <w:rPr>
          <w:rFonts w:ascii="Times New Roman" w:hAnsi="Times New Roman" w:cs="Times New Roman"/>
          <w:szCs w:val="20"/>
        </w:rPr>
      </w:pPr>
      <w:r w:rsidRPr="00410890">
        <w:rPr>
          <w:rFonts w:ascii="Times New Roman" w:hAnsi="Times New Roman" w:cs="Times New Roman"/>
          <w:b/>
          <w:noProof/>
          <w:szCs w:val="20"/>
        </w:rPr>
        <w:t>Figure S3.</w:t>
      </w:r>
      <w:r w:rsidRPr="00410890">
        <w:rPr>
          <w:rFonts w:ascii="Times New Roman" w:hAnsi="Times New Roman" w:cs="Times New Roman"/>
          <w:noProof/>
          <w:szCs w:val="20"/>
        </w:rPr>
        <w:t xml:space="preserve"> Midpoint rooted maximum likelihood tree of 71 ST1 and ST1-derived isolates showing bootstrap values calculated from 1000 resamples. </w:t>
      </w:r>
      <w:r w:rsidRPr="00410890">
        <w:rPr>
          <w:rFonts w:ascii="Times New Roman" w:hAnsi="Times New Roman" w:cs="Times New Roman"/>
          <w:szCs w:val="20"/>
        </w:rPr>
        <w:t>The scale indicates the number of SNPs that have occurred for a given branch length.</w:t>
      </w:r>
    </w:p>
    <w:p w14:paraId="489F6DFB" w14:textId="77777777" w:rsidR="00355079" w:rsidRDefault="00355079" w:rsidP="00410890">
      <w:pPr>
        <w:jc w:val="both"/>
        <w:rPr>
          <w:rFonts w:ascii="Times New Roman" w:hAnsi="Times New Roman" w:cs="Times New Roman"/>
          <w:b/>
          <w:noProof/>
          <w:szCs w:val="20"/>
        </w:rPr>
      </w:pPr>
    </w:p>
    <w:p w14:paraId="15DB725D" w14:textId="77777777" w:rsidR="00410890" w:rsidRPr="00410890" w:rsidRDefault="00410890" w:rsidP="00410890">
      <w:pPr>
        <w:jc w:val="both"/>
        <w:rPr>
          <w:rFonts w:ascii="Times New Roman" w:hAnsi="Times New Roman" w:cs="Times New Roman"/>
          <w:szCs w:val="20"/>
        </w:rPr>
      </w:pPr>
      <w:r w:rsidRPr="00410890">
        <w:rPr>
          <w:rFonts w:ascii="Times New Roman" w:hAnsi="Times New Roman" w:cs="Times New Roman"/>
          <w:b/>
          <w:noProof/>
          <w:szCs w:val="20"/>
        </w:rPr>
        <w:t>Figure S4.</w:t>
      </w:r>
      <w:r w:rsidRPr="00410890">
        <w:rPr>
          <w:rFonts w:ascii="Times New Roman" w:hAnsi="Times New Roman" w:cs="Times New Roman"/>
          <w:noProof/>
          <w:szCs w:val="20"/>
        </w:rPr>
        <w:t xml:space="preserve"> Midpoint rooted maximum likelihood tree of 122 ST47 isolates showing bootstrap values calculated from 1000 resamples. </w:t>
      </w:r>
      <w:r w:rsidRPr="00410890">
        <w:rPr>
          <w:rFonts w:ascii="Times New Roman" w:hAnsi="Times New Roman" w:cs="Times New Roman"/>
          <w:szCs w:val="20"/>
        </w:rPr>
        <w:t>The scale indicates the number of SNPs that have occurred for a given branch length.</w:t>
      </w:r>
    </w:p>
    <w:p w14:paraId="274B19B1" w14:textId="77777777" w:rsidR="00355079" w:rsidRDefault="00355079" w:rsidP="0052053E">
      <w:pPr>
        <w:jc w:val="both"/>
        <w:rPr>
          <w:rFonts w:ascii="Times New Roman" w:hAnsi="Times New Roman" w:cs="Times New Roman"/>
          <w:b/>
          <w:noProof/>
          <w:szCs w:val="20"/>
        </w:rPr>
      </w:pPr>
    </w:p>
    <w:p w14:paraId="228C3397" w14:textId="53BBD483" w:rsidR="00410890" w:rsidRPr="00410890" w:rsidRDefault="00410890" w:rsidP="0052053E">
      <w:pPr>
        <w:jc w:val="both"/>
        <w:rPr>
          <w:rFonts w:ascii="Times New Roman" w:hAnsi="Times New Roman" w:cs="Times New Roman"/>
          <w:szCs w:val="20"/>
        </w:rPr>
      </w:pPr>
      <w:r w:rsidRPr="00410890">
        <w:rPr>
          <w:rFonts w:ascii="Times New Roman" w:hAnsi="Times New Roman" w:cs="Times New Roman"/>
          <w:b/>
          <w:noProof/>
          <w:szCs w:val="20"/>
        </w:rPr>
        <w:t>Figure S5.</w:t>
      </w:r>
      <w:r w:rsidRPr="00410890">
        <w:rPr>
          <w:rFonts w:ascii="Times New Roman" w:hAnsi="Times New Roman" w:cs="Times New Roman"/>
          <w:noProof/>
          <w:szCs w:val="20"/>
        </w:rPr>
        <w:t xml:space="preserve"> Unrooted (A) and midpoint rooted (B) maximum likelihood trees of 37 ST23 isolates, with the latter showing bootstrap values calculated from 1000 resamples. </w:t>
      </w:r>
      <w:r w:rsidRPr="00410890">
        <w:rPr>
          <w:rFonts w:ascii="Times New Roman" w:hAnsi="Times New Roman" w:cs="Times New Roman"/>
          <w:szCs w:val="20"/>
        </w:rPr>
        <w:t xml:space="preserve">In (A), </w:t>
      </w:r>
      <w:proofErr w:type="spellStart"/>
      <w:r w:rsidRPr="00410890">
        <w:rPr>
          <w:rFonts w:ascii="Times New Roman" w:hAnsi="Times New Roman" w:cs="Times New Roman"/>
          <w:szCs w:val="20"/>
        </w:rPr>
        <w:t>i</w:t>
      </w:r>
      <w:r w:rsidRPr="00410890">
        <w:rPr>
          <w:rFonts w:ascii="Times New Roman" w:hAnsi="Times New Roman" w:cs="Times New Roman"/>
          <w:szCs w:val="20"/>
          <w:lang w:val="en-US"/>
        </w:rPr>
        <w:t>solates</w:t>
      </w:r>
      <w:proofErr w:type="spellEnd"/>
      <w:r w:rsidRPr="00410890">
        <w:rPr>
          <w:rFonts w:ascii="Times New Roman" w:hAnsi="Times New Roman" w:cs="Times New Roman"/>
          <w:szCs w:val="20"/>
          <w:lang w:val="en-US"/>
        </w:rPr>
        <w:t xml:space="preserve"> are colored according to the country of isolation and branches are similarly colored to indicate the origin of descendant nodes. Epidemiologically related isolates are indicated by </w:t>
      </w:r>
      <w:r w:rsidRPr="00410890">
        <w:rPr>
          <w:rFonts w:ascii="Times New Roman" w:hAnsi="Times New Roman" w:cs="Times New Roman"/>
          <w:szCs w:val="20"/>
          <w:lang w:val="en-US"/>
        </w:rPr>
        <w:lastRenderedPageBreak/>
        <w:t>blue superscripted letters (</w:t>
      </w:r>
      <w:proofErr w:type="spellStart"/>
      <w:r w:rsidRPr="00410890">
        <w:rPr>
          <w:rFonts w:ascii="Times New Roman" w:hAnsi="Times New Roman" w:cs="Times New Roman"/>
          <w:szCs w:val="20"/>
          <w:lang w:val="en-US"/>
        </w:rPr>
        <w:t>a</w:t>
      </w:r>
      <w:proofErr w:type="gramStart"/>
      <w:r w:rsidRPr="00410890">
        <w:rPr>
          <w:rFonts w:ascii="Times New Roman" w:hAnsi="Times New Roman" w:cs="Times New Roman"/>
          <w:szCs w:val="20"/>
          <w:lang w:val="en-US"/>
        </w:rPr>
        <w:t>,b</w:t>
      </w:r>
      <w:proofErr w:type="spellEnd"/>
      <w:proofErr w:type="gramEnd"/>
      <w:r w:rsidRPr="00410890">
        <w:rPr>
          <w:rFonts w:ascii="Times New Roman" w:hAnsi="Times New Roman" w:cs="Times New Roman"/>
          <w:szCs w:val="20"/>
          <w:lang w:val="en-US"/>
        </w:rPr>
        <w:t xml:space="preserve">). In both, </w:t>
      </w:r>
      <w:r w:rsidRPr="00410890">
        <w:rPr>
          <w:rFonts w:ascii="Times New Roman" w:hAnsi="Times New Roman" w:cs="Times New Roman"/>
          <w:szCs w:val="20"/>
        </w:rPr>
        <w:t>the scales indicate the number of SNPs that have occurred for a given branch length.</w:t>
      </w:r>
    </w:p>
    <w:p w14:paraId="0725572C" w14:textId="77777777" w:rsidR="00355079" w:rsidRDefault="00355079" w:rsidP="00410890">
      <w:pPr>
        <w:jc w:val="both"/>
        <w:rPr>
          <w:rFonts w:ascii="Times New Roman" w:hAnsi="Times New Roman" w:cs="Times New Roman"/>
          <w:b/>
          <w:noProof/>
          <w:szCs w:val="20"/>
        </w:rPr>
      </w:pPr>
    </w:p>
    <w:p w14:paraId="77A3FA46" w14:textId="77777777" w:rsidR="00410890" w:rsidRPr="00410890" w:rsidRDefault="00410890" w:rsidP="00410890">
      <w:pPr>
        <w:jc w:val="both"/>
        <w:rPr>
          <w:rFonts w:ascii="Times New Roman" w:hAnsi="Times New Roman" w:cs="Times New Roman"/>
          <w:szCs w:val="20"/>
        </w:rPr>
      </w:pPr>
      <w:r w:rsidRPr="00410890">
        <w:rPr>
          <w:rFonts w:ascii="Times New Roman" w:hAnsi="Times New Roman" w:cs="Times New Roman"/>
          <w:b/>
          <w:noProof/>
          <w:szCs w:val="20"/>
        </w:rPr>
        <w:t>Figure S6.</w:t>
      </w:r>
      <w:r w:rsidRPr="00410890">
        <w:rPr>
          <w:rFonts w:ascii="Times New Roman" w:hAnsi="Times New Roman" w:cs="Times New Roman"/>
          <w:noProof/>
          <w:szCs w:val="20"/>
        </w:rPr>
        <w:t xml:space="preserve"> Unrooted (A) and midpoint rooted (B) maximum likelihood trees of 72 ST37 isolates (and Philadelphia, an ST36), with the latter showing bootstrap values calculated from 1000 resamples. </w:t>
      </w:r>
      <w:r w:rsidRPr="00410890">
        <w:rPr>
          <w:rFonts w:ascii="Times New Roman" w:hAnsi="Times New Roman" w:cs="Times New Roman"/>
          <w:szCs w:val="20"/>
        </w:rPr>
        <w:t xml:space="preserve">In (A), </w:t>
      </w:r>
      <w:proofErr w:type="spellStart"/>
      <w:r w:rsidRPr="00410890">
        <w:rPr>
          <w:rFonts w:ascii="Times New Roman" w:hAnsi="Times New Roman" w:cs="Times New Roman"/>
          <w:szCs w:val="20"/>
        </w:rPr>
        <w:t>i</w:t>
      </w:r>
      <w:r w:rsidRPr="00410890">
        <w:rPr>
          <w:rFonts w:ascii="Times New Roman" w:hAnsi="Times New Roman" w:cs="Times New Roman"/>
          <w:szCs w:val="20"/>
          <w:lang w:val="en-US"/>
        </w:rPr>
        <w:t>solates</w:t>
      </w:r>
      <w:proofErr w:type="spellEnd"/>
      <w:r w:rsidRPr="00410890">
        <w:rPr>
          <w:rFonts w:ascii="Times New Roman" w:hAnsi="Times New Roman" w:cs="Times New Roman"/>
          <w:szCs w:val="20"/>
          <w:lang w:val="en-US"/>
        </w:rPr>
        <w:t xml:space="preserve"> are colored according to the country of isolation and branches are similarly colored to indicate the origin of descendant nodes. </w:t>
      </w:r>
      <w:proofErr w:type="gramStart"/>
      <w:r w:rsidRPr="00410890">
        <w:rPr>
          <w:rFonts w:ascii="Times New Roman" w:hAnsi="Times New Roman" w:cs="Times New Roman"/>
          <w:szCs w:val="20"/>
          <w:lang w:val="en-US"/>
        </w:rPr>
        <w:t>Epidemiologically related isolates are indicated by blue superscripted letters</w:t>
      </w:r>
      <w:proofErr w:type="gramEnd"/>
      <w:r w:rsidRPr="00410890">
        <w:rPr>
          <w:rFonts w:ascii="Times New Roman" w:hAnsi="Times New Roman" w:cs="Times New Roman"/>
          <w:szCs w:val="20"/>
          <w:lang w:val="en-US"/>
        </w:rPr>
        <w:t xml:space="preserve"> (a-</w:t>
      </w:r>
      <w:proofErr w:type="spellStart"/>
      <w:r w:rsidRPr="00410890">
        <w:rPr>
          <w:rFonts w:ascii="Times New Roman" w:hAnsi="Times New Roman" w:cs="Times New Roman"/>
          <w:szCs w:val="20"/>
          <w:lang w:val="en-US"/>
        </w:rPr>
        <w:t>i</w:t>
      </w:r>
      <w:proofErr w:type="spellEnd"/>
      <w:r w:rsidRPr="00410890">
        <w:rPr>
          <w:rFonts w:ascii="Times New Roman" w:hAnsi="Times New Roman" w:cs="Times New Roman"/>
          <w:szCs w:val="20"/>
          <w:lang w:val="en-US"/>
        </w:rPr>
        <w:t xml:space="preserve">). In both, </w:t>
      </w:r>
      <w:r w:rsidRPr="00410890">
        <w:rPr>
          <w:rFonts w:ascii="Times New Roman" w:hAnsi="Times New Roman" w:cs="Times New Roman"/>
          <w:szCs w:val="20"/>
        </w:rPr>
        <w:t>the scales indicate the number of SNPs that have occurred for a given branch length.</w:t>
      </w:r>
    </w:p>
    <w:p w14:paraId="3E8DEB7B" w14:textId="77777777" w:rsidR="00355079" w:rsidRDefault="00355079" w:rsidP="00410890">
      <w:pPr>
        <w:jc w:val="both"/>
        <w:rPr>
          <w:rFonts w:ascii="Times New Roman" w:hAnsi="Times New Roman" w:cs="Times New Roman"/>
          <w:b/>
          <w:noProof/>
          <w:szCs w:val="20"/>
        </w:rPr>
      </w:pPr>
    </w:p>
    <w:p w14:paraId="68C54823" w14:textId="77777777" w:rsidR="00410890" w:rsidRPr="00410890" w:rsidRDefault="00410890" w:rsidP="00410890">
      <w:pPr>
        <w:jc w:val="both"/>
        <w:rPr>
          <w:rFonts w:ascii="Times New Roman" w:hAnsi="Times New Roman" w:cs="Times New Roman"/>
          <w:szCs w:val="20"/>
        </w:rPr>
      </w:pPr>
      <w:r w:rsidRPr="00410890">
        <w:rPr>
          <w:rFonts w:ascii="Times New Roman" w:hAnsi="Times New Roman" w:cs="Times New Roman"/>
          <w:b/>
          <w:noProof/>
          <w:szCs w:val="20"/>
        </w:rPr>
        <w:t>Figure S7.</w:t>
      </w:r>
      <w:r w:rsidRPr="00410890">
        <w:rPr>
          <w:rFonts w:ascii="Times New Roman" w:hAnsi="Times New Roman" w:cs="Times New Roman"/>
          <w:noProof/>
          <w:szCs w:val="20"/>
        </w:rPr>
        <w:t xml:space="preserve"> Unrooted (A) and midpoint rooted (B) maximum likelihood trees of 35 ST62 isolates, with the latter showing bootstrap values calculated from 1000 resamples. </w:t>
      </w:r>
      <w:r w:rsidRPr="00410890">
        <w:rPr>
          <w:rFonts w:ascii="Times New Roman" w:hAnsi="Times New Roman" w:cs="Times New Roman"/>
          <w:szCs w:val="20"/>
        </w:rPr>
        <w:t xml:space="preserve">In (A), </w:t>
      </w:r>
      <w:proofErr w:type="spellStart"/>
      <w:r w:rsidRPr="00410890">
        <w:rPr>
          <w:rFonts w:ascii="Times New Roman" w:hAnsi="Times New Roman" w:cs="Times New Roman"/>
          <w:szCs w:val="20"/>
        </w:rPr>
        <w:t>i</w:t>
      </w:r>
      <w:r w:rsidRPr="00410890">
        <w:rPr>
          <w:rFonts w:ascii="Times New Roman" w:hAnsi="Times New Roman" w:cs="Times New Roman"/>
          <w:szCs w:val="20"/>
          <w:lang w:val="en-US"/>
        </w:rPr>
        <w:t>solates</w:t>
      </w:r>
      <w:proofErr w:type="spellEnd"/>
      <w:r w:rsidRPr="00410890">
        <w:rPr>
          <w:rFonts w:ascii="Times New Roman" w:hAnsi="Times New Roman" w:cs="Times New Roman"/>
          <w:szCs w:val="20"/>
          <w:lang w:val="en-US"/>
        </w:rPr>
        <w:t xml:space="preserve"> are colored according to the country of isolation and branches are similarly colored to indicate the origin of descendant nodes. </w:t>
      </w:r>
      <w:proofErr w:type="gramStart"/>
      <w:r w:rsidRPr="00410890">
        <w:rPr>
          <w:rFonts w:ascii="Times New Roman" w:hAnsi="Times New Roman" w:cs="Times New Roman"/>
          <w:szCs w:val="20"/>
          <w:lang w:val="en-US"/>
        </w:rPr>
        <w:t>Epidemiologically related isolates are indicated by blue superscripted letters</w:t>
      </w:r>
      <w:proofErr w:type="gramEnd"/>
      <w:r w:rsidRPr="00410890">
        <w:rPr>
          <w:rFonts w:ascii="Times New Roman" w:hAnsi="Times New Roman" w:cs="Times New Roman"/>
          <w:szCs w:val="20"/>
          <w:lang w:val="en-US"/>
        </w:rPr>
        <w:t xml:space="preserve"> (a-c). In both, </w:t>
      </w:r>
      <w:r w:rsidRPr="00410890">
        <w:rPr>
          <w:rFonts w:ascii="Times New Roman" w:hAnsi="Times New Roman" w:cs="Times New Roman"/>
          <w:szCs w:val="20"/>
        </w:rPr>
        <w:t>the scales indicate the number of SNPs that have occurred for a given branch length.</w:t>
      </w:r>
    </w:p>
    <w:p w14:paraId="658FA5DF" w14:textId="77777777" w:rsidR="00355079" w:rsidRDefault="00355079" w:rsidP="00410890">
      <w:pPr>
        <w:jc w:val="both"/>
        <w:rPr>
          <w:rFonts w:ascii="Times New Roman" w:hAnsi="Times New Roman" w:cs="Times New Roman"/>
          <w:b/>
          <w:noProof/>
          <w:szCs w:val="20"/>
        </w:rPr>
      </w:pPr>
    </w:p>
    <w:p w14:paraId="736D5887" w14:textId="77777777" w:rsidR="00410890" w:rsidRPr="00410890" w:rsidRDefault="00410890" w:rsidP="00410890">
      <w:pPr>
        <w:jc w:val="both"/>
        <w:rPr>
          <w:rFonts w:ascii="Times New Roman" w:hAnsi="Times New Roman" w:cs="Times New Roman"/>
          <w:szCs w:val="20"/>
          <w:lang w:val="en-US"/>
        </w:rPr>
      </w:pPr>
      <w:r w:rsidRPr="00410890">
        <w:rPr>
          <w:rFonts w:ascii="Times New Roman" w:hAnsi="Times New Roman" w:cs="Times New Roman"/>
          <w:b/>
          <w:noProof/>
          <w:szCs w:val="20"/>
        </w:rPr>
        <w:t>Figure S8.</w:t>
      </w:r>
      <w:r w:rsidRPr="00410890">
        <w:rPr>
          <w:rFonts w:ascii="Times New Roman" w:hAnsi="Times New Roman" w:cs="Times New Roman"/>
          <w:noProof/>
          <w:szCs w:val="20"/>
        </w:rPr>
        <w:t xml:space="preserve"> The distribution of single-nucleotide polymorphisms (SNPs) along the genome between selected pairs of isolates representative of the five major disease-associated STs. </w:t>
      </w:r>
      <w:r w:rsidRPr="00410890">
        <w:rPr>
          <w:rFonts w:ascii="Times New Roman" w:hAnsi="Times New Roman" w:cs="Times New Roman"/>
          <w:szCs w:val="20"/>
          <w:lang w:val="en-US"/>
        </w:rPr>
        <w:t>The number of SNPs (y axis) is plotted according to the position of the corresponding 1000bp fragment on the chromosome of the respective strain (x axis). The yellow shaded boxes indicate the chromosomal region identified among the five major disease-associated STs that has significantly higher similarity than the rest of the chromosome.</w:t>
      </w:r>
    </w:p>
    <w:p w14:paraId="52DB5432" w14:textId="77777777" w:rsidR="00355079" w:rsidRDefault="00355079" w:rsidP="00410890">
      <w:pPr>
        <w:jc w:val="both"/>
        <w:rPr>
          <w:rFonts w:ascii="Times New Roman" w:hAnsi="Times New Roman" w:cs="Times New Roman"/>
          <w:b/>
          <w:noProof/>
          <w:szCs w:val="20"/>
        </w:rPr>
      </w:pPr>
    </w:p>
    <w:p w14:paraId="44EA2FE0" w14:textId="77777777" w:rsidR="00410890" w:rsidRPr="00410890" w:rsidRDefault="00410890" w:rsidP="00410890">
      <w:pPr>
        <w:jc w:val="both"/>
        <w:rPr>
          <w:rFonts w:ascii="Times New Roman" w:hAnsi="Times New Roman" w:cs="Times New Roman"/>
          <w:szCs w:val="20"/>
        </w:rPr>
      </w:pPr>
      <w:bookmarkStart w:id="0" w:name="_GoBack"/>
      <w:bookmarkEnd w:id="0"/>
      <w:r w:rsidRPr="00410890">
        <w:rPr>
          <w:rFonts w:ascii="Times New Roman" w:hAnsi="Times New Roman" w:cs="Times New Roman"/>
          <w:b/>
          <w:noProof/>
          <w:szCs w:val="20"/>
        </w:rPr>
        <w:t>Figure S9.</w:t>
      </w:r>
      <w:r w:rsidRPr="00410890">
        <w:rPr>
          <w:rFonts w:ascii="Times New Roman" w:hAnsi="Times New Roman" w:cs="Times New Roman"/>
          <w:noProof/>
          <w:szCs w:val="20"/>
        </w:rPr>
        <w:t xml:space="preserve"> Tanglegrams with maximum likelihood trees of 32 representative STs. </w:t>
      </w:r>
      <w:r w:rsidRPr="00410890">
        <w:rPr>
          <w:rFonts w:ascii="Times New Roman" w:hAnsi="Times New Roman" w:cs="Times New Roman"/>
          <w:szCs w:val="20"/>
        </w:rPr>
        <w:t>The trees were</w:t>
      </w:r>
      <w:r w:rsidRPr="00410890">
        <w:rPr>
          <w:rFonts w:ascii="Times New Roman" w:hAnsi="Times New Roman" w:cs="Times New Roman"/>
          <w:b/>
          <w:szCs w:val="20"/>
        </w:rPr>
        <w:t xml:space="preserve"> </w:t>
      </w:r>
      <w:r w:rsidRPr="00410890">
        <w:rPr>
          <w:rFonts w:ascii="Times New Roman" w:hAnsi="Times New Roman" w:cs="Times New Roman"/>
          <w:szCs w:val="20"/>
        </w:rPr>
        <w:t>constructed using the whole genome alignment on the left, and individual gene alignments on the right (LPC_0588 (A) and LPC_0671 (B)). The five disease-associated STs are connected with red lines. The scales represent the number of SNPs per site in each alignment.</w:t>
      </w:r>
    </w:p>
    <w:p w14:paraId="673B6F87" w14:textId="77777777" w:rsidR="00410890" w:rsidRDefault="00410890">
      <w:pPr>
        <w:rPr>
          <w:rFonts w:ascii="Times New Roman" w:hAnsi="Times New Roman" w:cs="Times New Roman"/>
          <w:noProof/>
        </w:rPr>
      </w:pPr>
    </w:p>
    <w:p w14:paraId="6E326EFF" w14:textId="77777777" w:rsidR="0010168E" w:rsidRPr="00410890" w:rsidRDefault="0010168E">
      <w:pPr>
        <w:rPr>
          <w:rFonts w:ascii="Times New Roman" w:hAnsi="Times New Roman" w:cs="Times New Roman"/>
          <w:noProof/>
        </w:rPr>
      </w:pPr>
    </w:p>
    <w:p w14:paraId="1FD92E7D" w14:textId="77777777" w:rsidR="00410890" w:rsidRPr="00410890" w:rsidRDefault="00410890">
      <w:pPr>
        <w:rPr>
          <w:rFonts w:ascii="Times New Roman" w:hAnsi="Times New Roman" w:cs="Times New Roman"/>
          <w:b/>
        </w:rPr>
      </w:pPr>
      <w:r w:rsidRPr="00410890">
        <w:rPr>
          <w:rFonts w:ascii="Times New Roman" w:hAnsi="Times New Roman" w:cs="Times New Roman"/>
          <w:b/>
        </w:rPr>
        <w:t>Supplemental Tables</w:t>
      </w:r>
    </w:p>
    <w:p w14:paraId="69D94301" w14:textId="77777777" w:rsidR="00410890" w:rsidRPr="00410890" w:rsidRDefault="00410890">
      <w:pPr>
        <w:rPr>
          <w:rFonts w:ascii="Times New Roman" w:hAnsi="Times New Roman" w:cs="Times New Roman"/>
          <w:b/>
        </w:rPr>
      </w:pPr>
    </w:p>
    <w:p w14:paraId="4EEC7626" w14:textId="77777777" w:rsidR="00410890" w:rsidRPr="00410890" w:rsidRDefault="00410890">
      <w:pPr>
        <w:rPr>
          <w:rFonts w:ascii="Times New Roman" w:hAnsi="Times New Roman" w:cs="Times New Roman"/>
          <w:noProof/>
        </w:rPr>
      </w:pPr>
      <w:r w:rsidRPr="00410890">
        <w:rPr>
          <w:rFonts w:ascii="Times New Roman" w:hAnsi="Times New Roman" w:cs="Times New Roman"/>
          <w:b/>
          <w:noProof/>
        </w:rPr>
        <w:t>Table S1.</w:t>
      </w:r>
      <w:r w:rsidRPr="00410890">
        <w:rPr>
          <w:rFonts w:ascii="Times New Roman" w:hAnsi="Times New Roman" w:cs="Times New Roman"/>
          <w:noProof/>
        </w:rPr>
        <w:t xml:space="preserve"> Whole genome sequenced, previously published </w:t>
      </w:r>
      <w:r w:rsidRPr="00410890">
        <w:rPr>
          <w:rFonts w:ascii="Times New Roman" w:hAnsi="Times New Roman" w:cs="Times New Roman"/>
          <w:i/>
          <w:noProof/>
        </w:rPr>
        <w:t>L. pneumophila</w:t>
      </w:r>
      <w:r w:rsidRPr="00410890">
        <w:rPr>
          <w:rFonts w:ascii="Times New Roman" w:hAnsi="Times New Roman" w:cs="Times New Roman"/>
          <w:noProof/>
        </w:rPr>
        <w:t xml:space="preserve"> isolates that represent the known species diversity.</w:t>
      </w:r>
    </w:p>
    <w:p w14:paraId="607D6226" w14:textId="77777777" w:rsidR="00410890" w:rsidRPr="00410890" w:rsidRDefault="00410890">
      <w:pPr>
        <w:rPr>
          <w:rFonts w:ascii="Times New Roman" w:hAnsi="Times New Roman" w:cs="Times New Roman"/>
        </w:rPr>
      </w:pPr>
      <w:r w:rsidRPr="00410890">
        <w:rPr>
          <w:rFonts w:ascii="Times New Roman" w:hAnsi="Times New Roman" w:cs="Times New Roman"/>
          <w:b/>
          <w:noProof/>
        </w:rPr>
        <w:t>Table S2.</w:t>
      </w:r>
      <w:r w:rsidRPr="00410890">
        <w:rPr>
          <w:rFonts w:ascii="Times New Roman" w:hAnsi="Times New Roman" w:cs="Times New Roman"/>
          <w:noProof/>
        </w:rPr>
        <w:t xml:space="preserve"> </w:t>
      </w:r>
      <w:r w:rsidRPr="00410890">
        <w:rPr>
          <w:rFonts w:ascii="Times New Roman" w:hAnsi="Times New Roman" w:cs="Times New Roman"/>
          <w:i/>
          <w:noProof/>
        </w:rPr>
        <w:t>L. pneumophila</w:t>
      </w:r>
      <w:r w:rsidRPr="00410890">
        <w:rPr>
          <w:rFonts w:ascii="Times New Roman" w:hAnsi="Times New Roman" w:cs="Times New Roman"/>
          <w:noProof/>
        </w:rPr>
        <w:t xml:space="preserve"> isolates belonging to the five major disease-associated STs (ST1, ST23, ST37, ST47, ST62), and additional, closely related isolates (ST18, ST146) used as outgroups. </w:t>
      </w:r>
      <w:r w:rsidRPr="00410890">
        <w:rPr>
          <w:rFonts w:ascii="Times New Roman" w:hAnsi="Times New Roman" w:cs="Times New Roman"/>
        </w:rPr>
        <w:t>329 of these are newly sequenced for this study and three have been previously published.</w:t>
      </w:r>
    </w:p>
    <w:p w14:paraId="452B3D8C" w14:textId="77777777" w:rsidR="00410890" w:rsidRPr="00410890" w:rsidRDefault="00410890">
      <w:pPr>
        <w:rPr>
          <w:rFonts w:ascii="Times New Roman" w:hAnsi="Times New Roman" w:cs="Times New Roman"/>
          <w:noProof/>
        </w:rPr>
      </w:pPr>
      <w:r w:rsidRPr="00410890">
        <w:rPr>
          <w:rFonts w:ascii="Times New Roman" w:hAnsi="Times New Roman" w:cs="Times New Roman"/>
          <w:b/>
          <w:noProof/>
        </w:rPr>
        <w:t>Table S3.</w:t>
      </w:r>
      <w:r w:rsidRPr="00410890">
        <w:rPr>
          <w:rFonts w:ascii="Times New Roman" w:hAnsi="Times New Roman" w:cs="Times New Roman"/>
          <w:noProof/>
        </w:rPr>
        <w:t xml:space="preserve"> The reference genomes used and the number of SNPs identified within each of the five disease-associated lineages before recombination is removed.</w:t>
      </w:r>
    </w:p>
    <w:p w14:paraId="26E4F35C" w14:textId="77777777" w:rsidR="00410890" w:rsidRPr="00410890" w:rsidRDefault="00410890">
      <w:pPr>
        <w:rPr>
          <w:rFonts w:ascii="Times New Roman" w:hAnsi="Times New Roman" w:cs="Times New Roman"/>
          <w:noProof/>
          <w:lang w:val="en-US"/>
        </w:rPr>
      </w:pPr>
      <w:r w:rsidRPr="00410890">
        <w:rPr>
          <w:rFonts w:ascii="Times New Roman" w:hAnsi="Times New Roman" w:cs="Times New Roman"/>
          <w:b/>
          <w:noProof/>
          <w:lang w:val="en-US"/>
        </w:rPr>
        <w:t>Table S4.</w:t>
      </w:r>
      <w:r w:rsidRPr="00410890">
        <w:rPr>
          <w:rFonts w:ascii="Times New Roman" w:hAnsi="Times New Roman" w:cs="Times New Roman"/>
          <w:noProof/>
          <w:lang w:val="en-US"/>
        </w:rPr>
        <w:t xml:space="preserve"> Recombined regions in STs 1, 23, 37 and 62.</w:t>
      </w:r>
    </w:p>
    <w:p w14:paraId="3858DF8C" w14:textId="77777777" w:rsidR="00410890" w:rsidRPr="00410890" w:rsidRDefault="00410890">
      <w:pPr>
        <w:rPr>
          <w:rFonts w:ascii="Times New Roman" w:hAnsi="Times New Roman" w:cs="Times New Roman"/>
          <w:noProof/>
          <w:lang w:val="en-US"/>
        </w:rPr>
      </w:pPr>
      <w:r w:rsidRPr="00410890">
        <w:rPr>
          <w:rFonts w:ascii="Times New Roman" w:hAnsi="Times New Roman" w:cs="Times New Roman"/>
          <w:b/>
          <w:noProof/>
          <w:lang w:val="en-US"/>
        </w:rPr>
        <w:t>Table S5.</w:t>
      </w:r>
      <w:r w:rsidRPr="00410890">
        <w:rPr>
          <w:rFonts w:ascii="Times New Roman" w:hAnsi="Times New Roman" w:cs="Times New Roman"/>
          <w:noProof/>
          <w:lang w:val="en-US"/>
        </w:rPr>
        <w:t xml:space="preserve"> Highlighted recombined regions in the SynTView representation of the ST1 lineage.</w:t>
      </w:r>
    </w:p>
    <w:p w14:paraId="4484D081" w14:textId="77777777" w:rsidR="00410890" w:rsidRPr="00410890" w:rsidRDefault="00410890">
      <w:pPr>
        <w:rPr>
          <w:rFonts w:ascii="Times New Roman" w:hAnsi="Times New Roman" w:cs="Times New Roman"/>
          <w:noProof/>
          <w:lang w:val="en-US"/>
        </w:rPr>
      </w:pPr>
      <w:r w:rsidRPr="00410890">
        <w:rPr>
          <w:rFonts w:ascii="Times New Roman" w:hAnsi="Times New Roman" w:cs="Times New Roman"/>
          <w:b/>
          <w:noProof/>
          <w:lang w:val="en-US"/>
        </w:rPr>
        <w:t>Table S6.</w:t>
      </w:r>
      <w:r w:rsidRPr="00410890">
        <w:rPr>
          <w:rFonts w:ascii="Times New Roman" w:hAnsi="Times New Roman" w:cs="Times New Roman"/>
          <w:noProof/>
          <w:lang w:val="en-US"/>
        </w:rPr>
        <w:t xml:space="preserve"> Highlighted recombined regions in the SynTView representation of the ST23 lineage.</w:t>
      </w:r>
    </w:p>
    <w:p w14:paraId="363FCC1E" w14:textId="77777777" w:rsidR="00410890" w:rsidRPr="00410890" w:rsidRDefault="00410890">
      <w:pPr>
        <w:rPr>
          <w:rFonts w:ascii="Times New Roman" w:hAnsi="Times New Roman" w:cs="Times New Roman"/>
          <w:noProof/>
          <w:lang w:val="en-US"/>
        </w:rPr>
      </w:pPr>
      <w:r w:rsidRPr="00410890">
        <w:rPr>
          <w:rFonts w:ascii="Times New Roman" w:hAnsi="Times New Roman" w:cs="Times New Roman"/>
          <w:b/>
          <w:noProof/>
          <w:lang w:val="en-US"/>
        </w:rPr>
        <w:t>Table S7.</w:t>
      </w:r>
      <w:r w:rsidRPr="00410890">
        <w:rPr>
          <w:rFonts w:ascii="Times New Roman" w:hAnsi="Times New Roman" w:cs="Times New Roman"/>
          <w:noProof/>
          <w:lang w:val="en-US"/>
        </w:rPr>
        <w:t xml:space="preserve"> Highlighted recombined regions in the SynTView representation of the ST37 lineage.</w:t>
      </w:r>
    </w:p>
    <w:p w14:paraId="488659EA" w14:textId="77777777" w:rsidR="00410890" w:rsidRPr="00410890" w:rsidRDefault="00410890" w:rsidP="00410890">
      <w:pPr>
        <w:rPr>
          <w:rFonts w:ascii="Times New Roman" w:hAnsi="Times New Roman" w:cs="Times New Roman"/>
          <w:noProof/>
          <w:lang w:val="en-US"/>
        </w:rPr>
      </w:pPr>
      <w:r w:rsidRPr="00410890">
        <w:rPr>
          <w:rFonts w:ascii="Times New Roman" w:hAnsi="Times New Roman" w:cs="Times New Roman"/>
          <w:b/>
          <w:noProof/>
          <w:lang w:val="en-US"/>
        </w:rPr>
        <w:t>Table S8.</w:t>
      </w:r>
      <w:r w:rsidRPr="00410890">
        <w:rPr>
          <w:rFonts w:ascii="Times New Roman" w:hAnsi="Times New Roman" w:cs="Times New Roman"/>
          <w:noProof/>
          <w:lang w:val="en-US"/>
        </w:rPr>
        <w:t xml:space="preserve"> Highlighted recombined regions in the SynTView representation of the ST62 lineage.</w:t>
      </w:r>
    </w:p>
    <w:p w14:paraId="653436A1" w14:textId="77777777" w:rsidR="00410890" w:rsidRPr="00410890" w:rsidRDefault="00410890" w:rsidP="00410890">
      <w:pPr>
        <w:rPr>
          <w:rFonts w:ascii="Times New Roman" w:hAnsi="Times New Roman" w:cs="Times New Roman"/>
          <w:noProof/>
        </w:rPr>
      </w:pPr>
      <w:r w:rsidRPr="00410890">
        <w:rPr>
          <w:rFonts w:ascii="Times New Roman" w:hAnsi="Times New Roman" w:cs="Times New Roman"/>
          <w:b/>
          <w:noProof/>
        </w:rPr>
        <w:t>Table S9.</w:t>
      </w:r>
      <w:r w:rsidRPr="00410890">
        <w:rPr>
          <w:rFonts w:ascii="Times New Roman" w:hAnsi="Times New Roman" w:cs="Times New Roman"/>
          <w:noProof/>
        </w:rPr>
        <w:t xml:space="preserve"> Distribution of the known Dot/Icm substrates in the five STs.</w:t>
      </w:r>
    </w:p>
    <w:p w14:paraId="1F20A96A" w14:textId="77777777" w:rsidR="00410890" w:rsidRPr="00410890" w:rsidRDefault="00410890" w:rsidP="00410890">
      <w:pPr>
        <w:rPr>
          <w:rFonts w:ascii="Times New Roman" w:hAnsi="Times New Roman" w:cs="Times New Roman"/>
          <w:noProof/>
        </w:rPr>
      </w:pPr>
      <w:r w:rsidRPr="00410890">
        <w:rPr>
          <w:rFonts w:ascii="Times New Roman" w:hAnsi="Times New Roman" w:cs="Times New Roman"/>
          <w:b/>
          <w:noProof/>
        </w:rPr>
        <w:t>Table S10.</w:t>
      </w:r>
      <w:r w:rsidRPr="00410890">
        <w:rPr>
          <w:rFonts w:ascii="Times New Roman" w:hAnsi="Times New Roman" w:cs="Times New Roman"/>
          <w:noProof/>
        </w:rPr>
        <w:t xml:space="preserve"> Homoplasic SNPs identified on three or four of the branches of the species tree, leading to STs 1, 23, 37, 47 and 62.</w:t>
      </w:r>
    </w:p>
    <w:p w14:paraId="431002B4" w14:textId="77777777" w:rsidR="00410890" w:rsidRPr="00410890" w:rsidRDefault="00410890" w:rsidP="00410890">
      <w:pPr>
        <w:rPr>
          <w:rFonts w:ascii="Times New Roman" w:hAnsi="Times New Roman" w:cs="Times New Roman"/>
          <w:noProof/>
          <w:lang w:val="en-US"/>
        </w:rPr>
      </w:pPr>
      <w:r w:rsidRPr="00410890">
        <w:rPr>
          <w:rFonts w:ascii="Times New Roman" w:hAnsi="Times New Roman" w:cs="Times New Roman"/>
          <w:b/>
          <w:noProof/>
          <w:lang w:val="en-US"/>
        </w:rPr>
        <w:t>Table S11.</w:t>
      </w:r>
      <w:r w:rsidRPr="00410890">
        <w:rPr>
          <w:rFonts w:ascii="Times New Roman" w:hAnsi="Times New Roman" w:cs="Times New Roman"/>
          <w:noProof/>
          <w:lang w:val="en-US"/>
        </w:rPr>
        <w:t xml:space="preserve"> Genes that are significantly more similar in the five major disease-associated STs than is expected, given the similarity of the five STs across all core genes and also with respect to the conservation of each gene across the species.</w:t>
      </w:r>
    </w:p>
    <w:p w14:paraId="584479E6" w14:textId="77777777" w:rsidR="00410890" w:rsidRPr="00410890" w:rsidRDefault="00410890" w:rsidP="00410890">
      <w:pPr>
        <w:rPr>
          <w:rFonts w:ascii="Times New Roman" w:hAnsi="Times New Roman" w:cs="Times New Roman"/>
          <w:b/>
        </w:rPr>
      </w:pPr>
      <w:r w:rsidRPr="00410890">
        <w:rPr>
          <w:rFonts w:ascii="Times New Roman" w:hAnsi="Times New Roman" w:cs="Times New Roman"/>
          <w:b/>
          <w:noProof/>
          <w:lang w:val="en-US"/>
        </w:rPr>
        <w:t>Table S12.</w:t>
      </w:r>
      <w:r w:rsidRPr="00410890">
        <w:rPr>
          <w:rFonts w:ascii="Times New Roman" w:hAnsi="Times New Roman" w:cs="Times New Roman"/>
          <w:noProof/>
          <w:lang w:val="en-US"/>
        </w:rPr>
        <w:t xml:space="preserve"> </w:t>
      </w:r>
      <w:r w:rsidRPr="00410890">
        <w:rPr>
          <w:rFonts w:ascii="Times New Roman" w:hAnsi="Times New Roman" w:cs="Times New Roman"/>
          <w:noProof/>
        </w:rPr>
        <w:t>Recombination events that occurred on the branches leading to the ST47 or ST37 lineages. The start and end of the regions are with respect to the ST47 and ST37 mapping references (Lorraine and EUL 132, respectively).</w:t>
      </w:r>
    </w:p>
    <w:sectPr w:rsidR="00410890" w:rsidRPr="00410890" w:rsidSect="003C37ED">
      <w:pgSz w:w="11900" w:h="16840"/>
      <w:pgMar w:top="1304" w:right="1418" w:bottom="130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890"/>
    <w:rsid w:val="0010168E"/>
    <w:rsid w:val="002857E4"/>
    <w:rsid w:val="00355079"/>
    <w:rsid w:val="003C37ED"/>
    <w:rsid w:val="00410890"/>
    <w:rsid w:val="0052053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2FA476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2">
    <w:name w:val="toc 2"/>
    <w:basedOn w:val="Normal"/>
    <w:next w:val="Normal"/>
    <w:autoRedefine/>
    <w:uiPriority w:val="39"/>
    <w:unhideWhenUsed/>
    <w:rsid w:val="00410890"/>
    <w:pPr>
      <w:ind w:left="240"/>
    </w:pPr>
    <w:rPr>
      <w:b/>
      <w:sz w:val="22"/>
      <w:szCs w:val="22"/>
    </w:rPr>
  </w:style>
  <w:style w:type="paragraph" w:styleId="Paragraphedeliste">
    <w:name w:val="List Paragraph"/>
    <w:basedOn w:val="Normal"/>
    <w:uiPriority w:val="34"/>
    <w:qFormat/>
    <w:rsid w:val="00410890"/>
    <w:pPr>
      <w:ind w:left="720"/>
      <w:contextualSpacing/>
    </w:pPr>
  </w:style>
  <w:style w:type="character" w:styleId="Marquedannotation">
    <w:name w:val="annotation reference"/>
    <w:basedOn w:val="Policepardfaut"/>
    <w:uiPriority w:val="99"/>
    <w:semiHidden/>
    <w:unhideWhenUsed/>
    <w:rsid w:val="00410890"/>
    <w:rPr>
      <w:sz w:val="18"/>
      <w:szCs w:val="18"/>
    </w:rPr>
  </w:style>
  <w:style w:type="paragraph" w:styleId="Commentaire">
    <w:name w:val="annotation text"/>
    <w:basedOn w:val="Normal"/>
    <w:link w:val="CommentaireCar"/>
    <w:uiPriority w:val="99"/>
    <w:semiHidden/>
    <w:unhideWhenUsed/>
    <w:rsid w:val="00410890"/>
    <w:rPr>
      <w:lang w:val="fr-FR" w:eastAsia="ja-JP"/>
    </w:rPr>
  </w:style>
  <w:style w:type="character" w:customStyle="1" w:styleId="CommentaireCar">
    <w:name w:val="Commentaire Car"/>
    <w:basedOn w:val="Policepardfaut"/>
    <w:link w:val="Commentaire"/>
    <w:uiPriority w:val="99"/>
    <w:semiHidden/>
    <w:rsid w:val="00410890"/>
    <w:rPr>
      <w:lang w:val="fr-FR" w:eastAsia="ja-JP"/>
    </w:rPr>
  </w:style>
  <w:style w:type="paragraph" w:styleId="Textedebulles">
    <w:name w:val="Balloon Text"/>
    <w:basedOn w:val="Normal"/>
    <w:link w:val="TextedebullesCar"/>
    <w:uiPriority w:val="99"/>
    <w:semiHidden/>
    <w:unhideWhenUsed/>
    <w:rsid w:val="00410890"/>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410890"/>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2">
    <w:name w:val="toc 2"/>
    <w:basedOn w:val="Normal"/>
    <w:next w:val="Normal"/>
    <w:autoRedefine/>
    <w:uiPriority w:val="39"/>
    <w:unhideWhenUsed/>
    <w:rsid w:val="00410890"/>
    <w:pPr>
      <w:ind w:left="240"/>
    </w:pPr>
    <w:rPr>
      <w:b/>
      <w:sz w:val="22"/>
      <w:szCs w:val="22"/>
    </w:rPr>
  </w:style>
  <w:style w:type="paragraph" w:styleId="Paragraphedeliste">
    <w:name w:val="List Paragraph"/>
    <w:basedOn w:val="Normal"/>
    <w:uiPriority w:val="34"/>
    <w:qFormat/>
    <w:rsid w:val="00410890"/>
    <w:pPr>
      <w:ind w:left="720"/>
      <w:contextualSpacing/>
    </w:pPr>
  </w:style>
  <w:style w:type="character" w:styleId="Marquedannotation">
    <w:name w:val="annotation reference"/>
    <w:basedOn w:val="Policepardfaut"/>
    <w:uiPriority w:val="99"/>
    <w:semiHidden/>
    <w:unhideWhenUsed/>
    <w:rsid w:val="00410890"/>
    <w:rPr>
      <w:sz w:val="18"/>
      <w:szCs w:val="18"/>
    </w:rPr>
  </w:style>
  <w:style w:type="paragraph" w:styleId="Commentaire">
    <w:name w:val="annotation text"/>
    <w:basedOn w:val="Normal"/>
    <w:link w:val="CommentaireCar"/>
    <w:uiPriority w:val="99"/>
    <w:semiHidden/>
    <w:unhideWhenUsed/>
    <w:rsid w:val="00410890"/>
    <w:rPr>
      <w:lang w:val="fr-FR" w:eastAsia="ja-JP"/>
    </w:rPr>
  </w:style>
  <w:style w:type="character" w:customStyle="1" w:styleId="CommentaireCar">
    <w:name w:val="Commentaire Car"/>
    <w:basedOn w:val="Policepardfaut"/>
    <w:link w:val="Commentaire"/>
    <w:uiPriority w:val="99"/>
    <w:semiHidden/>
    <w:rsid w:val="00410890"/>
    <w:rPr>
      <w:lang w:val="fr-FR" w:eastAsia="ja-JP"/>
    </w:rPr>
  </w:style>
  <w:style w:type="paragraph" w:styleId="Textedebulles">
    <w:name w:val="Balloon Text"/>
    <w:basedOn w:val="Normal"/>
    <w:link w:val="TextedebullesCar"/>
    <w:uiPriority w:val="99"/>
    <w:semiHidden/>
    <w:unhideWhenUsed/>
    <w:rsid w:val="00410890"/>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410890"/>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806677-8ABF-3848-9F0C-B1BE2275FC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906</Words>
  <Characters>4984</Characters>
  <Application>Microsoft Macintosh Word</Application>
  <DocSecurity>0</DocSecurity>
  <Lines>41</Lines>
  <Paragraphs>11</Paragraphs>
  <ScaleCrop>false</ScaleCrop>
  <Company>Sanger Institute</Company>
  <LinksUpToDate>false</LinksUpToDate>
  <CharactersWithSpaces>5879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Sophia David</dc:creator>
  <cp:keywords/>
  <dc:description/>
  <cp:lastModifiedBy>Carmen Buchrieser</cp:lastModifiedBy>
  <cp:revision>4</cp:revision>
  <dcterms:created xsi:type="dcterms:W3CDTF">2016-08-08T12:38:00Z</dcterms:created>
  <dcterms:modified xsi:type="dcterms:W3CDTF">2016-08-12T11:11:00Z</dcterms:modified>
</cp:coreProperties>
</file>