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S1</w:t>
      </w:r>
      <w:r>
        <w:t xml:space="preserve">: Density distributions describing CG, CHG, and CHH methylation </w:t>
      </w:r>
      <w:proofErr w:type="spellStart"/>
      <w:r>
        <w:t>Brachypodium</w:t>
      </w:r>
      <w:proofErr w:type="spellEnd"/>
      <w:r>
        <w:t>.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S2:</w:t>
      </w:r>
      <w:r>
        <w:t xml:space="preserve"> Number of genomic tiles falling into eight possible DNA methylation classes in Bd21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S3</w:t>
      </w:r>
      <w:r>
        <w:t>: Number of genomic tiles intersecting with annotation features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 xml:space="preserve">Supplemental Fig S4: </w:t>
      </w:r>
      <w:r>
        <w:t xml:space="preserve">Relative distance plots of average methylation for ten </w:t>
      </w:r>
      <w:r>
        <w:rPr>
          <w:i/>
        </w:rPr>
        <w:t xml:space="preserve">B. </w:t>
      </w:r>
      <w:proofErr w:type="spellStart"/>
      <w:r>
        <w:rPr>
          <w:i/>
        </w:rPr>
        <w:t>distachyon</w:t>
      </w:r>
      <w:proofErr w:type="spellEnd"/>
      <w:r>
        <w:t xml:space="preserve"> annotated transposon superfamilies. Methylation is shown in CG (red), CHG (blue), and CHH (green) contexts.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S5</w:t>
      </w:r>
      <w:r>
        <w:t xml:space="preserve">:  Density distribution (A) and median distance (B) of each annotated transposon superfamily to its nearest gene. (C) Element size (in </w:t>
      </w:r>
      <w:proofErr w:type="spellStart"/>
      <w:r>
        <w:t>bp</w:t>
      </w:r>
      <w:proofErr w:type="spellEnd"/>
      <w:r>
        <w:t>) boxplot by transposon annotated superfamily.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 xml:space="preserve">Supplemental Fig S6: </w:t>
      </w:r>
      <w:r>
        <w:t>Sum of 24nt RNAs from IBI 2010 normalized by total element size sum by transposon superfamily.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 xml:space="preserve">Supplemental Fig S7: </w:t>
      </w:r>
      <w:r>
        <w:t xml:space="preserve">Relative methylation of annotated Bd21 genes with </w:t>
      </w:r>
      <w:proofErr w:type="spellStart"/>
      <w:r>
        <w:t>intronic</w:t>
      </w:r>
      <w:proofErr w:type="spellEnd"/>
      <w:r>
        <w:t xml:space="preserve"> gene sequences removed. CG gene-body methylation is maintained without </w:t>
      </w:r>
      <w:proofErr w:type="spellStart"/>
      <w:r>
        <w:t>intronic</w:t>
      </w:r>
      <w:proofErr w:type="spellEnd"/>
      <w:r>
        <w:t xml:space="preserve"> sequence methylation levels.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S8</w:t>
      </w:r>
      <w:r>
        <w:t>: DNA methylation for genes (top) and TEs (bottom) divided by element size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S9:</w:t>
      </w:r>
      <w:r>
        <w:t xml:space="preserve"> Methylation comparisons of B73 (</w:t>
      </w:r>
      <w:r>
        <w:rPr>
          <w:i/>
        </w:rPr>
        <w:t>Z. mays</w:t>
      </w:r>
      <w:r>
        <w:t>), Col-0 (</w:t>
      </w:r>
      <w:r>
        <w:rPr>
          <w:i/>
        </w:rPr>
        <w:t>A. thaliana</w:t>
      </w:r>
      <w:r>
        <w:t>), and Bd21 (</w:t>
      </w:r>
      <w:r>
        <w:rPr>
          <w:i/>
        </w:rPr>
        <w:t xml:space="preserve">B. </w:t>
      </w:r>
      <w:proofErr w:type="spellStart"/>
      <w:r>
        <w:rPr>
          <w:i/>
        </w:rPr>
        <w:t>distachyon</w:t>
      </w:r>
      <w:proofErr w:type="spellEnd"/>
      <w:r>
        <w:t xml:space="preserve">) over gene models. Plots are </w:t>
      </w:r>
      <w:proofErr w:type="spellStart"/>
      <w:r>
        <w:t>colored</w:t>
      </w:r>
      <w:proofErr w:type="spellEnd"/>
      <w:r>
        <w:t xml:space="preserve"> by species and split by methylation sequence context. Note scale for CHH methylation plot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S10:</w:t>
      </w:r>
      <w:r>
        <w:t xml:space="preserve"> Proportion of methylated tiles across Bd21 chromosomes. Percentages defining methylated are provided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S11</w:t>
      </w:r>
      <w:r>
        <w:t xml:space="preserve">: Relative methylation across genes and repeats for all seven </w:t>
      </w:r>
      <w:proofErr w:type="spellStart"/>
      <w:r>
        <w:t>inbreds</w:t>
      </w:r>
      <w:proofErr w:type="spellEnd"/>
      <w:r>
        <w:t>. Plots have been split by methylation context.</w:t>
      </w:r>
    </w:p>
    <w:p w:rsidR="00D067D1" w:rsidRPr="005A5EE5" w:rsidRDefault="00D067D1" w:rsidP="00D067D1">
      <w:pPr>
        <w:pStyle w:val="normal0"/>
        <w:spacing w:line="240" w:lineRule="auto"/>
        <w:rPr>
          <w:b/>
        </w:rPr>
      </w:pPr>
      <w:r>
        <w:rPr>
          <w:b/>
        </w:rPr>
        <w:t>Supplemental Fig S12</w:t>
      </w:r>
      <w:r>
        <w:t xml:space="preserve">: DM Tile analysis for </w:t>
      </w:r>
      <w:proofErr w:type="spellStart"/>
      <w:r>
        <w:t>inbreds</w:t>
      </w:r>
      <w:proofErr w:type="spellEnd"/>
      <w:r>
        <w:t xml:space="preserve"> Bd21-3, Bd3-1, Bd30-1, Koz-3, and BdTR12c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S13</w:t>
      </w:r>
      <w:r>
        <w:t>: Position of DMRs across all lines and chromosomes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S14</w:t>
      </w:r>
      <w:r>
        <w:t>: Boxplot of DMR sizes per sequence context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S15</w:t>
      </w:r>
      <w:r>
        <w:t>: Scatter plots of methylation states across CG, CHG, and CHH DMR regions. Red indicates increased point cloud density.</w:t>
      </w:r>
    </w:p>
    <w:p w:rsidR="00D067D1" w:rsidRDefault="00D067D1" w:rsidP="00D067D1">
      <w:pPr>
        <w:pStyle w:val="normal0"/>
        <w:spacing w:line="240" w:lineRule="auto"/>
      </w:pPr>
      <w:proofErr w:type="gramStart"/>
      <w:r>
        <w:rPr>
          <w:b/>
        </w:rPr>
        <w:t xml:space="preserve">Supplemental Fig S16: </w:t>
      </w:r>
      <w:r>
        <w:t>CHH methylation correlation plots for biological replicates for CHH levels &gt; 30% in at least one (</w:t>
      </w:r>
      <w:proofErr w:type="spellStart"/>
      <w:r>
        <w:t>center</w:t>
      </w:r>
      <w:proofErr w:type="spellEnd"/>
      <w:r>
        <w:t>) or all (right) samples.</w:t>
      </w:r>
      <w:proofErr w:type="gramEnd"/>
    </w:p>
    <w:p w:rsidR="00D067D1" w:rsidRPr="00833735" w:rsidRDefault="00D067D1" w:rsidP="00D067D1">
      <w:pPr>
        <w:pStyle w:val="normal0"/>
        <w:rPr>
          <w:b/>
          <w:lang w:val="en-US"/>
        </w:rPr>
      </w:pPr>
      <w:r>
        <w:rPr>
          <w:b/>
        </w:rPr>
        <w:t xml:space="preserve">Supplemental Fig S17: </w:t>
      </w:r>
      <w:r>
        <w:rPr>
          <w:lang w:val="en-US"/>
        </w:rPr>
        <w:t>(</w:t>
      </w:r>
      <w:r w:rsidRPr="00833735">
        <w:rPr>
          <w:lang w:val="en-US"/>
        </w:rPr>
        <w:t xml:space="preserve">A) Correlation </w:t>
      </w:r>
      <w:proofErr w:type="spellStart"/>
      <w:r w:rsidRPr="00833735">
        <w:rPr>
          <w:lang w:val="en-US"/>
        </w:rPr>
        <w:t>heatmaps</w:t>
      </w:r>
      <w:proofErr w:type="spellEnd"/>
      <w:r w:rsidRPr="00833735">
        <w:rPr>
          <w:lang w:val="en-US"/>
        </w:rPr>
        <w:t xml:space="preserve"> for CHH sites requiring various </w:t>
      </w:r>
      <w:proofErr w:type="gramStart"/>
      <w:r w:rsidRPr="00833735">
        <w:rPr>
          <w:lang w:val="en-US"/>
        </w:rPr>
        <w:t>minimum</w:t>
      </w:r>
      <w:proofErr w:type="gramEnd"/>
      <w:r w:rsidRPr="00833735">
        <w:rPr>
          <w:lang w:val="en-US"/>
        </w:rPr>
        <w:t xml:space="preserve"> read depth. (B) </w:t>
      </w:r>
      <w:proofErr w:type="spellStart"/>
      <w:r w:rsidRPr="00833735">
        <w:rPr>
          <w:lang w:val="en-US"/>
        </w:rPr>
        <w:t>Barplot</w:t>
      </w:r>
      <w:proofErr w:type="spellEnd"/>
      <w:r w:rsidRPr="00833735">
        <w:rPr>
          <w:lang w:val="en-US"/>
        </w:rPr>
        <w:t xml:space="preserve"> of number of tiles available for analysis given minimum read depth filtering. 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 xml:space="preserve">Supplemental Fig S18:  </w:t>
      </w:r>
      <w:r>
        <w:t xml:space="preserve">Comparisons of unsmoothed DSS results for 2v2, 3v3, 4v4, and 5v5 (Bd1-1 only) replicate comparisons. Plots indicate total number of DMRs called (top panels) and the number of DMRs with differences between accessions &gt; 0.2 (bottom panels). 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S19</w:t>
      </w:r>
      <w:r>
        <w:t>: Genomic view of Bd1</w:t>
      </w:r>
      <w:proofErr w:type="gramStart"/>
      <w:r>
        <w:t>:10,391</w:t>
      </w:r>
      <w:proofErr w:type="gramEnd"/>
      <w:r>
        <w:t>-49,958 highlighting smooth DSS DMRs being called across a largely absent region of Bd3-1. Aqua bars indicate DMR calls.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 xml:space="preserve">Supplemental Fig S20: </w:t>
      </w:r>
      <w:r>
        <w:t>Boxplots of size (top), log distance to nearest annotated gene (</w:t>
      </w:r>
      <w:proofErr w:type="spellStart"/>
      <w:r>
        <w:t>center</w:t>
      </w:r>
      <w:proofErr w:type="spellEnd"/>
      <w:r>
        <w:t xml:space="preserve">), and log distance to nearest annotated </w:t>
      </w:r>
      <w:proofErr w:type="spellStart"/>
      <w:proofErr w:type="gramStart"/>
      <w:r>
        <w:t>te</w:t>
      </w:r>
      <w:proofErr w:type="spellEnd"/>
      <w:proofErr w:type="gramEnd"/>
      <w:r>
        <w:t xml:space="preserve"> (bottom) for 100bp tile DMRs compared to unsmoothed DSS DMRs.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 xml:space="preserve">Supplemental Fig S21: </w:t>
      </w:r>
      <w:r>
        <w:t xml:space="preserve">Density distribution of methylation differences between accession groups in 100bp tile DMRs. Vertical bars indicate fixed </w:t>
      </w:r>
      <w:proofErr w:type="spellStart"/>
      <w:r>
        <w:t>cutoff</w:t>
      </w:r>
      <w:proofErr w:type="spellEnd"/>
      <w:r>
        <w:t xml:space="preserve"> for CG (red) and CHG (blue) DMRs.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 xml:space="preserve">Supplemental Fig S22: </w:t>
      </w:r>
      <w:r>
        <w:t>Correlation plots for all DMR types for all individual samples</w:t>
      </w:r>
    </w:p>
    <w:p w:rsidR="00D067D1" w:rsidRPr="00D924AF" w:rsidRDefault="00D067D1" w:rsidP="00D067D1">
      <w:pPr>
        <w:pStyle w:val="normal0"/>
        <w:rPr>
          <w:lang w:val="en-US"/>
        </w:rPr>
      </w:pPr>
      <w:r>
        <w:rPr>
          <w:b/>
        </w:rPr>
        <w:lastRenderedPageBreak/>
        <w:t>Supplemental Fig S23</w:t>
      </w:r>
      <w:r>
        <w:t xml:space="preserve">: </w:t>
      </w:r>
      <w:r w:rsidRPr="00D924AF">
        <w:rPr>
          <w:lang w:val="en-US"/>
        </w:rPr>
        <w:t xml:space="preserve">Correlation of DSS DMRs defined from biological replicates to SNP </w:t>
      </w:r>
      <w:r>
        <w:rPr>
          <w:lang w:val="en-US"/>
        </w:rPr>
        <w:t>density across methylation contexts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S24</w:t>
      </w:r>
      <w:r>
        <w:t xml:space="preserve">: </w:t>
      </w:r>
      <w:proofErr w:type="spellStart"/>
      <w:r>
        <w:t>Barplots</w:t>
      </w:r>
      <w:proofErr w:type="spellEnd"/>
      <w:r>
        <w:t xml:space="preserve"> indicating the number of genotypes individual transposable eleme</w:t>
      </w:r>
      <w:bookmarkStart w:id="0" w:name="_GoBack"/>
      <w:bookmarkEnd w:id="0"/>
      <w:r>
        <w:t>nts are inserted (A) or deleted (B) across samples.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S25</w:t>
      </w:r>
      <w:r>
        <w:t>: TEs inserted into multiple genotypes and/or multiple times in a single sample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Fig S26</w:t>
      </w:r>
      <w:r>
        <w:t xml:space="preserve">: </w:t>
      </w:r>
      <w:proofErr w:type="spellStart"/>
      <w:r>
        <w:t>Barplots</w:t>
      </w:r>
      <w:proofErr w:type="spellEnd"/>
      <w:r>
        <w:t xml:space="preserve"> indicating the DMR state (hyper or </w:t>
      </w:r>
      <w:proofErr w:type="spellStart"/>
      <w:r>
        <w:t>hypomethylated</w:t>
      </w:r>
      <w:proofErr w:type="spellEnd"/>
      <w:r>
        <w:t>) compared to the Bd21 reference methylation state for DMRs within 500bp of (A) transposable element insertions and (B) deletions</w:t>
      </w:r>
    </w:p>
    <w:p w:rsidR="00D067D1" w:rsidRDefault="00D067D1" w:rsidP="00D067D1">
      <w:pPr>
        <w:pStyle w:val="normal0"/>
        <w:spacing w:line="240" w:lineRule="auto"/>
      </w:pPr>
      <w:r>
        <w:rPr>
          <w:sz w:val="20"/>
          <w:szCs w:val="20"/>
        </w:rPr>
        <w:t xml:space="preserve"> 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Table 1</w:t>
      </w:r>
      <w:r>
        <w:t xml:space="preserve">: </w:t>
      </w:r>
      <w:proofErr w:type="spellStart"/>
      <w:r>
        <w:t>Bisulfite</w:t>
      </w:r>
      <w:proofErr w:type="spellEnd"/>
      <w:r>
        <w:t xml:space="preserve"> sequencing summary statistics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Table 2</w:t>
      </w:r>
      <w:r>
        <w:t>: List of CG/CHG Differentially Methylated Regions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Table 3</w:t>
      </w:r>
      <w:r>
        <w:t>: List of CHH Differentially Methylated Regions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Table 4</w:t>
      </w:r>
      <w:r>
        <w:t xml:space="preserve">: </w:t>
      </w:r>
      <w:proofErr w:type="spellStart"/>
      <w:r>
        <w:t>Bisulfite</w:t>
      </w:r>
      <w:proofErr w:type="spellEnd"/>
      <w:r>
        <w:t xml:space="preserve"> sequencing summary statistics for biological replicate data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Table 5</w:t>
      </w:r>
      <w:r>
        <w:t>: List of Smooth DSS DMRs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Table 6</w:t>
      </w:r>
      <w:r>
        <w:t>: List of Unsmooth DSS DMRs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Table 7</w:t>
      </w:r>
      <w:r>
        <w:t xml:space="preserve">: Transposable element polymorphisms in </w:t>
      </w:r>
      <w:proofErr w:type="spellStart"/>
      <w:r>
        <w:rPr>
          <w:i/>
        </w:rPr>
        <w:t>Brachypodium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distachyon</w:t>
      </w:r>
      <w:proofErr w:type="spellEnd"/>
    </w:p>
    <w:p w:rsidR="00D067D1" w:rsidRDefault="00D067D1" w:rsidP="00D067D1">
      <w:pPr>
        <w:pStyle w:val="normal0"/>
        <w:spacing w:line="240" w:lineRule="auto"/>
      </w:pPr>
      <w:r>
        <w:rPr>
          <w:b/>
        </w:rPr>
        <w:t>Supplemental Table 8</w:t>
      </w:r>
      <w:r>
        <w:t xml:space="preserve">: </w:t>
      </w:r>
      <w:proofErr w:type="spellStart"/>
      <w:r>
        <w:t>Bisulfite</w:t>
      </w:r>
      <w:proofErr w:type="spellEnd"/>
      <w:r>
        <w:t xml:space="preserve"> sequencing summary statistics for other plant species</w:t>
      </w:r>
    </w:p>
    <w:p w:rsidR="00D067D1" w:rsidRDefault="00D067D1" w:rsidP="00D067D1">
      <w:pPr>
        <w:pStyle w:val="normal0"/>
        <w:spacing w:line="240" w:lineRule="auto"/>
      </w:pPr>
      <w:r>
        <w:t xml:space="preserve"> </w:t>
      </w:r>
    </w:p>
    <w:p w:rsidR="00D067D1" w:rsidRDefault="00D067D1" w:rsidP="00D067D1">
      <w:pPr>
        <w:pStyle w:val="normal0"/>
        <w:spacing w:line="240" w:lineRule="auto"/>
      </w:pPr>
      <w:r>
        <w:rPr>
          <w:b/>
        </w:rPr>
        <w:t xml:space="preserve">Supplemental Data 1: </w:t>
      </w:r>
      <w:r>
        <w:t>Analysis scripts for sequence alignment and figure development</w:t>
      </w:r>
    </w:p>
    <w:p w:rsidR="00D067D1" w:rsidRDefault="00D067D1" w:rsidP="00D067D1">
      <w:pPr>
        <w:pStyle w:val="normal0"/>
        <w:spacing w:line="240" w:lineRule="auto"/>
      </w:pPr>
    </w:p>
    <w:p w:rsidR="00D067D1" w:rsidRDefault="00D067D1" w:rsidP="00D067D1">
      <w:pPr>
        <w:pStyle w:val="normal0"/>
        <w:spacing w:line="240" w:lineRule="auto"/>
      </w:pPr>
    </w:p>
    <w:p w:rsidR="008420E3" w:rsidRDefault="008420E3"/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D1"/>
    <w:rsid w:val="0027073C"/>
    <w:rsid w:val="008420E3"/>
    <w:rsid w:val="00B55501"/>
    <w:rsid w:val="00C14746"/>
    <w:rsid w:val="00C46265"/>
    <w:rsid w:val="00D0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067D1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AU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067D1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Macintosh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2016-09-14T17:52:00Z</dcterms:created>
  <dcterms:modified xsi:type="dcterms:W3CDTF">2016-09-14T17:55:00Z</dcterms:modified>
</cp:coreProperties>
</file>