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204" w:rsidRPr="003C2204" w:rsidRDefault="003C2204" w:rsidP="003C2204">
      <w:pPr>
        <w:pStyle w:val="Heading1"/>
        <w:rPr>
          <w:rFonts w:ascii="Arial" w:hAnsi="Arial" w:cs="Arial"/>
          <w:b/>
          <w:color w:val="auto"/>
        </w:rPr>
      </w:pPr>
      <w:r w:rsidRPr="003C2204">
        <w:rPr>
          <w:rFonts w:ascii="Arial" w:hAnsi="Arial" w:cs="Arial"/>
          <w:b/>
          <w:color w:val="auto"/>
        </w:rPr>
        <w:t>Supplemental Figures</w:t>
      </w:r>
    </w:p>
    <w:p w:rsidR="009725F8" w:rsidRDefault="003C2204">
      <w:r>
        <w:rPr>
          <w:noProof/>
          <w:lang w:eastAsia="en-GB"/>
        </w:rPr>
        <w:drawing>
          <wp:inline distT="0" distB="0" distL="0" distR="0">
            <wp:extent cx="5725160" cy="3343910"/>
            <wp:effectExtent l="0" t="0" r="8890" b="8890"/>
            <wp:docPr id="1" name="Picture 1" descr="H:\Figures\Supplemental_Fig_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gures\Supplemental_Fig_S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5160" cy="3343910"/>
                    </a:xfrm>
                    <a:prstGeom prst="rect">
                      <a:avLst/>
                    </a:prstGeom>
                    <a:noFill/>
                    <a:ln>
                      <a:noFill/>
                    </a:ln>
                  </pic:spPr>
                </pic:pic>
              </a:graphicData>
            </a:graphic>
          </wp:inline>
        </w:drawing>
      </w:r>
    </w:p>
    <w:p w:rsidR="003C2204" w:rsidRDefault="003C2204" w:rsidP="003C2204">
      <w:pPr>
        <w:pStyle w:val="Caption"/>
        <w:rPr>
          <w:rFonts w:eastAsia="Times New Roman" w:cs="Arial"/>
        </w:rPr>
      </w:pPr>
      <w:r>
        <w:rPr>
          <w:rFonts w:cs="Arial"/>
          <w:u w:color="00000A"/>
        </w:rPr>
        <w:t xml:space="preserve">Supplemental Figure S1 – </w:t>
      </w:r>
      <w:r>
        <w:rPr>
          <w:rFonts w:cs="Arial"/>
          <w:b/>
        </w:rPr>
        <w:t xml:space="preserve">Representation of the Sandcastle process used to overlay data from multiple ORFs to create composite plots. </w:t>
      </w:r>
      <w:r>
        <w:rPr>
          <w:rFonts w:eastAsia="Times New Roman" w:cs="Arial"/>
          <w:b/>
          <w:bCs/>
        </w:rPr>
        <w:t xml:space="preserve">Enhanced rates of repair in ORFs are due to TC-NER of actively transcribed genes. </w:t>
      </w:r>
      <w:r>
        <w:rPr>
          <w:rFonts w:cs="Arial"/>
        </w:rPr>
        <w:t>(</w:t>
      </w:r>
      <w:r>
        <w:rPr>
          <w:rFonts w:cs="Arial"/>
          <w:b/>
          <w:bCs/>
        </w:rPr>
        <w:t>A</w:t>
      </w:r>
      <w:r>
        <w:rPr>
          <w:rFonts w:cs="Arial"/>
        </w:rPr>
        <w:t>) A section of (</w:t>
      </w:r>
      <w:proofErr w:type="spellStart"/>
      <w:r>
        <w:rPr>
          <w:rFonts w:cs="Arial"/>
        </w:rPr>
        <w:t>i</w:t>
      </w:r>
      <w:proofErr w:type="spellEnd"/>
      <w:r>
        <w:rPr>
          <w:rFonts w:cs="Arial"/>
        </w:rPr>
        <w:t xml:space="preserve">) data and (ii; labelled a, b, c, and d) ORFs are shown. Bars extending from the ORFs show the maximum length of extensions to incorporate surrounding data. Where these extensions overlap with adjacent ORF extensions (dotted line sections) they are both limited to a point halfway between the two, such that any given data point is plotted no more than once. (iii) Sections of data are then all oriented in the same direction and scaled up- or downwards so that each ORF covers the same length. </w:t>
      </w:r>
      <w:proofErr w:type="gramStart"/>
      <w:r>
        <w:rPr>
          <w:rFonts w:cs="Arial"/>
        </w:rPr>
        <w:t>(iv) These</w:t>
      </w:r>
      <w:proofErr w:type="gramEnd"/>
      <w:r>
        <w:rPr>
          <w:rFonts w:cs="Arial"/>
        </w:rPr>
        <w:t xml:space="preserve"> are then overlaid and an average of all the data sections calculated (red line). For all plots shown here ORFs from 500 to 1,500 </w:t>
      </w:r>
      <w:proofErr w:type="spellStart"/>
      <w:r>
        <w:rPr>
          <w:rFonts w:cs="Arial"/>
        </w:rPr>
        <w:t>bp</w:t>
      </w:r>
      <w:proofErr w:type="spellEnd"/>
      <w:r>
        <w:rPr>
          <w:rFonts w:cs="Arial"/>
        </w:rPr>
        <w:t xml:space="preserve"> in size were analysed (n = 2,974).</w:t>
      </w:r>
      <w:r>
        <w:rPr>
          <w:rFonts w:eastAsia="Times New Roman" w:cs="Arial"/>
          <w:b/>
          <w:bCs/>
        </w:rPr>
        <w:t xml:space="preserve"> </w:t>
      </w:r>
      <w:r>
        <w:rPr>
          <w:rFonts w:eastAsia="Times New Roman" w:cs="Arial"/>
        </w:rPr>
        <w:t>(</w:t>
      </w:r>
      <w:r>
        <w:rPr>
          <w:rFonts w:eastAsia="Times New Roman" w:cs="Arial"/>
          <w:b/>
        </w:rPr>
        <w:t>B</w:t>
      </w:r>
      <w:r>
        <w:rPr>
          <w:rFonts w:eastAsia="Times New Roman" w:cs="Arial"/>
        </w:rPr>
        <w:t>)</w:t>
      </w:r>
      <w:r>
        <w:rPr>
          <w:rFonts w:eastAsia="Times New Roman" w:cs="Arial"/>
          <w:b/>
        </w:rPr>
        <w:t xml:space="preserve"> </w:t>
      </w:r>
      <w:r>
        <w:rPr>
          <w:rFonts w:eastAsia="Times New Roman" w:cs="Arial"/>
        </w:rPr>
        <w:t>Relative rates of CPD removal in the lowest 15% of transcribed ORFs in wild type cells (n = 3, black). Solid lines show the mean of relative CPD repair rates, with the shaded areas highlighting the SEM. (</w:t>
      </w:r>
      <w:r>
        <w:rPr>
          <w:rFonts w:eastAsia="Times New Roman" w:cs="Arial"/>
          <w:b/>
        </w:rPr>
        <w:t>C</w:t>
      </w:r>
      <w:r>
        <w:rPr>
          <w:rFonts w:eastAsia="Times New Roman" w:cs="Arial"/>
        </w:rPr>
        <w:t>) As (B) now showing repair rates in the remaining 85% of actively transcribing ORFs. CPD levels are plotted as arbitrary units on the y-axis.</w:t>
      </w:r>
    </w:p>
    <w:p w:rsidR="00B65A57" w:rsidRDefault="00B65A57" w:rsidP="003C2204">
      <w:pPr>
        <w:pStyle w:val="Caption"/>
        <w:rPr>
          <w:rFonts w:eastAsia="Times New Roman" w:cs="Arial"/>
        </w:rPr>
      </w:pPr>
    </w:p>
    <w:p w:rsidR="003C2204" w:rsidRDefault="003C2204">
      <w:r>
        <w:rPr>
          <w:noProof/>
          <w:lang w:eastAsia="en-GB"/>
        </w:rPr>
        <w:drawing>
          <wp:inline distT="0" distB="0" distL="0" distR="0">
            <wp:extent cx="5725160" cy="1590040"/>
            <wp:effectExtent l="0" t="0" r="8890" b="0"/>
            <wp:docPr id="2" name="Picture 2" descr="H:\Figures\Supplemental_Fig_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igures\Supplemental_Fig_S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5160" cy="1590040"/>
                    </a:xfrm>
                    <a:prstGeom prst="rect">
                      <a:avLst/>
                    </a:prstGeom>
                    <a:noFill/>
                    <a:ln>
                      <a:noFill/>
                    </a:ln>
                  </pic:spPr>
                </pic:pic>
              </a:graphicData>
            </a:graphic>
          </wp:inline>
        </w:drawing>
      </w:r>
    </w:p>
    <w:p w:rsidR="003C2204" w:rsidRDefault="003C2204" w:rsidP="003C2204">
      <w:pPr>
        <w:pStyle w:val="Caption"/>
        <w:rPr>
          <w:rFonts w:eastAsia="Times New Roman" w:cs="Arial"/>
        </w:rPr>
      </w:pPr>
      <w:r>
        <w:rPr>
          <w:rFonts w:cs="Arial"/>
          <w:u w:color="00000A"/>
        </w:rPr>
        <w:t xml:space="preserve">Supplemental </w:t>
      </w:r>
      <w:r>
        <w:rPr>
          <w:rFonts w:eastAsia="Times New Roman" w:cs="Arial"/>
        </w:rPr>
        <w:t xml:space="preserve">Figure S2 - </w:t>
      </w:r>
      <w:r>
        <w:rPr>
          <w:rFonts w:eastAsia="Times New Roman" w:cs="Arial"/>
          <w:b/>
        </w:rPr>
        <w:t>A linear genome plot of a section of chromosome 14 showing Abf1 binding in wild type cells.</w:t>
      </w:r>
      <w:r>
        <w:rPr>
          <w:rFonts w:eastAsia="Times New Roman" w:cs="Arial"/>
        </w:rPr>
        <w:t xml:space="preserve"> The black line shows the mean (n = 3) of Abf1 binding in the absence UV irradiation. The shading indicates the SEM. Grey dots indicate positions of microarray probes. Yellow arrows indicate ORF positions and their directions of transcription.</w:t>
      </w:r>
    </w:p>
    <w:p w:rsidR="003C2204" w:rsidRDefault="003C2204">
      <w:r>
        <w:br w:type="page"/>
      </w:r>
      <w:r>
        <w:rPr>
          <w:noProof/>
          <w:lang w:eastAsia="en-GB"/>
        </w:rPr>
        <w:lastRenderedPageBreak/>
        <w:drawing>
          <wp:inline distT="0" distB="0" distL="0" distR="0">
            <wp:extent cx="2879725" cy="3241040"/>
            <wp:effectExtent l="0" t="0" r="0" b="0"/>
            <wp:docPr id="3" name="Picture 3" descr="H:\Figures\Supplemental_Fig_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igures\Supplemental_Fig_S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725" cy="3241040"/>
                    </a:xfrm>
                    <a:prstGeom prst="rect">
                      <a:avLst/>
                    </a:prstGeom>
                    <a:noFill/>
                    <a:ln>
                      <a:noFill/>
                    </a:ln>
                  </pic:spPr>
                </pic:pic>
              </a:graphicData>
            </a:graphic>
          </wp:inline>
        </w:drawing>
      </w:r>
    </w:p>
    <w:p w:rsidR="003C2204" w:rsidRDefault="003C2204" w:rsidP="003C2204">
      <w:pPr>
        <w:jc w:val="both"/>
        <w:rPr>
          <w:rFonts w:ascii="Arial" w:eastAsia="Times New Roman" w:hAnsi="Arial" w:cs="Arial"/>
        </w:rPr>
      </w:pPr>
      <w:r>
        <w:rPr>
          <w:rFonts w:ascii="Arial" w:hAnsi="Arial" w:cs="Arial"/>
          <w:u w:color="00000A"/>
        </w:rPr>
        <w:t xml:space="preserve">Supplemental </w:t>
      </w:r>
      <w:r>
        <w:rPr>
          <w:rFonts w:ascii="Arial" w:eastAsia="Times New Roman" w:hAnsi="Arial" w:cs="Arial"/>
        </w:rPr>
        <w:t xml:space="preserve">Figure S3 – </w:t>
      </w:r>
      <w:r>
        <w:rPr>
          <w:rFonts w:ascii="Arial" w:eastAsia="Times New Roman" w:hAnsi="Arial" w:cs="Arial"/>
          <w:b/>
        </w:rPr>
        <w:t>CPD removal at randomly selected simulated ORFs shows no difference in the distribution of repair rates between the wild type and GG-NER mutant cells.</w:t>
      </w:r>
      <w:r>
        <w:rPr>
          <w:rFonts w:ascii="Arial" w:eastAsia="Times New Roman" w:hAnsi="Arial" w:cs="Arial"/>
        </w:rPr>
        <w:t xml:space="preserve"> Relative rates of CPD removal around 2,974 randomly generated simulated composite ORF plots in wild type (black) and </w:t>
      </w:r>
      <w:r>
        <w:rPr>
          <w:rFonts w:ascii="Arial" w:eastAsia="Times New Roman" w:hAnsi="Arial" w:cs="Arial"/>
          <w:i/>
        </w:rPr>
        <w:t>rad16Δ</w:t>
      </w:r>
      <w:r>
        <w:rPr>
          <w:rFonts w:ascii="Arial" w:eastAsia="Times New Roman" w:hAnsi="Arial" w:cs="Arial"/>
        </w:rPr>
        <w:t xml:space="preserve"> cells (red). Shaded areas show the SEM and SD, </w:t>
      </w:r>
      <w:proofErr w:type="spellStart"/>
      <w:r>
        <w:rPr>
          <w:rFonts w:ascii="Arial" w:eastAsia="Times New Roman" w:hAnsi="Arial" w:cs="Arial"/>
        </w:rPr>
        <w:t>respecitvely</w:t>
      </w:r>
      <w:proofErr w:type="spellEnd"/>
      <w:r>
        <w:rPr>
          <w:rFonts w:ascii="Arial" w:eastAsia="Times New Roman" w:hAnsi="Arial" w:cs="Arial"/>
        </w:rPr>
        <w:t xml:space="preserve"> and CPD levels are plotted as arbitrary units on the y-axis.</w:t>
      </w:r>
    </w:p>
    <w:p w:rsidR="00B65A57" w:rsidRDefault="00B65A57" w:rsidP="003C2204">
      <w:pPr>
        <w:jc w:val="both"/>
      </w:pPr>
      <w:bookmarkStart w:id="0" w:name="_GoBack"/>
      <w:bookmarkEnd w:id="0"/>
    </w:p>
    <w:p w:rsidR="003C2204" w:rsidRDefault="003C2204">
      <w:r>
        <w:rPr>
          <w:noProof/>
          <w:lang w:eastAsia="en-GB"/>
        </w:rPr>
        <w:drawing>
          <wp:inline distT="0" distB="0" distL="0" distR="0">
            <wp:extent cx="5725160" cy="1753870"/>
            <wp:effectExtent l="0" t="0" r="8890" b="0"/>
            <wp:docPr id="5" name="Picture 5" descr="H:\Figures\Supplemental_Fig_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igures\Supplemental_Fig_S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160" cy="1753870"/>
                    </a:xfrm>
                    <a:prstGeom prst="rect">
                      <a:avLst/>
                    </a:prstGeom>
                    <a:noFill/>
                    <a:ln>
                      <a:noFill/>
                    </a:ln>
                  </pic:spPr>
                </pic:pic>
              </a:graphicData>
            </a:graphic>
          </wp:inline>
        </w:drawing>
      </w:r>
    </w:p>
    <w:p w:rsidR="003C2204" w:rsidRDefault="003C2204" w:rsidP="003C2204">
      <w:pPr>
        <w:pStyle w:val="Caption"/>
      </w:pPr>
      <w:r>
        <w:rPr>
          <w:rFonts w:cs="Arial"/>
          <w:u w:color="00000A"/>
        </w:rPr>
        <w:t xml:space="preserve">Supplemental </w:t>
      </w:r>
      <w:r>
        <w:rPr>
          <w:rFonts w:eastAsia="Times New Roman"/>
        </w:rPr>
        <w:t xml:space="preserve">Figure S4 – </w:t>
      </w:r>
      <w:r>
        <w:rPr>
          <w:rFonts w:eastAsia="Times New Roman"/>
          <w:b/>
        </w:rPr>
        <w:t>The GG-NER proteins bind to chromatin as a complex.</w:t>
      </w:r>
      <w:r>
        <w:rPr>
          <w:rFonts w:eastAsia="Times New Roman"/>
        </w:rPr>
        <w:t xml:space="preserve"> (</w:t>
      </w:r>
      <w:r>
        <w:rPr>
          <w:rFonts w:eastAsia="Times New Roman"/>
          <w:b/>
        </w:rPr>
        <w:t>A</w:t>
      </w:r>
      <w:r>
        <w:rPr>
          <w:rFonts w:eastAsia="Times New Roman"/>
        </w:rPr>
        <w:t xml:space="preserve">) Rad7 binding data in </w:t>
      </w:r>
      <w:bookmarkStart w:id="1" w:name="__DdeLink__3846_263704022"/>
      <w:r>
        <w:rPr>
          <w:rFonts w:eastAsia="Times New Roman"/>
          <w:i/>
        </w:rPr>
        <w:t>rad16Δ</w:t>
      </w:r>
      <w:bookmarkEnd w:id="1"/>
      <w:r>
        <w:rPr>
          <w:rFonts w:eastAsia="Times New Roman"/>
        </w:rPr>
        <w:t xml:space="preserve"> is shown around ORF structure for </w:t>
      </w:r>
      <w:proofErr w:type="spellStart"/>
      <w:r>
        <w:rPr>
          <w:rFonts w:eastAsia="Times New Roman"/>
        </w:rPr>
        <w:t>unirradiated</w:t>
      </w:r>
      <w:proofErr w:type="spellEnd"/>
      <w:r>
        <w:rPr>
          <w:rFonts w:eastAsia="Times New Roman"/>
        </w:rPr>
        <w:t xml:space="preserve"> (red) and 15 min post-UV (pink) datasets. Solid lines show the mean of</w:t>
      </w:r>
      <w:r>
        <w:rPr>
          <w:rFonts w:eastAsia="Times New Roman"/>
          <w:i/>
        </w:rPr>
        <w:t xml:space="preserve"> </w:t>
      </w:r>
      <w:r>
        <w:rPr>
          <w:rFonts w:eastAsia="Times New Roman"/>
        </w:rPr>
        <w:t>three</w:t>
      </w:r>
      <w:r>
        <w:rPr>
          <w:rFonts w:eastAsia="Times New Roman"/>
          <w:i/>
        </w:rPr>
        <w:t xml:space="preserve"> </w:t>
      </w:r>
      <w:r>
        <w:rPr>
          <w:rFonts w:eastAsia="Times New Roman"/>
        </w:rPr>
        <w:t xml:space="preserve">datasets per time point and shaded areas show the </w:t>
      </w:r>
      <w:r>
        <w:rPr>
          <w:rFonts w:eastAsia="Times New Roman" w:cs="Arial"/>
        </w:rPr>
        <w:t>SEM</w:t>
      </w:r>
      <w:r>
        <w:rPr>
          <w:rFonts w:eastAsia="Times New Roman"/>
        </w:rPr>
        <w:t>. (</w:t>
      </w:r>
      <w:r>
        <w:rPr>
          <w:rFonts w:eastAsia="Times New Roman"/>
          <w:b/>
        </w:rPr>
        <w:t>B</w:t>
      </w:r>
      <w:r>
        <w:rPr>
          <w:rFonts w:eastAsia="Times New Roman"/>
        </w:rPr>
        <w:t>) As (A) plotted around Abf1 binding sites.</w:t>
      </w:r>
    </w:p>
    <w:p w:rsidR="003C2204" w:rsidRDefault="003C2204">
      <w:r>
        <w:rPr>
          <w:noProof/>
          <w:lang w:eastAsia="en-GB"/>
        </w:rPr>
        <w:lastRenderedPageBreak/>
        <w:drawing>
          <wp:inline distT="0" distB="0" distL="0" distR="0">
            <wp:extent cx="5725160" cy="1910715"/>
            <wp:effectExtent l="0" t="0" r="8890" b="0"/>
            <wp:docPr id="6" name="Picture 6" descr="H:\Figures\Supplemental_Fig_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igures\Supplemental_Fig_S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1910715"/>
                    </a:xfrm>
                    <a:prstGeom prst="rect">
                      <a:avLst/>
                    </a:prstGeom>
                    <a:noFill/>
                    <a:ln>
                      <a:noFill/>
                    </a:ln>
                  </pic:spPr>
                </pic:pic>
              </a:graphicData>
            </a:graphic>
          </wp:inline>
        </w:drawing>
      </w:r>
    </w:p>
    <w:p w:rsidR="003C2204" w:rsidRDefault="003C2204" w:rsidP="003C2204">
      <w:pPr>
        <w:pStyle w:val="Caption"/>
        <w:rPr>
          <w:rFonts w:eastAsia="Times New Roman" w:cs="Arial"/>
          <w:iCs w:val="0"/>
          <w:u w:color="00000A"/>
          <w:lang w:eastAsia="zh-CN" w:bidi="hi-IN"/>
        </w:rPr>
      </w:pPr>
      <w:r>
        <w:rPr>
          <w:rFonts w:cs="Arial"/>
          <w:u w:color="00000A"/>
        </w:rPr>
        <w:t xml:space="preserve">Supplemental </w:t>
      </w:r>
      <w:r>
        <w:rPr>
          <w:rFonts w:eastAsia="Times New Roman" w:cs="Arial"/>
          <w:iCs w:val="0"/>
          <w:u w:color="00000A"/>
          <w:lang w:eastAsia="zh-CN" w:bidi="hi-IN"/>
        </w:rPr>
        <w:t xml:space="preserve">Figure S5 – </w:t>
      </w:r>
      <w:r>
        <w:rPr>
          <w:rFonts w:eastAsia="Times New Roman" w:cs="Arial"/>
          <w:b/>
          <w:iCs w:val="0"/>
          <w:u w:color="00000A"/>
          <w:lang w:eastAsia="zh-CN" w:bidi="hi-IN"/>
        </w:rPr>
        <w:t>Introducing mutations in the RING and ATPase domains does not affect full length protein production of Rad16.</w:t>
      </w:r>
      <w:r>
        <w:rPr>
          <w:rFonts w:eastAsia="Times New Roman" w:cs="Arial"/>
          <w:iCs w:val="0"/>
          <w:u w:color="00000A"/>
          <w:lang w:eastAsia="zh-CN" w:bidi="hi-IN"/>
        </w:rPr>
        <w:t xml:space="preserve"> (</w:t>
      </w:r>
      <w:r>
        <w:rPr>
          <w:rFonts w:eastAsia="Times New Roman" w:cs="Arial"/>
          <w:b/>
          <w:iCs w:val="0"/>
          <w:u w:color="00000A"/>
          <w:lang w:eastAsia="zh-CN" w:bidi="hi-IN"/>
        </w:rPr>
        <w:t>A</w:t>
      </w:r>
      <w:r>
        <w:rPr>
          <w:rFonts w:eastAsia="Times New Roman" w:cs="Arial"/>
          <w:iCs w:val="0"/>
          <w:u w:color="00000A"/>
          <w:lang w:eastAsia="zh-CN" w:bidi="hi-IN"/>
        </w:rPr>
        <w:t xml:space="preserve">) Western blot of the expression of the mutated, </w:t>
      </w:r>
      <w:proofErr w:type="spellStart"/>
      <w:r>
        <w:rPr>
          <w:rFonts w:eastAsia="Times New Roman" w:cs="Arial"/>
          <w:iCs w:val="0"/>
          <w:u w:color="00000A"/>
          <w:lang w:eastAsia="zh-CN" w:bidi="hi-IN"/>
        </w:rPr>
        <w:t>Myc</w:t>
      </w:r>
      <w:proofErr w:type="spellEnd"/>
      <w:r>
        <w:rPr>
          <w:rFonts w:eastAsia="Times New Roman" w:cs="Arial"/>
          <w:iCs w:val="0"/>
          <w:u w:color="00000A"/>
          <w:lang w:eastAsia="zh-CN" w:bidi="hi-IN"/>
        </w:rPr>
        <w:t xml:space="preserve">-tagged Rad16 proteins reveals production of full length protein at normal levels (top panel). The last lane was used to include protein extracts of </w:t>
      </w:r>
      <w:r>
        <w:rPr>
          <w:rFonts w:eastAsia="Times New Roman" w:cs="Arial"/>
          <w:i/>
          <w:iCs w:val="0"/>
          <w:u w:color="00000A"/>
          <w:lang w:eastAsia="zh-CN" w:bidi="hi-IN"/>
        </w:rPr>
        <w:t xml:space="preserve">rad16Δ </w:t>
      </w:r>
      <w:r>
        <w:rPr>
          <w:rFonts w:eastAsia="Times New Roman" w:cs="Arial"/>
          <w:iCs w:val="0"/>
          <w:u w:color="00000A"/>
          <w:lang w:eastAsia="zh-CN" w:bidi="hi-IN"/>
        </w:rPr>
        <w:t>cells as a negative control. For each mutant a pair of two individual clones are shown here. As a loading control the blot was stripped and probed for tubulin (lower panel). The asterisks indicate the presence of minor Rad16 degradation associated with the ATPase mutation. (</w:t>
      </w:r>
      <w:r>
        <w:rPr>
          <w:rFonts w:eastAsia="Times New Roman" w:cs="Arial"/>
          <w:b/>
          <w:iCs w:val="0"/>
          <w:u w:color="00000A"/>
          <w:lang w:eastAsia="zh-CN" w:bidi="hi-IN"/>
        </w:rPr>
        <w:t>B</w:t>
      </w:r>
      <w:r>
        <w:rPr>
          <w:rFonts w:eastAsia="Times New Roman" w:cs="Arial"/>
          <w:iCs w:val="0"/>
          <w:u w:color="00000A"/>
          <w:lang w:eastAsia="zh-CN" w:bidi="hi-IN"/>
        </w:rPr>
        <w:t>) Western blot as A, now showing the correct association of the mutated Rad16 proteins with chromatin (top panel). W = wild type, A = ATPase mutant, R = RING mutant, A/R = ATPase/RING double mutant, WCE = Whole Cell Extract. The lower panel displays the histone H3 probed Western blot as a positive control for chromatin associated protein.</w:t>
      </w:r>
    </w:p>
    <w:p w:rsidR="00B65A57" w:rsidRDefault="00B65A57" w:rsidP="003C2204">
      <w:pPr>
        <w:pStyle w:val="Caption"/>
      </w:pPr>
    </w:p>
    <w:p w:rsidR="003C2204" w:rsidRDefault="003C2204">
      <w:r>
        <w:rPr>
          <w:noProof/>
          <w:lang w:eastAsia="en-GB"/>
        </w:rPr>
        <w:drawing>
          <wp:inline distT="0" distB="0" distL="0" distR="0">
            <wp:extent cx="5725160" cy="1753870"/>
            <wp:effectExtent l="0" t="0" r="8890" b="0"/>
            <wp:docPr id="7" name="Picture 7" descr="H:\Figures\Supplemental_Fig_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igures\Supplemental_Fig_S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1753870"/>
                    </a:xfrm>
                    <a:prstGeom prst="rect">
                      <a:avLst/>
                    </a:prstGeom>
                    <a:noFill/>
                    <a:ln>
                      <a:noFill/>
                    </a:ln>
                  </pic:spPr>
                </pic:pic>
              </a:graphicData>
            </a:graphic>
          </wp:inline>
        </w:drawing>
      </w:r>
    </w:p>
    <w:p w:rsidR="003C2204" w:rsidRDefault="003C2204" w:rsidP="003C2204">
      <w:pPr>
        <w:pStyle w:val="Caption"/>
        <w:rPr>
          <w:rFonts w:cs="Arial"/>
        </w:rPr>
      </w:pPr>
      <w:r>
        <w:rPr>
          <w:rFonts w:cs="Arial"/>
          <w:u w:color="00000A"/>
        </w:rPr>
        <w:t>Supplemental</w:t>
      </w:r>
      <w:r>
        <w:rPr>
          <w:rFonts w:cs="Arial"/>
        </w:rPr>
        <w:t xml:space="preserve"> Figure S6 </w:t>
      </w:r>
      <w:r>
        <w:rPr>
          <w:rFonts w:cs="Arial"/>
          <w:u w:color="00000A"/>
        </w:rPr>
        <w:t xml:space="preserve">– </w:t>
      </w:r>
      <w:r>
        <w:rPr>
          <w:rFonts w:cs="Arial"/>
          <w:b/>
        </w:rPr>
        <w:t xml:space="preserve">The activity of both the ATPase and RING domain of Rad16 determine its chromatin occupancy before and after UV irradiation. </w:t>
      </w:r>
      <w:r>
        <w:rPr>
          <w:rFonts w:cs="Arial"/>
          <w:i/>
        </w:rPr>
        <w:t>Composite plots of Rad16 chromatin occupancy in the Rad16RING/ATPase double mutant.</w:t>
      </w:r>
      <w:r>
        <w:rPr>
          <w:rFonts w:cs="Arial"/>
        </w:rPr>
        <w:t xml:space="preserve"> Mutated Rad16RING/ATPase binding data around (A) Abf1 binding sites and (B) ORF structures in the absence of UV irradiation (dark blue) and 15 minutes after UV irradiation (green) is shown here.</w:t>
      </w:r>
    </w:p>
    <w:p w:rsidR="00B65A57" w:rsidRDefault="00B65A57" w:rsidP="003C2204">
      <w:pPr>
        <w:pStyle w:val="Caption"/>
      </w:pPr>
    </w:p>
    <w:p w:rsidR="003C2204" w:rsidRDefault="003C2204">
      <w:r>
        <w:rPr>
          <w:noProof/>
          <w:lang w:eastAsia="en-GB"/>
        </w:rPr>
        <w:lastRenderedPageBreak/>
        <w:drawing>
          <wp:inline distT="0" distB="0" distL="0" distR="0">
            <wp:extent cx="5725160" cy="3500755"/>
            <wp:effectExtent l="0" t="0" r="8890" b="4445"/>
            <wp:docPr id="8" name="Picture 8" descr="H:\Figures\Supplemental_Fig_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igures\Supplemental_Fig_S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160" cy="3500755"/>
                    </a:xfrm>
                    <a:prstGeom prst="rect">
                      <a:avLst/>
                    </a:prstGeom>
                    <a:noFill/>
                    <a:ln>
                      <a:noFill/>
                    </a:ln>
                  </pic:spPr>
                </pic:pic>
              </a:graphicData>
            </a:graphic>
          </wp:inline>
        </w:drawing>
      </w:r>
    </w:p>
    <w:p w:rsidR="003C2204" w:rsidRDefault="003C2204" w:rsidP="003C2204">
      <w:pPr>
        <w:pStyle w:val="Caption"/>
        <w:rPr>
          <w:rFonts w:eastAsia="Times New Roman"/>
        </w:rPr>
      </w:pPr>
      <w:r>
        <w:rPr>
          <w:rFonts w:cs="Arial"/>
          <w:u w:color="00000A"/>
        </w:rPr>
        <w:t xml:space="preserve">Supplemental </w:t>
      </w:r>
      <w:r>
        <w:rPr>
          <w:rFonts w:eastAsia="Times New Roman"/>
        </w:rPr>
        <w:t xml:space="preserve">Figure S7 – </w:t>
      </w:r>
      <w:r>
        <w:rPr>
          <w:rFonts w:eastAsia="Times New Roman"/>
          <w:b/>
        </w:rPr>
        <w:t>Gcn5 is recruited to and retained in the vicinity of ABF1 binding sites in response to UV in a GG-NER-dependent manner.</w:t>
      </w:r>
      <w:r>
        <w:rPr>
          <w:rFonts w:eastAsia="Times New Roman"/>
        </w:rPr>
        <w:t xml:space="preserve">  Gcn5 </w:t>
      </w:r>
      <w:proofErr w:type="spellStart"/>
      <w:r>
        <w:rPr>
          <w:rFonts w:eastAsia="Times New Roman"/>
        </w:rPr>
        <w:t>ChIP</w:t>
      </w:r>
      <w:proofErr w:type="spellEnd"/>
      <w:r>
        <w:rPr>
          <w:rFonts w:eastAsia="Times New Roman"/>
        </w:rPr>
        <w:t>-Chip data from Figure 6C and D is shown here split into the four different time points to highlight the GG-NER-dependent Gcn5 retention on chromatin in the following time points the (</w:t>
      </w:r>
      <w:r>
        <w:rPr>
          <w:rFonts w:eastAsia="Times New Roman"/>
          <w:b/>
        </w:rPr>
        <w:t>A</w:t>
      </w:r>
      <w:r>
        <w:rPr>
          <w:rFonts w:eastAsia="Times New Roman"/>
        </w:rPr>
        <w:t>) in absence of UV, (</w:t>
      </w:r>
      <w:r>
        <w:rPr>
          <w:rFonts w:eastAsia="Times New Roman"/>
          <w:b/>
        </w:rPr>
        <w:t>B</w:t>
      </w:r>
      <w:r>
        <w:rPr>
          <w:rFonts w:eastAsia="Times New Roman"/>
        </w:rPr>
        <w:t>) at 0 min, (</w:t>
      </w:r>
      <w:r>
        <w:rPr>
          <w:rFonts w:eastAsia="Times New Roman"/>
          <w:b/>
        </w:rPr>
        <w:t>C</w:t>
      </w:r>
      <w:r>
        <w:rPr>
          <w:rFonts w:eastAsia="Times New Roman"/>
        </w:rPr>
        <w:t>) 15 min and (</w:t>
      </w:r>
      <w:r>
        <w:rPr>
          <w:rFonts w:eastAsia="Times New Roman"/>
          <w:b/>
        </w:rPr>
        <w:t>D</w:t>
      </w:r>
      <w:r>
        <w:rPr>
          <w:rFonts w:eastAsia="Times New Roman"/>
        </w:rPr>
        <w:t>) 60 min after UV irradiation.</w:t>
      </w:r>
    </w:p>
    <w:p w:rsidR="00B65A57" w:rsidRDefault="00B65A57" w:rsidP="003C2204">
      <w:pPr>
        <w:pStyle w:val="Caption"/>
        <w:rPr>
          <w:rFonts w:eastAsia="Times New Roman"/>
        </w:rPr>
      </w:pPr>
    </w:p>
    <w:p w:rsidR="003C2204" w:rsidRDefault="003C2204">
      <w:r>
        <w:rPr>
          <w:noProof/>
          <w:lang w:eastAsia="en-GB"/>
        </w:rPr>
        <w:drawing>
          <wp:inline distT="0" distB="0" distL="0" distR="0">
            <wp:extent cx="3241040" cy="1978660"/>
            <wp:effectExtent l="0" t="0" r="0" b="2540"/>
            <wp:docPr id="9" name="Picture 9" descr="H:\Figures\Supplemental_Fig_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igures\Supplemental_Fig_S8.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040" cy="1978660"/>
                    </a:xfrm>
                    <a:prstGeom prst="rect">
                      <a:avLst/>
                    </a:prstGeom>
                    <a:noFill/>
                    <a:ln>
                      <a:noFill/>
                    </a:ln>
                  </pic:spPr>
                </pic:pic>
              </a:graphicData>
            </a:graphic>
          </wp:inline>
        </w:drawing>
      </w:r>
    </w:p>
    <w:p w:rsidR="003C2204" w:rsidRDefault="003C2204" w:rsidP="003C2204">
      <w:pPr>
        <w:pStyle w:val="Caption"/>
      </w:pPr>
      <w:r>
        <w:rPr>
          <w:rFonts w:cs="Arial"/>
          <w:u w:color="00000A"/>
        </w:rPr>
        <w:t xml:space="preserve">Supplemental </w:t>
      </w:r>
      <w:r>
        <w:rPr>
          <w:rFonts w:eastAsia="Times New Roman"/>
        </w:rPr>
        <w:t xml:space="preserve">Figure S8 – </w:t>
      </w:r>
      <w:r>
        <w:rPr>
          <w:rFonts w:eastAsia="Times New Roman"/>
          <w:b/>
        </w:rPr>
        <w:t>Histone H3 acetylation induced by UV irradiation in wild type cells depends on the HAT Gcn5.</w:t>
      </w:r>
      <w:r>
        <w:rPr>
          <w:rFonts w:eastAsia="Times New Roman"/>
        </w:rPr>
        <w:t xml:space="preserve">  Post-UV H3Ac levels in wild type (dark green) and </w:t>
      </w:r>
      <w:r>
        <w:rPr>
          <w:rFonts w:eastAsia="Times New Roman"/>
          <w:i/>
        </w:rPr>
        <w:t>gcn5Δ</w:t>
      </w:r>
      <w:r>
        <w:rPr>
          <w:rFonts w:eastAsia="Times New Roman"/>
        </w:rPr>
        <w:t xml:space="preserve"> (light green) around ORFs are shown here. Solid lines show the mean of</w:t>
      </w:r>
      <w:r>
        <w:rPr>
          <w:rFonts w:eastAsia="Times New Roman"/>
          <w:i/>
        </w:rPr>
        <w:t xml:space="preserve"> </w:t>
      </w:r>
      <w:r>
        <w:rPr>
          <w:rFonts w:eastAsia="Times New Roman"/>
        </w:rPr>
        <w:t>three</w:t>
      </w:r>
      <w:r>
        <w:rPr>
          <w:rFonts w:eastAsia="Times New Roman"/>
          <w:i/>
        </w:rPr>
        <w:t xml:space="preserve"> </w:t>
      </w:r>
      <w:r>
        <w:rPr>
          <w:rFonts w:eastAsia="Times New Roman"/>
        </w:rPr>
        <w:t>datasets. Shaded areas show the SEM.</w:t>
      </w:r>
    </w:p>
    <w:p w:rsidR="003C2204" w:rsidRDefault="003C2204"/>
    <w:sectPr w:rsidR="003C22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e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204"/>
    <w:rsid w:val="003C2204"/>
    <w:rsid w:val="009725F8"/>
    <w:rsid w:val="00B65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97F78-164C-463E-AC43-AED40EA8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22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qFormat/>
    <w:rsid w:val="003C2204"/>
    <w:pPr>
      <w:suppressLineNumbers/>
      <w:suppressAutoHyphens/>
      <w:spacing w:before="120" w:after="120" w:line="240" w:lineRule="auto"/>
      <w:jc w:val="both"/>
    </w:pPr>
    <w:rPr>
      <w:rFonts w:ascii="Arial" w:eastAsia="Arial Unicode MS" w:hAnsi="Arial" w:cs="FreeSans"/>
      <w:iCs/>
      <w:color w:val="00000A"/>
      <w:szCs w:val="24"/>
    </w:rPr>
  </w:style>
  <w:style w:type="character" w:customStyle="1" w:styleId="Heading1Char">
    <w:name w:val="Heading 1 Char"/>
    <w:basedOn w:val="DefaultParagraphFont"/>
    <w:link w:val="Heading1"/>
    <w:uiPriority w:val="9"/>
    <w:rsid w:val="003C220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Van Eijk</dc:creator>
  <cp:keywords/>
  <dc:description/>
  <cp:lastModifiedBy>Patrick Van Eijk</cp:lastModifiedBy>
  <cp:revision>3</cp:revision>
  <dcterms:created xsi:type="dcterms:W3CDTF">2016-07-11T14:33:00Z</dcterms:created>
  <dcterms:modified xsi:type="dcterms:W3CDTF">2016-07-11T14:40:00Z</dcterms:modified>
</cp:coreProperties>
</file>