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5ED" w:rsidRDefault="003415ED" w:rsidP="003415ED">
      <w:pPr>
        <w:pStyle w:val="Body"/>
        <w:spacing w:line="360" w:lineRule="auto"/>
        <w:rPr>
          <w:rFonts w:ascii="Helvetica Light"/>
          <w:i/>
          <w:iCs/>
        </w:rPr>
      </w:pPr>
      <w:r>
        <w:rPr>
          <w:rFonts w:ascii="Helvetica Light"/>
          <w:i/>
          <w:iCs/>
        </w:rPr>
        <w:t>Supplementary Figure 1</w:t>
      </w:r>
    </w:p>
    <w:p w:rsidR="003415ED" w:rsidRPr="00BE06F1" w:rsidRDefault="003415ED" w:rsidP="003415ED">
      <w:pPr>
        <w:pStyle w:val="Body"/>
        <w:spacing w:line="360" w:lineRule="auto"/>
        <w:rPr>
          <w:rFonts w:ascii="Helvetica Light" w:hAnsi="Helvetica Light"/>
        </w:rPr>
      </w:pPr>
      <w:r>
        <w:rPr>
          <w:rFonts w:ascii="Helvetica Light" w:hAnsi="Helvetica Light"/>
        </w:rPr>
        <w:t xml:space="preserve">(A) </w:t>
      </w:r>
      <w:r w:rsidRPr="00D25DED">
        <w:rPr>
          <w:rFonts w:ascii="Helvetica Light" w:hAnsi="Helvetica Light"/>
        </w:rPr>
        <w:t xml:space="preserve">The scatter plot displays </w:t>
      </w:r>
      <w:r>
        <w:rPr>
          <w:rFonts w:ascii="Helvetica Light" w:hAnsi="Helvetica Light"/>
        </w:rPr>
        <w:t xml:space="preserve">the area under the precision-recall curve </w:t>
      </w:r>
      <w:r w:rsidRPr="00D25DED">
        <w:rPr>
          <w:rFonts w:ascii="Helvetica Light" w:hAnsi="Helvetica Light"/>
        </w:rPr>
        <w:t>AU</w:t>
      </w:r>
      <w:r>
        <w:rPr>
          <w:rFonts w:ascii="Helvetica Light" w:hAnsi="Helvetica Light"/>
        </w:rPr>
        <w:t xml:space="preserve">PRC for 50 randomly selected cell </w:t>
      </w:r>
      <w:r w:rsidRPr="00D25DED">
        <w:rPr>
          <w:rFonts w:ascii="Helvetica Light" w:hAnsi="Helvetica Light"/>
        </w:rPr>
        <w:t xml:space="preserve">types achieved by Basset and the state-of-the-art approach </w:t>
      </w:r>
      <w:proofErr w:type="spellStart"/>
      <w:r w:rsidRPr="00D25DED">
        <w:rPr>
          <w:rFonts w:ascii="Helvetica Light" w:hAnsi="Helvetica Light"/>
        </w:rPr>
        <w:t>gkm</w:t>
      </w:r>
      <w:proofErr w:type="spellEnd"/>
      <w:r w:rsidRPr="00D25DED">
        <w:rPr>
          <w:rFonts w:ascii="Helvetica Light" w:hAnsi="Helvetica Light"/>
        </w:rPr>
        <w:t>-SVM, whi</w:t>
      </w:r>
      <w:r>
        <w:rPr>
          <w:rFonts w:ascii="Helvetica Light" w:hAnsi="Helvetica Light"/>
        </w:rPr>
        <w:t xml:space="preserve">ch uses support vector machines. (B) </w:t>
      </w:r>
      <w:r w:rsidRPr="00BE06F1">
        <w:rPr>
          <w:rFonts w:ascii="Helvetica Light" w:hAnsi="Helvetica Light"/>
        </w:rPr>
        <w:t xml:space="preserve">The curves display Basset’s recall versus precision for </w:t>
      </w:r>
      <w:r>
        <w:rPr>
          <w:rFonts w:ascii="Helvetica Light" w:hAnsi="Helvetica Light"/>
        </w:rPr>
        <w:t>five cells,</w:t>
      </w:r>
      <w:r w:rsidRPr="00BE06F1">
        <w:rPr>
          <w:rFonts w:ascii="Helvetica Light" w:hAnsi="Helvetica Light"/>
        </w:rPr>
        <w:t xml:space="preserve"> which</w:t>
      </w:r>
      <w:r>
        <w:rPr>
          <w:rFonts w:ascii="Helvetica Light" w:hAnsi="Helvetica Light"/>
        </w:rPr>
        <w:t xml:space="preserve"> </w:t>
      </w:r>
      <w:r w:rsidRPr="00BE06F1">
        <w:rPr>
          <w:rFonts w:ascii="Helvetica Light" w:hAnsi="Helvetica Light"/>
        </w:rPr>
        <w:t>were selected to represent the .05, .33, .50, .</w:t>
      </w:r>
      <w:r>
        <w:rPr>
          <w:rFonts w:ascii="Helvetica Light" w:hAnsi="Helvetica Light"/>
        </w:rPr>
        <w:t xml:space="preserve">67, and .95 </w:t>
      </w:r>
      <w:proofErr w:type="spellStart"/>
      <w:r>
        <w:rPr>
          <w:rFonts w:ascii="Helvetica Light" w:hAnsi="Helvetica Light"/>
        </w:rPr>
        <w:t>quantiles</w:t>
      </w:r>
      <w:proofErr w:type="spellEnd"/>
      <w:r>
        <w:rPr>
          <w:rFonts w:ascii="Helvetica Light" w:hAnsi="Helvetica Light"/>
        </w:rPr>
        <w:t xml:space="preserve"> of the AUPR</w:t>
      </w:r>
      <w:r w:rsidRPr="00BE06F1">
        <w:rPr>
          <w:rFonts w:ascii="Helvetica Light" w:hAnsi="Helvetica Light"/>
        </w:rPr>
        <w:t>C distribution.</w:t>
      </w:r>
      <w:r>
        <w:rPr>
          <w:rFonts w:ascii="Helvetica Light" w:hAnsi="Helvetica Light"/>
        </w:rPr>
        <w:t xml:space="preserve"> Dotted lines represent a null model of random guessing.</w:t>
      </w:r>
    </w:p>
    <w:p w:rsidR="003415ED" w:rsidRPr="00BE06F1" w:rsidRDefault="003415ED" w:rsidP="003415ED">
      <w:pPr>
        <w:pStyle w:val="Body"/>
        <w:spacing w:line="360" w:lineRule="auto"/>
        <w:rPr>
          <w:rFonts w:ascii="Helvetica Light" w:hAnsi="Helvetica Light"/>
          <w:iCs/>
        </w:rPr>
      </w:pPr>
    </w:p>
    <w:p w:rsidR="003415ED" w:rsidRDefault="003415ED" w:rsidP="003415ED">
      <w:pPr>
        <w:pStyle w:val="Body"/>
        <w:spacing w:line="360" w:lineRule="auto"/>
        <w:rPr>
          <w:rFonts w:ascii="Helvetica Light" w:eastAsia="Helvetica Light" w:hAnsi="Helvetica Light" w:cs="Helvetica Light"/>
          <w:i/>
          <w:iCs/>
        </w:rPr>
      </w:pPr>
      <w:r>
        <w:rPr>
          <w:rFonts w:ascii="Helvetica Light"/>
          <w:i/>
          <w:iCs/>
        </w:rPr>
        <w:t>Supplementary Figure 2</w:t>
      </w:r>
    </w:p>
    <w:p w:rsidR="003415ED" w:rsidRPr="001933CD" w:rsidRDefault="003415ED" w:rsidP="003415ED">
      <w:pPr>
        <w:pStyle w:val="Body"/>
        <w:spacing w:line="360" w:lineRule="auto"/>
        <w:rPr>
          <w:rFonts w:ascii="Helvetica Light"/>
        </w:rPr>
      </w:pPr>
      <w:r>
        <w:rPr>
          <w:rFonts w:ascii="Helvetica Light"/>
        </w:rPr>
        <w:t xml:space="preserve">We plotted Basset accessibility predictions for 1000 random test sequences in the 164 cell types and performed average linkage hierarchical clustering using cosine distance. We manually annotated cells using ENCODE and Roadmap </w:t>
      </w:r>
      <w:proofErr w:type="spellStart"/>
      <w:r>
        <w:rPr>
          <w:rFonts w:ascii="Helvetica Light"/>
        </w:rPr>
        <w:t>Epigenomics</w:t>
      </w:r>
      <w:proofErr w:type="spellEnd"/>
      <w:r>
        <w:rPr>
          <w:rFonts w:ascii="Helvetica Light"/>
        </w:rPr>
        <w:t xml:space="preserve"> descriptive tables. Cell and lineage-specific regulatory programs appear as coherent clusters of cell types.</w:t>
      </w:r>
    </w:p>
    <w:p w:rsidR="003415ED" w:rsidRDefault="003415ED" w:rsidP="003415ED">
      <w:pPr>
        <w:pStyle w:val="Body"/>
        <w:spacing w:line="360" w:lineRule="auto"/>
        <w:rPr>
          <w:rFonts w:ascii="Helvetica Light" w:eastAsia="Helvetica Light" w:hAnsi="Helvetica Light" w:cs="Helvetica Light"/>
        </w:rPr>
      </w:pPr>
    </w:p>
    <w:p w:rsidR="003415ED" w:rsidRDefault="003415ED" w:rsidP="003415ED">
      <w:pPr>
        <w:pStyle w:val="Body"/>
        <w:spacing w:line="360" w:lineRule="auto"/>
        <w:rPr>
          <w:rFonts w:ascii="Helvetica Light" w:eastAsia="Helvetica Light" w:hAnsi="Helvetica Light" w:cs="Helvetica Light"/>
          <w:i/>
          <w:iCs/>
        </w:rPr>
      </w:pPr>
      <w:r>
        <w:rPr>
          <w:rFonts w:ascii="Helvetica Light"/>
          <w:i/>
          <w:iCs/>
        </w:rPr>
        <w:t>Supplementary Figure 3</w:t>
      </w:r>
    </w:p>
    <w:p w:rsidR="003415ED" w:rsidRPr="00A6190B" w:rsidRDefault="003415ED" w:rsidP="003415ED">
      <w:pPr>
        <w:pStyle w:val="Body"/>
        <w:spacing w:line="360" w:lineRule="auto"/>
        <w:rPr>
          <w:rFonts w:ascii="Helvetica Light"/>
        </w:rPr>
      </w:pPr>
      <w:r>
        <w:rPr>
          <w:rFonts w:ascii="Helvetica Light"/>
        </w:rPr>
        <w:t xml:space="preserve">One can separate the sites into </w:t>
      </w:r>
      <w:r w:rsidRPr="00A6190B">
        <w:rPr>
          <w:rFonts w:ascii="Helvetica Light"/>
          <w:i/>
        </w:rPr>
        <w:t>specific</w:t>
      </w:r>
      <w:r>
        <w:rPr>
          <w:rFonts w:ascii="Helvetica Light"/>
        </w:rPr>
        <w:t xml:space="preserve"> versus </w:t>
      </w:r>
      <w:r w:rsidRPr="00A6190B">
        <w:rPr>
          <w:rFonts w:ascii="Helvetica Light"/>
          <w:i/>
        </w:rPr>
        <w:t>constitutive</w:t>
      </w:r>
      <w:r>
        <w:rPr>
          <w:rFonts w:ascii="Helvetica Light"/>
        </w:rPr>
        <w:t xml:space="preserve"> based on what proportion of cells the site is accessible in. Then in each cell type, some </w:t>
      </w:r>
      <w:proofErr w:type="gramStart"/>
      <w:r>
        <w:rPr>
          <w:rFonts w:ascii="Helvetica Light"/>
        </w:rPr>
        <w:t>proportion of the accessible sites are</w:t>
      </w:r>
      <w:proofErr w:type="gramEnd"/>
      <w:r>
        <w:rPr>
          <w:rFonts w:ascii="Helvetica Light"/>
        </w:rPr>
        <w:t xml:space="preserve"> </w:t>
      </w:r>
      <w:r w:rsidRPr="00A6190B">
        <w:rPr>
          <w:rFonts w:ascii="Helvetica Light"/>
          <w:i/>
        </w:rPr>
        <w:t>specific</w:t>
      </w:r>
      <w:r>
        <w:rPr>
          <w:rFonts w:ascii="Helvetica Light"/>
        </w:rPr>
        <w:t xml:space="preserve"> and the rest are </w:t>
      </w:r>
      <w:r w:rsidRPr="00A6190B">
        <w:rPr>
          <w:rFonts w:ascii="Helvetica Light"/>
          <w:i/>
        </w:rPr>
        <w:t>constitutive</w:t>
      </w:r>
      <w:r>
        <w:rPr>
          <w:rFonts w:ascii="Helvetica Light"/>
        </w:rPr>
        <w:t xml:space="preserve">. (A) We plotted the average specific proportion across cell types as we vary the threshold to separate </w:t>
      </w:r>
      <w:r>
        <w:rPr>
          <w:rFonts w:ascii="Helvetica Light"/>
          <w:i/>
        </w:rPr>
        <w:t>specific</w:t>
      </w:r>
      <w:r>
        <w:rPr>
          <w:rFonts w:ascii="Helvetica Light"/>
        </w:rPr>
        <w:t xml:space="preserve"> from </w:t>
      </w:r>
      <w:r>
        <w:rPr>
          <w:rFonts w:ascii="Helvetica Light"/>
          <w:i/>
        </w:rPr>
        <w:t>constitutive</w:t>
      </w:r>
      <w:r>
        <w:rPr>
          <w:rFonts w:ascii="Helvetica Light"/>
        </w:rPr>
        <w:t xml:space="preserve">. I.e. when we consider sites that are accessible in &gt;50% of the cells to be </w:t>
      </w:r>
      <w:r>
        <w:rPr>
          <w:rFonts w:ascii="Helvetica Light"/>
          <w:i/>
        </w:rPr>
        <w:t>constitutive</w:t>
      </w:r>
      <w:r>
        <w:rPr>
          <w:rFonts w:ascii="Helvetica Light"/>
        </w:rPr>
        <w:t xml:space="preserve">, those </w:t>
      </w:r>
      <w:r>
        <w:rPr>
          <w:rFonts w:ascii="Helvetica Light"/>
          <w:i/>
        </w:rPr>
        <w:t xml:space="preserve">constitutive </w:t>
      </w:r>
      <w:r>
        <w:rPr>
          <w:rFonts w:ascii="Helvetica Light"/>
        </w:rPr>
        <w:t>sites make up an average of 35% of the accessible sites in each cell type. (B) We can also compute accuracy separately on the two subsets as we vary the threshold. Sites that are only accessible in few cell types are more challenging to predict.</w:t>
      </w:r>
    </w:p>
    <w:p w:rsidR="003415ED" w:rsidRDefault="003415ED" w:rsidP="003415ED">
      <w:pPr>
        <w:pStyle w:val="Body"/>
        <w:spacing w:line="360" w:lineRule="auto"/>
        <w:rPr>
          <w:rFonts w:ascii="Helvetica Light"/>
        </w:rPr>
      </w:pPr>
    </w:p>
    <w:p w:rsidR="003415ED" w:rsidRDefault="003415ED" w:rsidP="003415ED">
      <w:pPr>
        <w:pStyle w:val="Body"/>
        <w:spacing w:line="360" w:lineRule="auto"/>
        <w:rPr>
          <w:rFonts w:ascii="Helvetica Light" w:eastAsia="Helvetica Light" w:hAnsi="Helvetica Light" w:cs="Helvetica Light"/>
          <w:i/>
          <w:iCs/>
        </w:rPr>
      </w:pPr>
      <w:r>
        <w:rPr>
          <w:rFonts w:ascii="Helvetica Light"/>
          <w:i/>
          <w:iCs/>
        </w:rPr>
        <w:t>Supplementary Figure 4</w:t>
      </w:r>
    </w:p>
    <w:p w:rsidR="003415ED" w:rsidRDefault="003415ED" w:rsidP="003415ED">
      <w:pPr>
        <w:pStyle w:val="Body"/>
        <w:spacing w:line="360" w:lineRule="auto"/>
        <w:rPr>
          <w:rFonts w:ascii="Helvetica Light"/>
        </w:rPr>
      </w:pPr>
      <w:r>
        <w:rPr>
          <w:rFonts w:ascii="Helvetica Light"/>
        </w:rPr>
        <w:t xml:space="preserve">We annotated sites as promoter, intragenic, or </w:t>
      </w:r>
      <w:proofErr w:type="spellStart"/>
      <w:r>
        <w:rPr>
          <w:rFonts w:ascii="Helvetica Light"/>
        </w:rPr>
        <w:t>intergenic</w:t>
      </w:r>
      <w:proofErr w:type="spellEnd"/>
      <w:r>
        <w:rPr>
          <w:rFonts w:ascii="Helvetica Light"/>
        </w:rPr>
        <w:t xml:space="preserve"> using GENCODE v18 gene annotations. In each scatter plot, we compare the AUC for the 164 cell types for test sequences assigned to the labeled annotations. Predictive accuracy was consistent between annotations. Basset predicted promoter accessibility with slightly greater accuracy than other sites and </w:t>
      </w:r>
      <w:proofErr w:type="spellStart"/>
      <w:r>
        <w:rPr>
          <w:rFonts w:ascii="Helvetica Light"/>
        </w:rPr>
        <w:t>intergenic</w:t>
      </w:r>
      <w:proofErr w:type="spellEnd"/>
      <w:r>
        <w:rPr>
          <w:rFonts w:ascii="Helvetica Light"/>
        </w:rPr>
        <w:t xml:space="preserve"> site accessibility with slightly greater accuracy than intragenic sites. Intragenic accessibility is likely more challenging to predict because of complex interaction with the transcription machinery.</w:t>
      </w:r>
    </w:p>
    <w:p w:rsidR="003415ED" w:rsidRDefault="003415ED" w:rsidP="003415ED">
      <w:pPr>
        <w:pStyle w:val="Body"/>
        <w:spacing w:line="360" w:lineRule="auto"/>
        <w:rPr>
          <w:rFonts w:ascii="Helvetica Light"/>
        </w:rPr>
      </w:pPr>
    </w:p>
    <w:p w:rsidR="003415ED" w:rsidRDefault="003415ED" w:rsidP="003415ED">
      <w:pPr>
        <w:pStyle w:val="Body"/>
        <w:spacing w:line="360" w:lineRule="auto"/>
        <w:rPr>
          <w:rFonts w:ascii="Helvetica Light"/>
          <w:i/>
          <w:iCs/>
        </w:rPr>
      </w:pPr>
      <w:r>
        <w:rPr>
          <w:rFonts w:ascii="Helvetica Light"/>
          <w:i/>
          <w:iCs/>
        </w:rPr>
        <w:t>Supplementary Figure 5</w:t>
      </w:r>
    </w:p>
    <w:p w:rsidR="003415ED" w:rsidRDefault="003415ED" w:rsidP="003415ED">
      <w:pPr>
        <w:pStyle w:val="Body"/>
        <w:spacing w:line="360" w:lineRule="auto"/>
        <w:rPr>
          <w:rFonts w:ascii="Helvetica Light"/>
          <w:iCs/>
        </w:rPr>
      </w:pPr>
      <w:r>
        <w:rPr>
          <w:rFonts w:ascii="Helvetica Light"/>
          <w:iCs/>
        </w:rPr>
        <w:t>On the left, 12 first-layer convolution filters aligned significantly to the CTCF CIS-BP motif, of which the 7 depicted here aligned to the motif in the forward direction. Each filter focuses on different aspects of this complex binding motif. On the right, the CIS-</w:t>
      </w:r>
      <w:r>
        <w:rPr>
          <w:rFonts w:ascii="Helvetica Light"/>
          <w:iCs/>
        </w:rPr>
        <w:lastRenderedPageBreak/>
        <w:t>BP motif for NR1H2 comprises two similar pieces. Basset learns each piece individually and re-uses the filters for both halves. It also learns filters that span the junction, e.g. filter0 and filter265.</w:t>
      </w:r>
    </w:p>
    <w:p w:rsidR="003415ED" w:rsidRPr="00BA109E" w:rsidRDefault="003415ED" w:rsidP="003415ED">
      <w:pPr>
        <w:pStyle w:val="Body"/>
        <w:spacing w:line="360" w:lineRule="auto"/>
        <w:rPr>
          <w:rFonts w:ascii="Helvetica Light"/>
          <w:iCs/>
        </w:rPr>
      </w:pPr>
    </w:p>
    <w:p w:rsidR="003415ED" w:rsidRDefault="003415ED" w:rsidP="003415ED">
      <w:pPr>
        <w:pStyle w:val="Body"/>
        <w:spacing w:line="360" w:lineRule="auto"/>
        <w:rPr>
          <w:rFonts w:ascii="Helvetica Light" w:eastAsia="Helvetica Light" w:hAnsi="Helvetica Light" w:cs="Helvetica Light"/>
          <w:i/>
          <w:iCs/>
        </w:rPr>
      </w:pPr>
      <w:r>
        <w:rPr>
          <w:rFonts w:ascii="Helvetica Light"/>
          <w:i/>
          <w:iCs/>
        </w:rPr>
        <w:t>Supplementary Figure 6</w:t>
      </w:r>
    </w:p>
    <w:p w:rsidR="003415ED" w:rsidRDefault="003415ED" w:rsidP="003415ED">
      <w:pPr>
        <w:pStyle w:val="Body"/>
        <w:spacing w:line="360" w:lineRule="auto"/>
        <w:rPr>
          <w:rFonts w:ascii="Helvetica Light"/>
          <w:iCs/>
        </w:rPr>
      </w:pPr>
      <w:r>
        <w:rPr>
          <w:rFonts w:ascii="Helvetica Light"/>
          <w:iCs/>
        </w:rPr>
        <w:t xml:space="preserve">We introduced the AP-1 consensus TGACTCA motif into the center of random test sequences. The 164 cell types span a range of response magnitudes; </w:t>
      </w:r>
      <w:proofErr w:type="spellStart"/>
      <w:r>
        <w:rPr>
          <w:rFonts w:ascii="Helvetica Light"/>
          <w:iCs/>
        </w:rPr>
        <w:t>Medullo</w:t>
      </w:r>
      <w:proofErr w:type="spellEnd"/>
      <w:r>
        <w:rPr>
          <w:rFonts w:ascii="Helvetica Light"/>
          <w:iCs/>
        </w:rPr>
        <w:t>, H7-hESC, and HMF cells exemplify a low, medium, and high response respectively to the AP-1 motif. The scatter plots show the accessibility prediction of the sequences before and after inserting the motif. In the few cases where the prediction decreases, the AP-1 motif insertion disrupts a pre-existing functional motif.</w:t>
      </w:r>
    </w:p>
    <w:p w:rsidR="003415ED" w:rsidRDefault="003415ED" w:rsidP="003415ED">
      <w:pPr>
        <w:pStyle w:val="Body"/>
        <w:spacing w:line="360" w:lineRule="auto"/>
        <w:rPr>
          <w:rFonts w:ascii="Helvetica Light"/>
          <w:iCs/>
        </w:rPr>
      </w:pPr>
    </w:p>
    <w:p w:rsidR="003415ED" w:rsidRDefault="003415ED" w:rsidP="003415ED">
      <w:pPr>
        <w:pStyle w:val="Body"/>
        <w:spacing w:line="360" w:lineRule="auto"/>
        <w:rPr>
          <w:rFonts w:ascii="Helvetica Light" w:eastAsia="Helvetica Light" w:hAnsi="Helvetica Light" w:cs="Helvetica Light"/>
          <w:i/>
          <w:iCs/>
        </w:rPr>
      </w:pPr>
      <w:r>
        <w:rPr>
          <w:rFonts w:ascii="Helvetica Light"/>
          <w:i/>
          <w:iCs/>
        </w:rPr>
        <w:t>Supplementary Figure 7</w:t>
      </w:r>
    </w:p>
    <w:p w:rsidR="003415ED" w:rsidRPr="007C5FA6" w:rsidRDefault="003415ED" w:rsidP="003415ED">
      <w:pPr>
        <w:pStyle w:val="Body"/>
        <w:spacing w:line="360" w:lineRule="auto"/>
        <w:rPr>
          <w:rFonts w:ascii="Helvetica Light" w:hAnsi="Helvetica Light"/>
          <w:iCs/>
        </w:rPr>
      </w:pPr>
      <w:r>
        <w:rPr>
          <w:rFonts w:ascii="Helvetica Light" w:hAnsi="Helvetica Light"/>
          <w:iCs/>
        </w:rPr>
        <w:t>Basset captures various discriminating features of the sequence flanking the primary binding motif. (A) The model</w:t>
      </w:r>
      <w:r w:rsidRPr="007C5FA6">
        <w:rPr>
          <w:rFonts w:ascii="Helvetica Light" w:hAnsi="Helvetica Light"/>
          <w:iCs/>
        </w:rPr>
        <w:t xml:space="preserve"> learned to strongly prefer TGACTCA motifs that avoid a 5’ T and 3’</w:t>
      </w:r>
      <w:r>
        <w:rPr>
          <w:rFonts w:ascii="Helvetica Light" w:hAnsi="Helvetica Light"/>
          <w:iCs/>
        </w:rPr>
        <w:t xml:space="preserve"> A, which we can see in the weight matrix for filter 91 from the first convolution layer.</w:t>
      </w:r>
      <w:r w:rsidRPr="007C5FA6">
        <w:rPr>
          <w:rFonts w:ascii="Helvetica Light" w:hAnsi="Helvetica Light"/>
          <w:iCs/>
        </w:rPr>
        <w:t xml:space="preserve"> </w:t>
      </w:r>
      <w:r>
        <w:rPr>
          <w:rFonts w:ascii="Helvetica Light" w:hAnsi="Helvetica Light"/>
          <w:iCs/>
        </w:rPr>
        <w:t xml:space="preserve">(B) </w:t>
      </w:r>
      <w:r w:rsidRPr="007C5FA6">
        <w:rPr>
          <w:rFonts w:ascii="Helvetica Light" w:hAnsi="Helvetica Light"/>
          <w:iCs/>
        </w:rPr>
        <w:t xml:space="preserve">In HMF cells, presence of the 5’ T drastically decreases the distribution of predicted accessibility from mean 0.49 for the </w:t>
      </w:r>
      <w:r>
        <w:rPr>
          <w:rFonts w:ascii="Helvetica Light" w:hAnsi="Helvetica Light"/>
          <w:iCs/>
        </w:rPr>
        <w:t xml:space="preserve">full </w:t>
      </w:r>
      <w:r w:rsidRPr="007C5FA6">
        <w:rPr>
          <w:rFonts w:ascii="Helvetica Light" w:hAnsi="Helvetica Light"/>
          <w:iCs/>
        </w:rPr>
        <w:t>consensus motif to 0.25 with a 5’ T. Addition of a 3’ A further reduces the predictions to a mean 0.10.</w:t>
      </w:r>
      <w:r>
        <w:rPr>
          <w:rFonts w:ascii="Helvetica Light" w:hAnsi="Helvetica Light"/>
          <w:iCs/>
        </w:rPr>
        <w:t xml:space="preserve"> </w:t>
      </w:r>
      <w:proofErr w:type="gramStart"/>
      <w:r>
        <w:rPr>
          <w:rFonts w:ascii="Helvetica Light" w:hAnsi="Helvetica Light"/>
          <w:iCs/>
        </w:rPr>
        <w:t>(C) One filter captured AT-richness</w:t>
      </w:r>
      <w:proofErr w:type="gramEnd"/>
      <w:r>
        <w:rPr>
          <w:rFonts w:ascii="Helvetica Light" w:hAnsi="Helvetica Light"/>
          <w:iCs/>
        </w:rPr>
        <w:t xml:space="preserve">, </w:t>
      </w:r>
      <w:proofErr w:type="gramStart"/>
      <w:r>
        <w:rPr>
          <w:rFonts w:ascii="Helvetica Light" w:hAnsi="Helvetica Light"/>
          <w:iCs/>
        </w:rPr>
        <w:t>especially poly-AT stretches</w:t>
      </w:r>
      <w:proofErr w:type="gramEnd"/>
      <w:r>
        <w:rPr>
          <w:rFonts w:ascii="Helvetica Light" w:hAnsi="Helvetica Light"/>
          <w:iCs/>
        </w:rPr>
        <w:t xml:space="preserve">. (D) Activation of this filter at positions across the sequences had significant negative correlation with the ultimate prediction, exemplified by HMF and H7-hES cells. This correlation varied by position, peaking near the center. AP-1 insertion altered this position-dependence, suggesting that the flanking 50-100 </w:t>
      </w:r>
      <w:proofErr w:type="spellStart"/>
      <w:proofErr w:type="gramStart"/>
      <w:r>
        <w:rPr>
          <w:rFonts w:ascii="Helvetica Light" w:hAnsi="Helvetica Light"/>
          <w:iCs/>
        </w:rPr>
        <w:t>nt</w:t>
      </w:r>
      <w:proofErr w:type="spellEnd"/>
      <w:proofErr w:type="gramEnd"/>
      <w:r>
        <w:rPr>
          <w:rFonts w:ascii="Helvetica Light" w:hAnsi="Helvetica Light"/>
          <w:iCs/>
        </w:rPr>
        <w:t xml:space="preserve"> around the motif were specially considered. (E) A site at Chr6</w:t>
      </w:r>
      <w:proofErr w:type="gramStart"/>
      <w:r>
        <w:rPr>
          <w:rFonts w:ascii="Helvetica Light" w:hAnsi="Helvetica Light"/>
          <w:iCs/>
        </w:rPr>
        <w:t>:167500200</w:t>
      </w:r>
      <w:proofErr w:type="gramEnd"/>
      <w:r>
        <w:rPr>
          <w:rFonts w:ascii="Helvetica Light" w:hAnsi="Helvetica Light"/>
          <w:iCs/>
        </w:rPr>
        <w:t>-167500800 illustrates this phenomenon whereby poly-AT stretches result in low predicted accessibility across cells. We describe the m</w:t>
      </w:r>
      <w:r w:rsidRPr="00CC6EBA">
        <w:rPr>
          <w:rFonts w:ascii="Helvetica Light" w:hAnsi="Helvetica Light"/>
          <w:iCs/>
        </w:rPr>
        <w:t>utagenesis heat maps in Results section “</w:t>
      </w:r>
      <w:r>
        <w:rPr>
          <w:rFonts w:ascii="Helvetica Light" w:hAnsi="Helvetica Light"/>
          <w:bCs/>
        </w:rPr>
        <w:t>I</w:t>
      </w:r>
      <w:r w:rsidRPr="00CC6EBA">
        <w:rPr>
          <w:rFonts w:ascii="Helvetica Light" w:hAnsi="Helvetica Light"/>
          <w:bCs/>
        </w:rPr>
        <w:t xml:space="preserve">n </w:t>
      </w:r>
      <w:proofErr w:type="spellStart"/>
      <w:r w:rsidRPr="00CC6EBA">
        <w:rPr>
          <w:rFonts w:ascii="Helvetica Light" w:hAnsi="Helvetica Light"/>
          <w:bCs/>
        </w:rPr>
        <w:t>silico</w:t>
      </w:r>
      <w:proofErr w:type="spellEnd"/>
      <w:r w:rsidRPr="00CC6EBA">
        <w:rPr>
          <w:rFonts w:ascii="Helvetica Light" w:hAnsi="Helvetica Light"/>
          <w:bCs/>
        </w:rPr>
        <w:t xml:space="preserve"> saturation mutagenesis pinpoints nucleotides driving accessibility”</w:t>
      </w:r>
      <w:r>
        <w:rPr>
          <w:rFonts w:ascii="Helvetica Light" w:hAnsi="Helvetica Light"/>
          <w:bCs/>
        </w:rPr>
        <w:t>.</w:t>
      </w:r>
    </w:p>
    <w:p w:rsidR="003415ED" w:rsidRDefault="003415ED" w:rsidP="003415ED">
      <w:pPr>
        <w:pStyle w:val="Body"/>
        <w:spacing w:line="360" w:lineRule="auto"/>
        <w:rPr>
          <w:rFonts w:ascii="Helvetica Light"/>
          <w:iCs/>
        </w:rPr>
      </w:pPr>
    </w:p>
    <w:p w:rsidR="003415ED" w:rsidRDefault="003415ED" w:rsidP="003415ED">
      <w:pPr>
        <w:pStyle w:val="Body"/>
        <w:spacing w:line="360" w:lineRule="auto"/>
        <w:rPr>
          <w:rFonts w:ascii="Helvetica Light" w:eastAsia="Helvetica Light" w:hAnsi="Helvetica Light" w:cs="Helvetica Light"/>
          <w:i/>
          <w:iCs/>
        </w:rPr>
      </w:pPr>
      <w:r>
        <w:rPr>
          <w:rFonts w:ascii="Helvetica Light"/>
          <w:i/>
          <w:iCs/>
        </w:rPr>
        <w:t>Supplementary Figure 8</w:t>
      </w:r>
    </w:p>
    <w:p w:rsidR="003415ED" w:rsidRPr="00CC6EBA" w:rsidRDefault="003415ED" w:rsidP="003415ED">
      <w:pPr>
        <w:pStyle w:val="Body"/>
        <w:spacing w:line="360" w:lineRule="auto"/>
        <w:rPr>
          <w:b/>
          <w:bCs/>
        </w:rPr>
      </w:pPr>
      <w:r>
        <w:rPr>
          <w:rFonts w:ascii="Helvetica Light"/>
          <w:iCs/>
        </w:rPr>
        <w:t xml:space="preserve">Basset captures interactions with additional motifs. </w:t>
      </w:r>
      <w:r>
        <w:rPr>
          <w:rFonts w:ascii="Helvetica Light" w:hAnsi="Helvetica Light"/>
          <w:iCs/>
        </w:rPr>
        <w:t>We describe the m</w:t>
      </w:r>
      <w:r w:rsidRPr="00CC6EBA">
        <w:rPr>
          <w:rFonts w:ascii="Helvetica Light" w:hAnsi="Helvetica Light"/>
          <w:iCs/>
        </w:rPr>
        <w:t>utagenesis heat maps in Results section “</w:t>
      </w:r>
      <w:r>
        <w:rPr>
          <w:rFonts w:ascii="Helvetica Light" w:hAnsi="Helvetica Light"/>
          <w:bCs/>
        </w:rPr>
        <w:t>I</w:t>
      </w:r>
      <w:r w:rsidRPr="00CC6EBA">
        <w:rPr>
          <w:rFonts w:ascii="Helvetica Light" w:hAnsi="Helvetica Light"/>
          <w:bCs/>
        </w:rPr>
        <w:t xml:space="preserve">n </w:t>
      </w:r>
      <w:proofErr w:type="spellStart"/>
      <w:r w:rsidRPr="00CC6EBA">
        <w:rPr>
          <w:rFonts w:ascii="Helvetica Light" w:hAnsi="Helvetica Light"/>
          <w:bCs/>
        </w:rPr>
        <w:t>silico</w:t>
      </w:r>
      <w:proofErr w:type="spellEnd"/>
      <w:r w:rsidRPr="00CC6EBA">
        <w:rPr>
          <w:rFonts w:ascii="Helvetica Light" w:hAnsi="Helvetica Light"/>
          <w:bCs/>
        </w:rPr>
        <w:t xml:space="preserve"> saturation mutagenesis pinpoints nucleotides driving accessibility”</w:t>
      </w:r>
      <w:r>
        <w:rPr>
          <w:rFonts w:ascii="Helvetica Light" w:hAnsi="Helvetica Light"/>
          <w:bCs/>
        </w:rPr>
        <w:t>.</w:t>
      </w:r>
      <w:r>
        <w:rPr>
          <w:rFonts w:ascii="Helvetica Light" w:hAnsi="Helvetica Light"/>
          <w:iCs/>
        </w:rPr>
        <w:t xml:space="preserve"> </w:t>
      </w:r>
      <w:r>
        <w:rPr>
          <w:rFonts w:ascii="Helvetica Light"/>
          <w:iCs/>
        </w:rPr>
        <w:t>(A) Basset predicts a very high probability of accessibility for a site at Chr20</w:t>
      </w:r>
      <w:proofErr w:type="gramStart"/>
      <w:r>
        <w:rPr>
          <w:rFonts w:ascii="Helvetica Light"/>
          <w:iCs/>
        </w:rPr>
        <w:t>:10763795</w:t>
      </w:r>
      <w:proofErr w:type="gramEnd"/>
      <w:r>
        <w:rPr>
          <w:rFonts w:ascii="Helvetica Light"/>
          <w:iCs/>
        </w:rPr>
        <w:t>-10764395 wh</w:t>
      </w:r>
      <w:r w:rsidRPr="00CC6EBA">
        <w:rPr>
          <w:rFonts w:ascii="Helvetica Light" w:hAnsi="Helvetica Light"/>
          <w:iCs/>
        </w:rPr>
        <w:t xml:space="preserve">ere a motif that matches multiple ETS family TFs, including FEV, occurs directly adjacent to and overlapping the AP-1 motif. (B) </w:t>
      </w:r>
      <w:r>
        <w:rPr>
          <w:rFonts w:ascii="Helvetica Light" w:hAnsi="Helvetica Light"/>
          <w:iCs/>
        </w:rPr>
        <w:t>Inserting the joint FEV/AP-1</w:t>
      </w:r>
      <w:r w:rsidRPr="00CC6EBA">
        <w:rPr>
          <w:rFonts w:ascii="Helvetica Light" w:hAnsi="Helvetica Light"/>
          <w:iCs/>
        </w:rPr>
        <w:t xml:space="preserve"> </w:t>
      </w:r>
      <w:r>
        <w:rPr>
          <w:rFonts w:ascii="Helvetica Light" w:hAnsi="Helvetica Light"/>
          <w:iCs/>
        </w:rPr>
        <w:t xml:space="preserve">motif shifted the predicted accessibility distribution in HMF cells to mean 0.66 from mean 0.49 with only the AP-1 motif. </w:t>
      </w:r>
      <w:r w:rsidRPr="00CC6EBA">
        <w:rPr>
          <w:rFonts w:ascii="Helvetica Light" w:hAnsi="Helvetica Light"/>
          <w:iCs/>
        </w:rPr>
        <w:t>(C) A s</w:t>
      </w:r>
      <w:r>
        <w:rPr>
          <w:rFonts w:ascii="Helvetica Light"/>
          <w:iCs/>
        </w:rPr>
        <w:t>ite at Chr3</w:t>
      </w:r>
      <w:proofErr w:type="gramStart"/>
      <w:r>
        <w:rPr>
          <w:rFonts w:ascii="Helvetica Light"/>
          <w:iCs/>
        </w:rPr>
        <w:t>:157775355</w:t>
      </w:r>
      <w:proofErr w:type="gramEnd"/>
      <w:r>
        <w:rPr>
          <w:rFonts w:ascii="Helvetica Light"/>
          <w:iCs/>
        </w:rPr>
        <w:t>-15777595 illustrates a case where a non-consensus AP-1 motif T</w:t>
      </w:r>
      <w:r w:rsidRPr="00474BDB">
        <w:rPr>
          <w:rFonts w:ascii="Helvetica Light"/>
          <w:iCs/>
          <w:u w:val="single"/>
        </w:rPr>
        <w:t>T</w:t>
      </w:r>
      <w:r>
        <w:rPr>
          <w:rFonts w:ascii="Helvetica Light"/>
          <w:iCs/>
        </w:rPr>
        <w:t>ASTCA enhances the accessibility prediction.</w:t>
      </w:r>
    </w:p>
    <w:p w:rsidR="003415ED" w:rsidRPr="00406369" w:rsidRDefault="003415ED" w:rsidP="003415ED">
      <w:pPr>
        <w:pStyle w:val="Body"/>
        <w:spacing w:line="360" w:lineRule="auto"/>
        <w:rPr>
          <w:rFonts w:ascii="Helvetica Light"/>
          <w:iCs/>
        </w:rPr>
      </w:pPr>
    </w:p>
    <w:p w:rsidR="003415ED" w:rsidRDefault="003415ED" w:rsidP="003415ED">
      <w:pPr>
        <w:pStyle w:val="Body"/>
        <w:spacing w:line="360" w:lineRule="auto"/>
        <w:rPr>
          <w:rFonts w:ascii="Helvetica Light" w:eastAsia="Helvetica Light" w:hAnsi="Helvetica Light" w:cs="Helvetica Light"/>
          <w:i/>
          <w:iCs/>
        </w:rPr>
      </w:pPr>
      <w:r>
        <w:rPr>
          <w:rFonts w:ascii="Helvetica Light"/>
          <w:i/>
          <w:iCs/>
        </w:rPr>
        <w:t>Supplementary Figure 9</w:t>
      </w:r>
    </w:p>
    <w:p w:rsidR="003415ED" w:rsidRDefault="003415ED" w:rsidP="003415ED">
      <w:pPr>
        <w:pStyle w:val="Body"/>
        <w:spacing w:line="360" w:lineRule="auto"/>
        <w:rPr>
          <w:rFonts w:ascii="Helvetica Light"/>
        </w:rPr>
      </w:pPr>
      <w:r>
        <w:rPr>
          <w:rFonts w:ascii="Helvetica Light"/>
        </w:rPr>
        <w:t xml:space="preserve">The heat map plots a cell-specific influence for all pairs of filters and cells, measured as a normalized change in accessibility in that cell type after setting all output from the filter to its mean. We plotted only primary ENCODE cells for easier visualization and annotated the cells using ENCODE descriptions. We performed average linkage hierarchical clustering using the cosine distance in order to favor direction over magnitude. We annotated each filter with its most significant database motif using </w:t>
      </w:r>
      <w:proofErr w:type="spellStart"/>
      <w:r>
        <w:rPr>
          <w:rFonts w:ascii="Helvetica Light"/>
        </w:rPr>
        <w:t>TomTom</w:t>
      </w:r>
      <w:proofErr w:type="spellEnd"/>
      <w:r>
        <w:rPr>
          <w:rFonts w:ascii="Helvetica Light"/>
        </w:rPr>
        <w:t>.</w:t>
      </w:r>
    </w:p>
    <w:p w:rsidR="003415ED"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rPr>
      </w:pPr>
    </w:p>
    <w:p w:rsidR="003415ED" w:rsidRPr="00B06940"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hAnsi="Helvetica Light"/>
          <w:i/>
          <w:iCs/>
        </w:rPr>
      </w:pPr>
      <w:r>
        <w:rPr>
          <w:rFonts w:ascii="Helvetica Light" w:hAnsi="Helvetica Light"/>
          <w:i/>
          <w:iCs/>
        </w:rPr>
        <w:t>Supplementary Figure 10</w:t>
      </w:r>
    </w:p>
    <w:p w:rsidR="003415ED"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iCs/>
        </w:rPr>
      </w:pPr>
      <w:r w:rsidRPr="00B06940">
        <w:rPr>
          <w:rFonts w:ascii="Helvetica Light" w:hAnsi="Helvetica Light"/>
        </w:rPr>
        <w:t xml:space="preserve">Similar to Figure 4D, we plotted </w:t>
      </w:r>
      <w:proofErr w:type="spellStart"/>
      <w:r w:rsidRPr="00B06940">
        <w:rPr>
          <w:rFonts w:ascii="Helvetica Light" w:hAnsi="Helvetica Light"/>
        </w:rPr>
        <w:t>PhyloP</w:t>
      </w:r>
      <w:proofErr w:type="spellEnd"/>
      <w:r w:rsidRPr="00B06940">
        <w:rPr>
          <w:rFonts w:ascii="Helvetica Light" w:hAnsi="Helvetica Light"/>
        </w:rPr>
        <w:t xml:space="preserve"> conservation statistics versus Basset’s regressed multi-cell synthesis of loss and gain scores, separated by (A) promoters, (B) intragenic, and (C) </w:t>
      </w:r>
      <w:proofErr w:type="spellStart"/>
      <w:r w:rsidRPr="00B06940">
        <w:rPr>
          <w:rFonts w:ascii="Helvetica Light" w:hAnsi="Helvetica Light"/>
        </w:rPr>
        <w:t>intergenic</w:t>
      </w:r>
      <w:proofErr w:type="spellEnd"/>
      <w:r w:rsidRPr="00B06940">
        <w:rPr>
          <w:rFonts w:ascii="Helvetica Light" w:hAnsi="Helvetica Light"/>
        </w:rPr>
        <w:t xml:space="preserve"> sites. The strong genome-wide correlation was consistent across annotation.</w:t>
      </w:r>
    </w:p>
    <w:p w:rsidR="003415ED" w:rsidRPr="00DC7C70"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iCs/>
        </w:rPr>
      </w:pPr>
    </w:p>
    <w:p w:rsidR="003415ED"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i/>
          <w:iCs/>
        </w:rPr>
      </w:pPr>
      <w:r>
        <w:rPr>
          <w:rFonts w:ascii="Helvetica Light"/>
          <w:i/>
          <w:iCs/>
        </w:rPr>
        <w:t>Supplementary Figure 11</w:t>
      </w:r>
    </w:p>
    <w:p w:rsidR="003415ED" w:rsidRPr="00AB5AB7"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iCs/>
        </w:rPr>
      </w:pPr>
      <w:r w:rsidRPr="00AB5AB7">
        <w:rPr>
          <w:rFonts w:ascii="Helvetica Light"/>
          <w:iCs/>
        </w:rPr>
        <w:t>(</w:t>
      </w:r>
      <w:r w:rsidRPr="00E328C1">
        <w:rPr>
          <w:rFonts w:ascii="Helvetica Light" w:hAnsi="Helvetica Light"/>
          <w:iCs/>
        </w:rPr>
        <w:t xml:space="preserve">A) On the left, we plot the empirical cumulative distribution function (CDF) of SNPs’ mean SNP accessibility difference (SAD) score over the 164 cell types studied for </w:t>
      </w:r>
      <w:r>
        <w:rPr>
          <w:rFonts w:ascii="Helvetica Light" w:hAnsi="Helvetica Light"/>
          <w:iCs/>
        </w:rPr>
        <w:t xml:space="preserve">the sets of </w:t>
      </w:r>
      <w:r w:rsidRPr="00E328C1">
        <w:rPr>
          <w:rFonts w:ascii="Helvetica Light" w:hAnsi="Helvetica Light"/>
          <w:iCs/>
        </w:rPr>
        <w:t>high-PICS SNPs that are likely causal and low-PICS SNPs that are likely not. High-PICS SNPs have significantly greater evidence of modulating genomic accessibility. (B) On the right, we plot</w:t>
      </w:r>
      <w:r>
        <w:rPr>
          <w:rFonts w:ascii="Helvetica Light"/>
          <w:iCs/>
        </w:rPr>
        <w:t xml:space="preserve"> the empirical CDF of the maximum SAD score achieved by any SNP in linkage disequilibrium with the indexed SNP. That is, one can read statistics such as 31% of index SNPs have a SNP in LD for which Basset predicts a &gt;0.1 SAD in some cell type.</w:t>
      </w:r>
    </w:p>
    <w:p w:rsidR="003415ED"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i/>
          <w:iCs/>
        </w:rPr>
      </w:pPr>
    </w:p>
    <w:p w:rsidR="003415ED" w:rsidRPr="009526E0"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i/>
          <w:iCs/>
        </w:rPr>
      </w:pPr>
      <w:r>
        <w:rPr>
          <w:rFonts w:ascii="Helvetica Light"/>
          <w:i/>
          <w:iCs/>
        </w:rPr>
        <w:t>Supplementary Figure 12</w:t>
      </w:r>
    </w:p>
    <w:p w:rsidR="003415ED" w:rsidRPr="009526E0"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hAnsi="Helvetica Light"/>
          <w:iCs/>
        </w:rPr>
      </w:pPr>
      <w:r w:rsidRPr="009526E0">
        <w:rPr>
          <w:rFonts w:ascii="Helvetica Light" w:hAnsi="Helvetica Light"/>
          <w:iCs/>
        </w:rPr>
        <w:t>For each of the 15 datasets trained individually with the seeded model, we computed AUC separately for accessible sites “seen” before because they overlap one in the “public” dataset upon which the seed model was pre-trained on. AUC is similarly high for novel “unseen” sites and “seen” sites.</w:t>
      </w:r>
    </w:p>
    <w:p w:rsidR="003415ED" w:rsidRPr="009526E0"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iCs/>
        </w:rPr>
      </w:pPr>
    </w:p>
    <w:p w:rsidR="003415ED"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i/>
          <w:iCs/>
        </w:rPr>
      </w:pPr>
      <w:r>
        <w:rPr>
          <w:rFonts w:ascii="Helvetica Light"/>
          <w:i/>
          <w:iCs/>
        </w:rPr>
        <w:t>Supplementary Figure 13</w:t>
      </w:r>
    </w:p>
    <w:p w:rsidR="003415ED" w:rsidRPr="00B53E76"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rPr>
      </w:pPr>
      <w:r>
        <w:rPr>
          <w:rFonts w:ascii="Helvetica Light"/>
          <w:iCs/>
        </w:rPr>
        <w:t>We depict a detailed view of a top performing model architecture that we studied throughout the manuscript.</w:t>
      </w:r>
    </w:p>
    <w:p w:rsidR="003415ED"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rPr>
      </w:pPr>
    </w:p>
    <w:p w:rsidR="003415ED"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i/>
          <w:iCs/>
        </w:rPr>
      </w:pPr>
      <w:r>
        <w:rPr>
          <w:rFonts w:ascii="Helvetica Light"/>
          <w:i/>
          <w:iCs/>
        </w:rPr>
        <w:t>Supplementary Figure 14</w:t>
      </w:r>
    </w:p>
    <w:p w:rsidR="003415ED"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hAnsi="Helvetica Light"/>
          <w:iCs/>
        </w:rPr>
      </w:pPr>
      <w:r w:rsidRPr="00FE3F02">
        <w:rPr>
          <w:rFonts w:ascii="Helvetica Light" w:hAnsi="Helvetica Light"/>
          <w:iCs/>
        </w:rPr>
        <w:t xml:space="preserve">The line plot shows the average loss score at each position in a set of 600 </w:t>
      </w:r>
      <w:proofErr w:type="spellStart"/>
      <w:r w:rsidRPr="00FE3F02">
        <w:rPr>
          <w:rFonts w:ascii="Helvetica Light" w:hAnsi="Helvetica Light"/>
          <w:iCs/>
        </w:rPr>
        <w:t>bp</w:t>
      </w:r>
      <w:proofErr w:type="spellEnd"/>
      <w:r w:rsidRPr="00FE3F02">
        <w:rPr>
          <w:rFonts w:ascii="Helvetica Light" w:hAnsi="Helvetica Light"/>
          <w:iCs/>
        </w:rPr>
        <w:t xml:space="preserve"> test sequences provided as input to the model. The loss score measures the extent of the most damaging mutation to a nucleotide in a sequence; thus, the average loss score for each position reflects the influence of that position on the predictions. The grey lines indicate 2 standard deviations up and down for the estimate of the mean at each position.</w:t>
      </w:r>
    </w:p>
    <w:p w:rsidR="003415ED"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hAnsi="Helvetica Light"/>
          <w:iCs/>
        </w:rPr>
      </w:pPr>
    </w:p>
    <w:p w:rsidR="003415ED" w:rsidRPr="00811AEC"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hAnsi="Helvetica Light"/>
          <w:i/>
          <w:iCs/>
        </w:rPr>
      </w:pPr>
      <w:r w:rsidRPr="00811AEC">
        <w:rPr>
          <w:rFonts w:ascii="Helvetica Light" w:hAnsi="Helvetica Light"/>
          <w:i/>
          <w:iCs/>
        </w:rPr>
        <w:t>Supplementary Table 1</w:t>
      </w:r>
    </w:p>
    <w:p w:rsidR="003415ED"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hAnsi="Helvetica Light"/>
          <w:iCs/>
        </w:rPr>
      </w:pPr>
      <w:r>
        <w:rPr>
          <w:rFonts w:ascii="Helvetica Light" w:hAnsi="Helvetica Light"/>
          <w:iCs/>
        </w:rPr>
        <w:t>SNP Accessibility Difference (SAD) scores for all SNPs studied in this analysis.</w:t>
      </w:r>
    </w:p>
    <w:p w:rsidR="003415ED"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hAnsi="Helvetica Light"/>
          <w:iCs/>
        </w:rPr>
      </w:pPr>
    </w:p>
    <w:p w:rsidR="003415ED" w:rsidRPr="0047426C"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hAnsi="Helvetica Light"/>
          <w:i/>
          <w:iCs/>
        </w:rPr>
      </w:pPr>
      <w:r w:rsidRPr="0047426C">
        <w:rPr>
          <w:rFonts w:ascii="Helvetica Light" w:hAnsi="Helvetica Light"/>
          <w:i/>
          <w:iCs/>
        </w:rPr>
        <w:t>Supplementary Table 2</w:t>
      </w:r>
    </w:p>
    <w:p w:rsidR="003415ED" w:rsidRPr="00FE3F02"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hAnsi="Helvetica Light"/>
          <w:iCs/>
        </w:rPr>
      </w:pPr>
      <w:r>
        <w:rPr>
          <w:rFonts w:ascii="Helvetica Light" w:hAnsi="Helvetica Light"/>
          <w:iCs/>
        </w:rPr>
        <w:t>Full multi-task versus seeded single-task accuracy for 15 cells.</w:t>
      </w:r>
    </w:p>
    <w:p w:rsidR="003415ED" w:rsidRDefault="003415ED" w:rsidP="003415E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720"/>
        <w:rPr>
          <w:rFonts w:ascii="Helvetica Light"/>
        </w:rPr>
      </w:pPr>
    </w:p>
    <w:p w:rsidR="008420E3" w:rsidRDefault="008420E3">
      <w:bookmarkStart w:id="0" w:name="_GoBack"/>
      <w:bookmarkEnd w:id="0"/>
    </w:p>
    <w:sectPr w:rsidR="008420E3" w:rsidSect="008420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Helvetica Light">
    <w:panose1 w:val="020B0403020202020204"/>
    <w:charset w:val="00"/>
    <w:family w:val="auto"/>
    <w:pitch w:val="variable"/>
    <w:sig w:usb0="800000AF" w:usb1="4000204A"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ED"/>
    <w:rsid w:val="0027073C"/>
    <w:rsid w:val="003415ED"/>
    <w:rsid w:val="008420E3"/>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415E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US"/>
    </w:rPr>
  </w:style>
  <w:style w:type="paragraph" w:customStyle="1" w:styleId="Default">
    <w:name w:val="Default"/>
    <w:rsid w:val="003415E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415E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US"/>
    </w:rPr>
  </w:style>
  <w:style w:type="paragraph" w:customStyle="1" w:styleId="Default">
    <w:name w:val="Default"/>
    <w:rsid w:val="003415E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1153</Words>
  <Characters>6573</Characters>
  <Application>Microsoft Macintosh Word</Application>
  <DocSecurity>0</DocSecurity>
  <Lines>54</Lines>
  <Paragraphs>15</Paragraphs>
  <ScaleCrop>false</ScaleCrop>
  <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2016-04-29T15:18:00Z</dcterms:created>
  <dcterms:modified xsi:type="dcterms:W3CDTF">2016-04-29T15:19:00Z</dcterms:modified>
</cp:coreProperties>
</file>